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065" w:type="dxa"/>
        <w:tblInd w:w="-318" w:type="dxa"/>
        <w:tblLook w:val="04A0" w:firstRow="1" w:lastRow="0" w:firstColumn="1" w:lastColumn="0" w:noHBand="0" w:noVBand="1"/>
      </w:tblPr>
      <w:tblGrid>
        <w:gridCol w:w="10065"/>
      </w:tblGrid>
      <w:tr w:rsidR="00ED232F" w:rsidTr="00576C2B">
        <w:trPr>
          <w:trHeight w:val="14742"/>
        </w:trPr>
        <w:tc>
          <w:tcPr>
            <w:tcW w:w="10065" w:type="dxa"/>
            <w:tcBorders>
              <w:top w:val="single" w:sz="4" w:space="0" w:color="auto"/>
              <w:left w:val="single" w:sz="4" w:space="0" w:color="auto"/>
              <w:bottom w:val="single" w:sz="4" w:space="0" w:color="auto"/>
              <w:right w:val="single" w:sz="4" w:space="0" w:color="auto"/>
            </w:tcBorders>
          </w:tcPr>
          <w:tbl>
            <w:tblPr>
              <w:tblStyle w:val="Tablaconcuadrcula"/>
              <w:tblW w:w="0" w:type="auto"/>
              <w:tblInd w:w="0" w:type="dxa"/>
              <w:tblLook w:val="04A0" w:firstRow="1" w:lastRow="0" w:firstColumn="1" w:lastColumn="0" w:noHBand="0" w:noVBand="1"/>
            </w:tblPr>
            <w:tblGrid>
              <w:gridCol w:w="9834"/>
            </w:tblGrid>
            <w:tr w:rsidR="00ED232F">
              <w:tc>
                <w:tcPr>
                  <w:tcW w:w="9834" w:type="dxa"/>
                  <w:tcBorders>
                    <w:top w:val="single" w:sz="4" w:space="0" w:color="auto"/>
                    <w:left w:val="single" w:sz="4" w:space="0" w:color="auto"/>
                    <w:bottom w:val="single" w:sz="4" w:space="0" w:color="auto"/>
                    <w:right w:val="single" w:sz="4" w:space="0" w:color="auto"/>
                  </w:tcBorders>
                  <w:hideMark/>
                </w:tcPr>
                <w:p w:rsidR="00ED232F" w:rsidRDefault="00ED232F">
                  <w:pPr>
                    <w:spacing w:line="240" w:lineRule="auto"/>
                    <w:jc w:val="center"/>
                    <w:rPr>
                      <w:rFonts w:ascii="Century Gothic" w:hAnsi="Century Gothic"/>
                      <w:b/>
                    </w:rPr>
                  </w:pPr>
                  <w:r>
                    <w:rPr>
                      <w:rFonts w:ascii="Century Gothic" w:hAnsi="Century Gothic"/>
                      <w:b/>
                    </w:rPr>
                    <w:t>SOCIEDAD POR ACCION SIMPLIFICADA (S.A.S)</w:t>
                  </w:r>
                </w:p>
              </w:tc>
            </w:tr>
          </w:tbl>
          <w:p w:rsidR="00ED232F" w:rsidRDefault="00ED232F">
            <w:pPr>
              <w:spacing w:line="240" w:lineRule="auto"/>
              <w:jc w:val="center"/>
              <w:rPr>
                <w:rFonts w:ascii="Century Gothic" w:hAnsi="Century Gothic" w:cs="Arial"/>
                <w:b/>
                <w:bCs/>
                <w:smallCaps/>
                <w:kern w:val="32"/>
                <w:lang w:val="es-MX"/>
              </w:rPr>
            </w:pPr>
          </w:p>
          <w:p w:rsidR="00ED232F" w:rsidRDefault="00ED232F">
            <w:pPr>
              <w:spacing w:line="240" w:lineRule="auto"/>
              <w:jc w:val="center"/>
              <w:rPr>
                <w:rFonts w:ascii="Century Gothic" w:hAnsi="Century Gothic" w:cs="Arial"/>
                <w:b/>
                <w:bCs/>
                <w:smallCaps/>
                <w:kern w:val="32"/>
                <w:lang w:val="es-MX"/>
              </w:rPr>
            </w:pPr>
            <w:r>
              <w:rPr>
                <w:rFonts w:ascii="Century Gothic" w:hAnsi="Century Gothic" w:cs="Arial"/>
                <w:b/>
                <w:bCs/>
                <w:smallCaps/>
                <w:kern w:val="32"/>
                <w:lang w:val="es-MX"/>
              </w:rPr>
              <w:t xml:space="preserve">DOCUMENTO PRIVADO </w:t>
            </w:r>
          </w:p>
          <w:p w:rsidR="00ED232F" w:rsidRDefault="00ED232F">
            <w:pPr>
              <w:spacing w:line="240" w:lineRule="auto"/>
              <w:jc w:val="center"/>
              <w:rPr>
                <w:rFonts w:ascii="Century Gothic" w:hAnsi="Century Gothic" w:cs="Arial"/>
                <w:b/>
                <w:bCs/>
                <w:smallCaps/>
                <w:kern w:val="32"/>
              </w:rPr>
            </w:pPr>
            <w:r>
              <w:rPr>
                <w:rFonts w:ascii="Century Gothic" w:hAnsi="Century Gothic"/>
                <w:b/>
              </w:rPr>
              <w:t xml:space="preserve">LALICAXSOFT </w:t>
            </w:r>
            <w:r>
              <w:rPr>
                <w:rFonts w:ascii="Century Gothic" w:hAnsi="Century Gothic" w:cs="Arial"/>
                <w:b/>
              </w:rPr>
              <w:t>S.A.S</w:t>
            </w:r>
          </w:p>
          <w:p w:rsidR="00ED232F" w:rsidRDefault="00ED232F">
            <w:pPr>
              <w:spacing w:line="240" w:lineRule="auto"/>
              <w:jc w:val="center"/>
              <w:rPr>
                <w:rFonts w:ascii="Century Gothic" w:hAnsi="Century Gothic" w:cs="Arial"/>
                <w:lang w:val="es-MX"/>
              </w:rPr>
            </w:pPr>
            <w:r>
              <w:rPr>
                <w:rFonts w:ascii="Century Gothic" w:hAnsi="Century Gothic" w:cs="Arial"/>
                <w:b/>
                <w:bCs/>
                <w:smallCaps/>
                <w:kern w:val="32"/>
                <w:lang w:val="es-MX"/>
              </w:rPr>
              <w:t>Acto constitutivo</w:t>
            </w:r>
          </w:p>
          <w:p w:rsidR="00ED232F" w:rsidRDefault="00ED232F">
            <w:pPr>
              <w:spacing w:line="240" w:lineRule="auto"/>
              <w:jc w:val="center"/>
              <w:rPr>
                <w:rFonts w:ascii="Century Gothic" w:hAnsi="Century Gothic" w:cs="Arial"/>
                <w:b/>
                <w:bCs/>
                <w:smallCaps/>
                <w:kern w:val="32"/>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 xml:space="preserve">En la ciudad de </w:t>
            </w:r>
            <w:r>
              <w:rPr>
                <w:rFonts w:ascii="Century Gothic" w:hAnsi="Century Gothic" w:cs="Arial"/>
                <w:u w:val="single"/>
                <w:lang w:val="es-MX"/>
              </w:rPr>
              <w:t>TUNJA</w:t>
            </w:r>
            <w:r>
              <w:rPr>
                <w:rFonts w:ascii="Century Gothic" w:hAnsi="Century Gothic" w:cs="Arial"/>
                <w:lang w:val="es-MX"/>
              </w:rPr>
              <w:t xml:space="preserve"> a los </w:t>
            </w:r>
            <w:r>
              <w:rPr>
                <w:rFonts w:ascii="Century Gothic" w:hAnsi="Century Gothic" w:cs="Arial"/>
                <w:u w:val="single"/>
                <w:lang w:val="es-MX"/>
              </w:rPr>
              <w:t>VEINTE</w:t>
            </w:r>
            <w:r>
              <w:rPr>
                <w:rFonts w:ascii="Century Gothic" w:hAnsi="Century Gothic" w:cs="Tahoma"/>
                <w:lang w:val="es-MX"/>
              </w:rPr>
              <w:t xml:space="preserve"> </w:t>
            </w:r>
            <w:r>
              <w:rPr>
                <w:rFonts w:ascii="Century Gothic" w:hAnsi="Century Gothic" w:cs="Tahoma"/>
              </w:rPr>
              <w:t>(</w:t>
            </w:r>
            <w:r>
              <w:rPr>
                <w:rFonts w:ascii="Century Gothic" w:hAnsi="Century Gothic" w:cs="Tahoma"/>
                <w:u w:val="single"/>
              </w:rPr>
              <w:t>21</w:t>
            </w:r>
            <w:r>
              <w:rPr>
                <w:rFonts w:ascii="Century Gothic" w:hAnsi="Century Gothic" w:cs="Tahoma"/>
              </w:rPr>
              <w:t xml:space="preserve">) días del mes de </w:t>
            </w:r>
            <w:r>
              <w:rPr>
                <w:rFonts w:ascii="Century Gothic" w:hAnsi="Century Gothic" w:cs="Tahoma"/>
                <w:u w:val="single"/>
              </w:rPr>
              <w:t>JUNIO</w:t>
            </w:r>
            <w:r>
              <w:rPr>
                <w:rFonts w:ascii="Century Gothic" w:hAnsi="Century Gothic" w:cs="Tahoma"/>
              </w:rPr>
              <w:t xml:space="preserve"> de 2018</w:t>
            </w:r>
            <w:r>
              <w:rPr>
                <w:rFonts w:ascii="Century Gothic" w:hAnsi="Century Gothic" w:cs="Arial"/>
                <w:lang w:val="es-MX"/>
              </w:rPr>
              <w:t xml:space="preserve">, los señores: </w:t>
            </w:r>
            <w:r>
              <w:rPr>
                <w:rFonts w:ascii="Century Gothic" w:hAnsi="Century Gothic" w:cs="Arial"/>
                <w:u w:val="single"/>
                <w:lang w:val="es-MX"/>
              </w:rPr>
              <w:t>CRISTIAN CAMILO QUIROGA MORENO</w:t>
            </w:r>
            <w:r>
              <w:rPr>
                <w:rFonts w:ascii="Century Gothic" w:hAnsi="Century Gothic" w:cs="Tahoma"/>
                <w:lang w:val="es-MX"/>
              </w:rPr>
              <w:t xml:space="preserve">, identificado con la cédula de ciudadanía </w:t>
            </w:r>
            <w:r>
              <w:rPr>
                <w:rFonts w:ascii="Century Gothic" w:hAnsi="Century Gothic" w:cs="Tahoma"/>
                <w:u w:val="single"/>
                <w:lang w:val="es-MX"/>
              </w:rPr>
              <w:t xml:space="preserve">1.233.488.878 </w:t>
            </w:r>
            <w:r>
              <w:rPr>
                <w:rFonts w:ascii="Century Gothic" w:hAnsi="Century Gothic" w:cs="Tahoma"/>
                <w:lang w:val="es-MX"/>
              </w:rPr>
              <w:t xml:space="preserve"> expedida en </w:t>
            </w:r>
            <w:r>
              <w:rPr>
                <w:rFonts w:ascii="Century Gothic" w:hAnsi="Century Gothic" w:cs="Arial"/>
                <w:u w:val="single"/>
                <w:lang w:val="es-MX"/>
              </w:rPr>
              <w:t>BOGOTÁ</w:t>
            </w:r>
            <w:r>
              <w:rPr>
                <w:rFonts w:ascii="Century Gothic" w:hAnsi="Century Gothic" w:cs="Tahoma"/>
                <w:lang w:val="es-MX"/>
              </w:rPr>
              <w:t xml:space="preserve">, </w:t>
            </w:r>
            <w:r>
              <w:rPr>
                <w:rFonts w:ascii="Century Gothic" w:hAnsi="Century Gothic" w:cs="Tahoma"/>
                <w:u w:val="single"/>
                <w:lang w:val="es-MX"/>
              </w:rPr>
              <w:t>CUNDINAMARCA</w:t>
            </w:r>
            <w:r>
              <w:rPr>
                <w:rFonts w:ascii="Century Gothic" w:hAnsi="Century Gothic" w:cs="Tahoma"/>
                <w:lang w:val="es-MX"/>
              </w:rPr>
              <w:t xml:space="preserve"> domiciliado en el municipio de</w:t>
            </w:r>
            <w:r>
              <w:rPr>
                <w:rFonts w:ascii="Century Gothic" w:hAnsi="Century Gothic" w:cs="Arial"/>
                <w:lang w:val="es-MX"/>
              </w:rPr>
              <w:t xml:space="preserve"> </w:t>
            </w:r>
            <w:r>
              <w:rPr>
                <w:rFonts w:ascii="Century Gothic" w:hAnsi="Century Gothic" w:cs="Arial"/>
                <w:u w:val="single"/>
                <w:lang w:val="es-MX"/>
              </w:rPr>
              <w:t>TUNJA</w:t>
            </w:r>
            <w:r>
              <w:rPr>
                <w:rFonts w:ascii="Century Gothic" w:hAnsi="Century Gothic" w:cs="Tahoma"/>
              </w:rPr>
              <w:t>,</w:t>
            </w:r>
            <w:r>
              <w:rPr>
                <w:rFonts w:ascii="Century Gothic" w:hAnsi="Century Gothic" w:cs="Tahoma"/>
                <w:lang w:val="es-MX"/>
              </w:rPr>
              <w:t xml:space="preserve"> </w:t>
            </w:r>
            <w:r>
              <w:rPr>
                <w:rFonts w:ascii="Century Gothic" w:hAnsi="Century Gothic" w:cs="Tahoma"/>
                <w:u w:val="single"/>
                <w:lang w:val="es-MX"/>
              </w:rPr>
              <w:t>BOYACÁ</w:t>
            </w:r>
            <w:r>
              <w:rPr>
                <w:rFonts w:ascii="Century Gothic" w:hAnsi="Century Gothic" w:cs="Tahoma"/>
                <w:lang w:val="es-MX"/>
              </w:rPr>
              <w:t>;</w:t>
            </w:r>
            <w:r>
              <w:rPr>
                <w:rFonts w:ascii="Century Gothic" w:hAnsi="Century Gothic" w:cs="Arial"/>
                <w:lang w:val="es-MX"/>
              </w:rPr>
              <w:t xml:space="preserve"> </w:t>
            </w:r>
            <w:r>
              <w:rPr>
                <w:rFonts w:ascii="Century Gothic" w:hAnsi="Century Gothic" w:cs="Arial"/>
                <w:u w:val="single"/>
                <w:lang w:val="es-MX"/>
              </w:rPr>
              <w:t>ALBA XIMENA RUIZ MORENO</w:t>
            </w:r>
            <w:r>
              <w:rPr>
                <w:rFonts w:ascii="Century Gothic" w:hAnsi="Century Gothic" w:cs="Tahoma"/>
                <w:lang w:val="es-MX"/>
              </w:rPr>
              <w:t xml:space="preserve">, identificado con la cédula de ciudadanía </w:t>
            </w:r>
            <w:r>
              <w:rPr>
                <w:rFonts w:ascii="Century Gothic" w:hAnsi="Century Gothic" w:cs="Tahoma"/>
                <w:u w:val="single"/>
                <w:lang w:val="es-MX"/>
              </w:rPr>
              <w:t xml:space="preserve">1.014.278.404 </w:t>
            </w:r>
            <w:r>
              <w:rPr>
                <w:rFonts w:ascii="Century Gothic" w:hAnsi="Century Gothic" w:cs="Tahoma"/>
                <w:lang w:val="es-MX"/>
              </w:rPr>
              <w:t xml:space="preserve"> expedida en </w:t>
            </w:r>
            <w:r>
              <w:rPr>
                <w:rFonts w:ascii="Century Gothic" w:hAnsi="Century Gothic" w:cs="Arial"/>
                <w:u w:val="single"/>
                <w:lang w:val="es-MX"/>
              </w:rPr>
              <w:t>BOGOTA , CUNDINAMARCA</w:t>
            </w:r>
            <w:r>
              <w:rPr>
                <w:rFonts w:ascii="Century Gothic" w:hAnsi="Century Gothic" w:cs="Tahoma"/>
                <w:lang w:val="es-MX"/>
              </w:rPr>
              <w:t xml:space="preserve"> domiciliado en el municipio de</w:t>
            </w:r>
            <w:r>
              <w:rPr>
                <w:rFonts w:ascii="Century Gothic" w:hAnsi="Century Gothic" w:cs="Arial"/>
                <w:lang w:val="es-MX"/>
              </w:rPr>
              <w:t xml:space="preserve"> </w:t>
            </w:r>
            <w:r>
              <w:rPr>
                <w:rFonts w:ascii="Century Gothic" w:hAnsi="Century Gothic" w:cs="Arial"/>
                <w:u w:val="single"/>
                <w:lang w:val="es-MX"/>
              </w:rPr>
              <w:t>TUNJA</w:t>
            </w:r>
            <w:r>
              <w:rPr>
                <w:rFonts w:ascii="Century Gothic" w:hAnsi="Century Gothic" w:cs="Tahoma"/>
              </w:rPr>
              <w:t>,</w:t>
            </w:r>
            <w:r>
              <w:rPr>
                <w:rFonts w:ascii="Century Gothic" w:hAnsi="Century Gothic" w:cs="Tahoma"/>
                <w:lang w:val="es-MX"/>
              </w:rPr>
              <w:t xml:space="preserve"> </w:t>
            </w:r>
            <w:r>
              <w:rPr>
                <w:rFonts w:ascii="Century Gothic" w:hAnsi="Century Gothic" w:cs="Tahoma"/>
                <w:u w:val="single"/>
                <w:lang w:val="es-MX"/>
              </w:rPr>
              <w:t>BOYACÁ</w:t>
            </w:r>
            <w:r>
              <w:rPr>
                <w:rFonts w:ascii="Century Gothic" w:hAnsi="Century Gothic" w:cs="Tahoma"/>
                <w:lang w:val="es-MX"/>
              </w:rPr>
              <w:t>;</w:t>
            </w:r>
            <w:r>
              <w:rPr>
                <w:rFonts w:ascii="Century Gothic" w:hAnsi="Century Gothic" w:cs="Arial"/>
                <w:lang w:val="es-MX"/>
              </w:rPr>
              <w:t xml:space="preserve">  </w:t>
            </w:r>
            <w:r>
              <w:rPr>
                <w:rFonts w:ascii="Century Gothic" w:hAnsi="Century Gothic" w:cs="Arial"/>
                <w:u w:val="single"/>
                <w:lang w:val="es-MX"/>
              </w:rPr>
              <w:t xml:space="preserve">ERIKA LIZETH RIVERA LOPEZ </w:t>
            </w:r>
            <w:r>
              <w:rPr>
                <w:rFonts w:ascii="Century Gothic" w:hAnsi="Century Gothic" w:cs="Tahoma"/>
                <w:lang w:val="es-MX"/>
              </w:rPr>
              <w:t xml:space="preserve">, identificado con la cédula de ciudadanía </w:t>
            </w:r>
            <w:r>
              <w:rPr>
                <w:rFonts w:ascii="Century Gothic" w:hAnsi="Century Gothic" w:cs="Tahoma"/>
                <w:u w:val="single"/>
              </w:rPr>
              <w:t>1.049.649.504</w:t>
            </w:r>
            <w:r>
              <w:rPr>
                <w:rFonts w:ascii="Century Gothic" w:hAnsi="Century Gothic" w:cs="Tahoma"/>
                <w:lang w:val="es-MX"/>
              </w:rPr>
              <w:t xml:space="preserve"> expedida en </w:t>
            </w:r>
            <w:r>
              <w:rPr>
                <w:rFonts w:ascii="Century Gothic" w:hAnsi="Century Gothic" w:cs="Arial"/>
                <w:u w:val="single"/>
                <w:lang w:val="es-MX"/>
              </w:rPr>
              <w:t xml:space="preserve">TUNJA, BOYACA </w:t>
            </w:r>
            <w:r>
              <w:rPr>
                <w:rFonts w:ascii="Century Gothic" w:hAnsi="Century Gothic" w:cs="Tahoma"/>
                <w:lang w:val="es-MX"/>
              </w:rPr>
              <w:t xml:space="preserve">domiciliada en el municipio de </w:t>
            </w:r>
            <w:r>
              <w:rPr>
                <w:rFonts w:ascii="Century Gothic" w:hAnsi="Century Gothic" w:cs="Arial"/>
                <w:u w:val="single"/>
                <w:lang w:val="es-MX"/>
              </w:rPr>
              <w:t>TUNJA</w:t>
            </w:r>
            <w:r>
              <w:rPr>
                <w:rFonts w:ascii="Century Gothic" w:hAnsi="Century Gothic" w:cs="Tahoma"/>
              </w:rPr>
              <w:t>,</w:t>
            </w:r>
            <w:r>
              <w:rPr>
                <w:rFonts w:ascii="Century Gothic" w:hAnsi="Century Gothic" w:cs="Tahoma"/>
                <w:lang w:val="es-MX"/>
              </w:rPr>
              <w:t xml:space="preserve"> </w:t>
            </w:r>
            <w:r>
              <w:rPr>
                <w:rFonts w:ascii="Century Gothic" w:hAnsi="Century Gothic" w:cs="Tahoma"/>
                <w:u w:val="single"/>
                <w:lang w:val="es-MX"/>
              </w:rPr>
              <w:t>BOYACÁ</w:t>
            </w:r>
            <w:r>
              <w:rPr>
                <w:rFonts w:ascii="Century Gothic" w:hAnsi="Century Gothic" w:cs="Tahoma"/>
                <w:lang w:val="es-MX"/>
              </w:rPr>
              <w:t xml:space="preserve">; y LAURA ELIZABETH CASTELLANOS DÚCON, identificada con cédula de ciudadanía </w:t>
            </w:r>
            <w:r>
              <w:rPr>
                <w:rFonts w:ascii="Century Gothic" w:hAnsi="Century Gothic" w:cs="Arial"/>
                <w:u w:val="single"/>
              </w:rPr>
              <w:t>1.052.403.529</w:t>
            </w:r>
            <w:r>
              <w:rPr>
                <w:rFonts w:ascii="Century Gothic" w:hAnsi="Century Gothic" w:cs="Tahoma"/>
                <w:lang w:val="es-MX"/>
              </w:rPr>
              <w:t xml:space="preserve"> </w:t>
            </w:r>
            <w:r>
              <w:rPr>
                <w:rFonts w:ascii="Century Gothic" w:hAnsi="Century Gothic" w:cs="Arial"/>
                <w:lang w:val="es-MX"/>
              </w:rPr>
              <w:t xml:space="preserve">declaran -previamente al establecimiento y a la firma de los presentes estatutos-, haber decidido constituir una sociedad por acciones simplificada denominada  </w:t>
            </w:r>
            <w:r>
              <w:rPr>
                <w:rFonts w:ascii="Century Gothic" w:hAnsi="Century Gothic"/>
                <w:b/>
              </w:rPr>
              <w:t>LALICAXSOFT S.A.S</w:t>
            </w:r>
            <w:r>
              <w:rPr>
                <w:rFonts w:ascii="Century Gothic" w:hAnsi="Century Gothic" w:cs="Arial"/>
                <w:lang w:val="es-MX"/>
              </w:rPr>
              <w:t xml:space="preserve">, para realizar cualquier actividad civil o comercial lícita, por término indefinido de duración, con un capital suscrito de </w:t>
            </w:r>
            <w:r>
              <w:rPr>
                <w:rFonts w:ascii="Century Gothic" w:hAnsi="Century Gothic" w:cs="Arial"/>
                <w:u w:val="single"/>
                <w:lang w:val="es-MX"/>
              </w:rPr>
              <w:t>$3’085.830</w:t>
            </w:r>
            <w:r>
              <w:rPr>
                <w:rFonts w:ascii="Century Gothic" w:hAnsi="Century Gothic" w:cs="Arial"/>
                <w:lang w:val="es-MX"/>
              </w:rPr>
              <w:t xml:space="preserve">, dividido en </w:t>
            </w:r>
            <w:r>
              <w:rPr>
                <w:rFonts w:ascii="Century Gothic" w:hAnsi="Century Gothic" w:cs="Arial"/>
                <w:u w:val="single"/>
                <w:lang w:val="es-MX"/>
              </w:rPr>
              <w:t>SESENTA</w:t>
            </w:r>
            <w:r>
              <w:rPr>
                <w:rFonts w:ascii="Century Gothic" w:hAnsi="Century Gothic" w:cs="Arial"/>
                <w:lang w:val="es-MX"/>
              </w:rPr>
              <w:t xml:space="preserve"> (6</w:t>
            </w:r>
            <w:r>
              <w:rPr>
                <w:rFonts w:ascii="Century Gothic" w:hAnsi="Century Gothic" w:cs="Arial"/>
                <w:u w:val="single"/>
                <w:lang w:val="es-MX"/>
              </w:rPr>
              <w:t>0</w:t>
            </w:r>
            <w:r>
              <w:rPr>
                <w:rFonts w:ascii="Century Gothic" w:hAnsi="Century Gothic" w:cs="Arial"/>
                <w:lang w:val="es-MX"/>
              </w:rPr>
              <w:t xml:space="preserve">) acciones ordinarias de valor nominal  de </w:t>
            </w:r>
            <w:r>
              <w:rPr>
                <w:rFonts w:ascii="Century Gothic" w:hAnsi="Century Gothic" w:cs="Arial"/>
                <w:u w:val="single"/>
                <w:lang w:val="es-MX"/>
              </w:rPr>
              <w:t>$51.430</w:t>
            </w:r>
            <w:r>
              <w:rPr>
                <w:rFonts w:ascii="Century Gothic" w:hAnsi="Century Gothic" w:cs="Arial"/>
                <w:lang w:val="es-MX"/>
              </w:rPr>
              <w:t xml:space="preserve"> cada una, que han sido liberadas en su totalidad, previa entrega del monto correspondiente a la suscripción al representante legal designado y que cuenta con un único órgano de administración y representación, que será el representante legal designado mediante este documento.</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Una vez formulada la declaración que antecede, el suscrito ha establecido, así mismo, los estatutos de la sociedad por acciones simplificada que por el presente acto se crea.</w:t>
            </w:r>
          </w:p>
          <w:p w:rsidR="00ED232F" w:rsidRDefault="00ED232F">
            <w:pPr>
              <w:spacing w:line="240" w:lineRule="auto"/>
              <w:jc w:val="both"/>
              <w:rPr>
                <w:rFonts w:ascii="Century Gothic" w:hAnsi="Century Gothic" w:cs="Arial"/>
                <w:lang w:val="es-MX"/>
              </w:rPr>
            </w:pPr>
          </w:p>
          <w:p w:rsidR="00ED232F" w:rsidRDefault="00ED232F">
            <w:pPr>
              <w:spacing w:line="240" w:lineRule="auto"/>
              <w:jc w:val="center"/>
              <w:rPr>
                <w:rFonts w:ascii="Century Gothic" w:hAnsi="Century Gothic" w:cs="Arial"/>
                <w:b/>
                <w:u w:val="single"/>
                <w:lang w:val="es-MX"/>
              </w:rPr>
            </w:pPr>
            <w:r>
              <w:rPr>
                <w:rFonts w:ascii="Century Gothic" w:hAnsi="Century Gothic" w:cs="Arial"/>
                <w:b/>
                <w:bCs/>
                <w:smallCaps/>
                <w:kern w:val="32"/>
                <w:u w:val="single"/>
                <w:lang w:val="es-MX"/>
              </w:rPr>
              <w:t>Estatutos</w:t>
            </w:r>
          </w:p>
          <w:p w:rsidR="00ED232F" w:rsidRDefault="00ED232F">
            <w:pPr>
              <w:pStyle w:val="Ttulo1"/>
              <w:spacing w:before="0"/>
              <w:jc w:val="center"/>
              <w:rPr>
                <w:rFonts w:ascii="Century Gothic" w:hAnsi="Century Gothic" w:cs="Arial"/>
                <w:color w:val="auto"/>
                <w:sz w:val="22"/>
                <w:szCs w:val="22"/>
                <w:lang w:val="es-MX"/>
              </w:rPr>
            </w:pPr>
          </w:p>
          <w:p w:rsidR="00ED232F" w:rsidRDefault="00ED232F">
            <w:pPr>
              <w:pStyle w:val="Ttulo1"/>
              <w:spacing w:before="0"/>
              <w:jc w:val="center"/>
              <w:outlineLvl w:val="0"/>
              <w:rPr>
                <w:rFonts w:ascii="Century Gothic" w:hAnsi="Century Gothic" w:cs="Arial"/>
                <w:color w:val="auto"/>
                <w:sz w:val="22"/>
                <w:szCs w:val="22"/>
                <w:lang w:val="es-MX"/>
              </w:rPr>
            </w:pPr>
            <w:r>
              <w:rPr>
                <w:rFonts w:ascii="Century Gothic" w:hAnsi="Century Gothic" w:cs="Arial"/>
                <w:color w:val="auto"/>
                <w:sz w:val="22"/>
                <w:szCs w:val="22"/>
                <w:lang w:val="es-MX"/>
              </w:rPr>
              <w:t>Capítulo I</w:t>
            </w:r>
          </w:p>
          <w:p w:rsidR="00ED232F" w:rsidRDefault="00ED232F">
            <w:pPr>
              <w:pStyle w:val="Ttulo1"/>
              <w:spacing w:before="0"/>
              <w:jc w:val="center"/>
              <w:outlineLvl w:val="0"/>
              <w:rPr>
                <w:rFonts w:ascii="Century Gothic" w:hAnsi="Century Gothic" w:cs="Arial"/>
                <w:color w:val="auto"/>
                <w:sz w:val="22"/>
                <w:szCs w:val="22"/>
                <w:lang w:val="es-MX"/>
              </w:rPr>
            </w:pPr>
            <w:r>
              <w:rPr>
                <w:rFonts w:ascii="Century Gothic" w:hAnsi="Century Gothic" w:cs="Arial"/>
                <w:color w:val="auto"/>
                <w:sz w:val="22"/>
                <w:szCs w:val="22"/>
                <w:lang w:val="es-MX"/>
              </w:rPr>
              <w:t>DISPOSICIONES GENERALES</w:t>
            </w:r>
          </w:p>
          <w:p w:rsidR="00ED232F" w:rsidRDefault="00ED232F">
            <w:pPr>
              <w:spacing w:line="240" w:lineRule="auto"/>
              <w:jc w:val="both"/>
              <w:rPr>
                <w:rFonts w:ascii="Century Gothic" w:hAnsi="Century Gothic" w:cs="Arial"/>
                <w:b/>
                <w:bCs/>
                <w:lang w:val="es-MX"/>
              </w:rPr>
            </w:pPr>
          </w:p>
          <w:p w:rsidR="00ED232F" w:rsidRDefault="00ED232F">
            <w:pPr>
              <w:spacing w:line="240" w:lineRule="auto"/>
              <w:jc w:val="both"/>
              <w:rPr>
                <w:rFonts w:ascii="Century Gothic" w:hAnsi="Century Gothic" w:cs="Arial"/>
                <w:b/>
                <w:bCs/>
                <w:lang w:val="es-MX"/>
              </w:rPr>
            </w:pPr>
            <w:r>
              <w:rPr>
                <w:rFonts w:ascii="Century Gothic" w:hAnsi="Century Gothic" w:cs="Arial"/>
                <w:b/>
                <w:bCs/>
                <w:lang w:val="es-MX"/>
              </w:rPr>
              <w:t xml:space="preserve">Artículo 1. Forma. - </w:t>
            </w:r>
            <w:r>
              <w:rPr>
                <w:rFonts w:ascii="Century Gothic" w:hAnsi="Century Gothic" w:cs="Arial"/>
                <w:lang w:val="es-MX"/>
              </w:rPr>
              <w:t xml:space="preserve">La compañía que por este documento se constituye es una sociedad por acciones simplificada, de naturaleza comercial, que se denominará </w:t>
            </w:r>
            <w:r>
              <w:rPr>
                <w:rFonts w:ascii="Century Gothic" w:hAnsi="Century Gothic" w:cs="Arial"/>
                <w:b/>
              </w:rPr>
              <w:t>LALICAXSOFT</w:t>
            </w:r>
            <w:r>
              <w:rPr>
                <w:rFonts w:ascii="Century Gothic" w:hAnsi="Century Gothic" w:cs="Arial"/>
                <w:lang w:val="es-MX"/>
              </w:rPr>
              <w:t>; regida por las cláusulas contenidas en estos estatutos, en la Ley 1258</w:t>
            </w:r>
            <w:r>
              <w:rPr>
                <w:rFonts w:ascii="Century Gothic" w:hAnsi="Century Gothic" w:cs="Arial"/>
                <w:b/>
                <w:bCs/>
                <w:lang w:val="es-MX"/>
              </w:rPr>
              <w:t xml:space="preserve"> </w:t>
            </w:r>
            <w:r>
              <w:rPr>
                <w:rFonts w:ascii="Century Gothic" w:hAnsi="Century Gothic" w:cs="Arial"/>
                <w:lang w:val="es-MX"/>
              </w:rPr>
              <w:t>de 2008 y en las demás disposiciones legales relevantes</w:t>
            </w:r>
            <w:r>
              <w:rPr>
                <w:rFonts w:ascii="Century Gothic" w:hAnsi="Century Gothic" w:cs="Arial"/>
                <w:b/>
                <w:bCs/>
                <w:lang w:val="es-MX"/>
              </w:rPr>
              <w:t xml:space="preserve">. </w:t>
            </w:r>
          </w:p>
          <w:p w:rsidR="00ED232F" w:rsidRDefault="00ED232F">
            <w:pPr>
              <w:spacing w:line="240" w:lineRule="auto"/>
              <w:jc w:val="both"/>
              <w:rPr>
                <w:rFonts w:ascii="Century Gothic" w:hAnsi="Century Gothic" w:cs="Arial"/>
                <w:b/>
                <w:bCs/>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En todos los actos y documentos que emanen de la sociedad, destinados a terceros, la denominación estará siempre seguida de las palabras: “sociedad por acciones simplificada” o de las iníciales “SAS”.</w:t>
            </w:r>
          </w:p>
          <w:p w:rsidR="00ED232F" w:rsidRDefault="00ED232F">
            <w:pPr>
              <w:spacing w:line="240" w:lineRule="auto"/>
              <w:jc w:val="both"/>
              <w:rPr>
                <w:rFonts w:ascii="Century Gothic" w:hAnsi="Century Gothic"/>
                <w:b/>
              </w:rPr>
            </w:pPr>
          </w:p>
          <w:p w:rsidR="00ED232F" w:rsidRDefault="00ED232F">
            <w:pPr>
              <w:spacing w:line="240" w:lineRule="auto"/>
              <w:rPr>
                <w:rFonts w:ascii="Century Gothic" w:hAnsi="Century Gothic" w:cs="Tahoma"/>
                <w:lang w:val="es-MX"/>
              </w:rPr>
            </w:pPr>
            <w:r>
              <w:rPr>
                <w:rFonts w:ascii="Century Gothic" w:hAnsi="Century Gothic"/>
                <w:b/>
              </w:rPr>
              <w:t xml:space="preserve">Artículo 2. </w:t>
            </w:r>
            <w:r>
              <w:rPr>
                <w:rFonts w:ascii="Century Gothic" w:hAnsi="Century Gothic" w:cs="Arial Narrow"/>
                <w:b/>
                <w:bCs/>
              </w:rPr>
              <w:t>DOMICILIO</w:t>
            </w:r>
            <w:r>
              <w:rPr>
                <w:rFonts w:ascii="Century Gothic" w:hAnsi="Century Gothic" w:cs="Arial Narrow"/>
                <w:bCs/>
              </w:rPr>
              <w:t xml:space="preserve">: </w:t>
            </w:r>
            <w:r>
              <w:rPr>
                <w:rFonts w:ascii="Century Gothic" w:hAnsi="Century Gothic" w:cs="Tahoma"/>
              </w:rPr>
              <w:t xml:space="preserve">El domicilio de la sociedad será en el Municipio </w:t>
            </w:r>
            <w:r>
              <w:rPr>
                <w:rFonts w:ascii="Century Gothic" w:hAnsi="Century Gothic" w:cs="Tahoma"/>
                <w:lang w:val="es-MX"/>
              </w:rPr>
              <w:t xml:space="preserve">de en </w:t>
            </w:r>
            <w:r>
              <w:rPr>
                <w:rFonts w:ascii="Century Gothic" w:hAnsi="Century Gothic" w:cs="Arial"/>
                <w:u w:val="single"/>
                <w:lang w:val="es-MX"/>
              </w:rPr>
              <w:t>TUNJA</w:t>
            </w:r>
            <w:r>
              <w:rPr>
                <w:rFonts w:ascii="Century Gothic" w:hAnsi="Century Gothic" w:cs="Tahoma"/>
              </w:rPr>
              <w:t>,</w:t>
            </w:r>
            <w:r>
              <w:rPr>
                <w:rFonts w:ascii="Century Gothic" w:hAnsi="Century Gothic" w:cs="Tahoma"/>
                <w:lang w:val="es-MX"/>
              </w:rPr>
              <w:t xml:space="preserve"> en la </w:t>
            </w:r>
            <w:proofErr w:type="spellStart"/>
            <w:r>
              <w:rPr>
                <w:rFonts w:ascii="Century Gothic" w:hAnsi="Century Gothic" w:cs="Tahoma"/>
                <w:u w:val="single"/>
                <w:lang w:val="es-MX"/>
              </w:rPr>
              <w:t>cra</w:t>
            </w:r>
            <w:proofErr w:type="spellEnd"/>
            <w:r>
              <w:rPr>
                <w:rFonts w:ascii="Century Gothic" w:hAnsi="Century Gothic" w:cs="Tahoma"/>
                <w:u w:val="single"/>
                <w:lang w:val="es-MX"/>
              </w:rPr>
              <w:t xml:space="preserve"> 1e #39-35,</w:t>
            </w:r>
            <w:r>
              <w:rPr>
                <w:rFonts w:ascii="Century Gothic" w:hAnsi="Century Gothic" w:cs="Tahoma"/>
                <w:lang w:val="es-MX"/>
              </w:rPr>
              <w:t xml:space="preserve"> Edificio </w:t>
            </w:r>
            <w:r>
              <w:rPr>
                <w:rFonts w:ascii="Century Gothic" w:hAnsi="Century Gothic" w:cs="Tahoma"/>
                <w:lang w:val="es-MX"/>
              </w:rPr>
              <w:t>marca,</w:t>
            </w:r>
            <w:r>
              <w:rPr>
                <w:rFonts w:ascii="Century Gothic" w:hAnsi="Century Gothic" w:cs="Tahoma"/>
                <w:lang w:val="es-MX"/>
              </w:rPr>
              <w:t xml:space="preserve"> Teléfono números: </w:t>
            </w:r>
            <w:r>
              <w:rPr>
                <w:rFonts w:ascii="Century Gothic" w:hAnsi="Century Gothic" w:cs="Tahoma"/>
                <w:u w:val="single"/>
                <w:lang w:val="es-MX"/>
              </w:rPr>
              <w:t>3002198834</w:t>
            </w:r>
            <w:r>
              <w:rPr>
                <w:rFonts w:ascii="Century Gothic" w:hAnsi="Century Gothic" w:cs="Tahoma"/>
                <w:lang w:val="es-MX"/>
              </w:rPr>
              <w:t xml:space="preserve"> y </w:t>
            </w:r>
            <w:r>
              <w:rPr>
                <w:rFonts w:ascii="Century Gothic" w:hAnsi="Century Gothic" w:cs="Tahoma"/>
                <w:u w:val="single"/>
                <w:lang w:val="es-MX"/>
              </w:rPr>
              <w:t>3108039259</w:t>
            </w:r>
            <w:r>
              <w:rPr>
                <w:rFonts w:ascii="Century Gothic" w:hAnsi="Century Gothic" w:cs="Tahoma"/>
              </w:rPr>
              <w:t>; pero podrá crear sucursales, agencias o dependencias en otros lugares del país o del exterior, por disposición de la junta general de socios y con arreglo a la ley.</w:t>
            </w:r>
          </w:p>
          <w:p w:rsidR="00ED232F" w:rsidRDefault="00ED232F">
            <w:pPr>
              <w:autoSpaceDE w:val="0"/>
              <w:autoSpaceDN w:val="0"/>
              <w:adjustRightInd w:val="0"/>
              <w:spacing w:line="240" w:lineRule="auto"/>
              <w:jc w:val="both"/>
              <w:rPr>
                <w:rFonts w:ascii="Century Gothic" w:hAnsi="Century Gothic" w:cs="Arial Narrow"/>
              </w:rPr>
            </w:pPr>
          </w:p>
          <w:p w:rsidR="00ED232F" w:rsidRDefault="00ED232F">
            <w:pPr>
              <w:autoSpaceDE w:val="0"/>
              <w:autoSpaceDN w:val="0"/>
              <w:adjustRightInd w:val="0"/>
              <w:spacing w:line="240" w:lineRule="auto"/>
              <w:jc w:val="both"/>
              <w:rPr>
                <w:rFonts w:ascii="Century Gothic" w:hAnsi="Century Gothic" w:cs="Arial Narrow"/>
                <w:b/>
                <w:bCs/>
              </w:rPr>
            </w:pPr>
          </w:p>
          <w:p w:rsidR="00ED232F" w:rsidRDefault="00ED232F">
            <w:pPr>
              <w:autoSpaceDE w:val="0"/>
              <w:autoSpaceDN w:val="0"/>
              <w:adjustRightInd w:val="0"/>
              <w:spacing w:line="240" w:lineRule="auto"/>
              <w:jc w:val="both"/>
              <w:rPr>
                <w:rFonts w:ascii="Century Gothic" w:hAnsi="Century Gothic" w:cs="Arial Narrow"/>
              </w:rPr>
            </w:pPr>
            <w:r>
              <w:rPr>
                <w:rFonts w:ascii="Century Gothic" w:hAnsi="Century Gothic" w:cs="Arial Narrow"/>
                <w:b/>
                <w:bCs/>
              </w:rPr>
              <w:t>Artículo 3. DURACIÓN</w:t>
            </w:r>
            <w:r>
              <w:rPr>
                <w:rFonts w:ascii="Century Gothic" w:hAnsi="Century Gothic" w:cs="Arial Narrow"/>
                <w:bCs/>
              </w:rPr>
              <w:t xml:space="preserve">: </w:t>
            </w:r>
            <w:r>
              <w:rPr>
                <w:rFonts w:ascii="Century Gothic" w:hAnsi="Century Gothic" w:cs="Arial Narrow"/>
              </w:rPr>
              <w:t>La sociedad tendrá un término de duración indefinido.</w:t>
            </w:r>
          </w:p>
          <w:p w:rsidR="00ED232F" w:rsidRDefault="00ED232F">
            <w:pPr>
              <w:autoSpaceDE w:val="0"/>
              <w:autoSpaceDN w:val="0"/>
              <w:adjustRightInd w:val="0"/>
              <w:spacing w:line="240" w:lineRule="auto"/>
              <w:jc w:val="both"/>
              <w:rPr>
                <w:rFonts w:ascii="Century Gothic" w:hAnsi="Century Gothic"/>
              </w:rPr>
            </w:pPr>
          </w:p>
          <w:p w:rsidR="00ED232F" w:rsidRDefault="00ED232F">
            <w:pPr>
              <w:spacing w:line="240" w:lineRule="auto"/>
              <w:jc w:val="both"/>
              <w:rPr>
                <w:rFonts w:ascii="Century Gothic" w:hAnsi="Century Gothic"/>
                <w:u w:val="single"/>
              </w:rPr>
            </w:pPr>
            <w:r>
              <w:rPr>
                <w:rFonts w:ascii="Century Gothic" w:hAnsi="Century Gothic" w:cs="Arial Narrow"/>
                <w:b/>
                <w:lang w:val="es-ES"/>
              </w:rPr>
              <w:t>Artículo 4. OBJETO SOCIAL</w:t>
            </w:r>
            <w:r>
              <w:rPr>
                <w:rFonts w:ascii="Century Gothic" w:hAnsi="Century Gothic" w:cs="Arial Narrow"/>
                <w:bCs/>
              </w:rPr>
              <w:t xml:space="preserve">: </w:t>
            </w:r>
            <w:r>
              <w:rPr>
                <w:rFonts w:ascii="Century Gothic" w:hAnsi="Century Gothic" w:cs="Arial Narrow"/>
                <w:bCs/>
                <w:u w:val="single"/>
              </w:rPr>
              <w:t>CREACIÓN Y COMERCIALIZACIÓN DE SOFTWARE</w:t>
            </w:r>
          </w:p>
          <w:p w:rsidR="00ED232F" w:rsidRDefault="00ED232F">
            <w:pPr>
              <w:pStyle w:val="Textoindependiente"/>
              <w:ind w:right="-1"/>
              <w:rPr>
                <w:rFonts w:ascii="Century Gothic" w:hAnsi="Century Gothic"/>
                <w:sz w:val="22"/>
                <w:szCs w:val="22"/>
                <w:lang w:val="es-CO"/>
              </w:rPr>
            </w:pPr>
          </w:p>
          <w:p w:rsidR="00ED232F" w:rsidRDefault="00ED232F">
            <w:pPr>
              <w:pStyle w:val="Textoindependiente"/>
              <w:rPr>
                <w:rFonts w:ascii="Century Gothic" w:hAnsi="Century Gothic" w:cs="Arial Narrow"/>
                <w:b/>
                <w:bCs w:val="0"/>
                <w:sz w:val="22"/>
                <w:szCs w:val="22"/>
              </w:rPr>
            </w:pPr>
          </w:p>
          <w:p w:rsidR="00ED232F" w:rsidRDefault="00ED232F">
            <w:pPr>
              <w:autoSpaceDE w:val="0"/>
              <w:autoSpaceDN w:val="0"/>
              <w:adjustRightInd w:val="0"/>
              <w:spacing w:line="240" w:lineRule="auto"/>
              <w:jc w:val="center"/>
              <w:rPr>
                <w:rFonts w:ascii="Century Gothic" w:hAnsi="Century Gothic"/>
                <w:b/>
              </w:rPr>
            </w:pPr>
            <w:r>
              <w:rPr>
                <w:rFonts w:ascii="Century Gothic" w:hAnsi="Century Gothic" w:cs="Arial Narrow"/>
                <w:b/>
                <w:bCs/>
              </w:rPr>
              <w:lastRenderedPageBreak/>
              <w:t>CAPÍTULO II</w:t>
            </w:r>
          </w:p>
          <w:p w:rsidR="00ED232F" w:rsidRDefault="00ED232F">
            <w:pPr>
              <w:autoSpaceDE w:val="0"/>
              <w:autoSpaceDN w:val="0"/>
              <w:adjustRightInd w:val="0"/>
              <w:spacing w:line="240" w:lineRule="auto"/>
              <w:jc w:val="center"/>
              <w:rPr>
                <w:rFonts w:ascii="Century Gothic" w:hAnsi="Century Gothic" w:cs="Arial Narrow"/>
                <w:b/>
                <w:bCs/>
              </w:rPr>
            </w:pPr>
          </w:p>
          <w:p w:rsidR="00ED232F" w:rsidRDefault="00ED232F">
            <w:pPr>
              <w:autoSpaceDE w:val="0"/>
              <w:autoSpaceDN w:val="0"/>
              <w:adjustRightInd w:val="0"/>
              <w:spacing w:line="240" w:lineRule="auto"/>
              <w:jc w:val="center"/>
              <w:rPr>
                <w:rFonts w:ascii="Century Gothic" w:hAnsi="Century Gothic" w:cs="Arial Narrow"/>
                <w:b/>
                <w:bCs/>
              </w:rPr>
            </w:pPr>
            <w:r>
              <w:rPr>
                <w:rFonts w:ascii="Century Gothic" w:hAnsi="Century Gothic" w:cs="Arial Narrow"/>
                <w:b/>
                <w:bCs/>
              </w:rPr>
              <w:t>CAPITAL, ACCIONISTAS Y RÉGIMEN DE LAS ACCIONES</w:t>
            </w:r>
          </w:p>
          <w:p w:rsidR="00ED232F" w:rsidRDefault="00ED232F">
            <w:pPr>
              <w:autoSpaceDE w:val="0"/>
              <w:autoSpaceDN w:val="0"/>
              <w:adjustRightInd w:val="0"/>
              <w:spacing w:line="240" w:lineRule="auto"/>
              <w:jc w:val="center"/>
              <w:rPr>
                <w:rFonts w:ascii="Century Gothic" w:hAnsi="Century Gothic" w:cs="Arial Narrow"/>
                <w:b/>
                <w:bCs/>
              </w:rPr>
            </w:pPr>
          </w:p>
          <w:p w:rsidR="00ED232F" w:rsidRDefault="00ED232F">
            <w:pPr>
              <w:autoSpaceDE w:val="0"/>
              <w:autoSpaceDN w:val="0"/>
              <w:adjustRightInd w:val="0"/>
              <w:spacing w:line="240" w:lineRule="auto"/>
              <w:jc w:val="both"/>
              <w:rPr>
                <w:rFonts w:ascii="Century Gothic" w:hAnsi="Century Gothic" w:cs="Arial Narrow"/>
                <w:u w:val="single"/>
              </w:rPr>
            </w:pPr>
            <w:r>
              <w:rPr>
                <w:rFonts w:ascii="Century Gothic" w:hAnsi="Century Gothic" w:cs="Arial Narrow"/>
                <w:b/>
                <w:bCs/>
              </w:rPr>
              <w:t>Artículo 5. CAPITAL AUTORIZADO:</w:t>
            </w:r>
            <w:r>
              <w:rPr>
                <w:rFonts w:ascii="Century Gothic" w:hAnsi="Century Gothic" w:cs="Arial Narrow"/>
                <w:bCs/>
              </w:rPr>
              <w:t xml:space="preserve"> </w:t>
            </w:r>
            <w:r>
              <w:rPr>
                <w:rFonts w:ascii="Century Gothic" w:hAnsi="Century Gothic" w:cs="Arial Narrow"/>
              </w:rPr>
              <w:t xml:space="preserve">El capital autorizado de la sociedad es la suma de </w:t>
            </w:r>
            <w:r>
              <w:rPr>
                <w:rFonts w:ascii="Century Gothic" w:hAnsi="Century Gothic" w:cs="Arial Narrow"/>
                <w:u w:val="single"/>
              </w:rPr>
              <w:t xml:space="preserve">  TRES MILLONES OCHENTA Y CINCO MIL OCHOCIENTOS TREINTA</w:t>
            </w:r>
            <w:r>
              <w:rPr>
                <w:rFonts w:ascii="Century Gothic" w:hAnsi="Century Gothic" w:cs="Arial Narrow"/>
              </w:rPr>
              <w:t xml:space="preserve"> (</w:t>
            </w:r>
            <w:r>
              <w:rPr>
                <w:rFonts w:ascii="Century Gothic" w:hAnsi="Century Gothic" w:cs="Arial Narrow"/>
                <w:u w:val="single"/>
              </w:rPr>
              <w:t>$3’085.830)</w:t>
            </w:r>
            <w:r>
              <w:rPr>
                <w:rFonts w:ascii="Century Gothic" w:hAnsi="Century Gothic" w:cs="Arial Narrow"/>
              </w:rPr>
              <w:t xml:space="preserve">, representados en </w:t>
            </w:r>
            <w:r>
              <w:rPr>
                <w:rFonts w:ascii="Century Gothic" w:hAnsi="Century Gothic" w:cs="Arial Narrow"/>
                <w:u w:val="single"/>
              </w:rPr>
              <w:t>SESENTA</w:t>
            </w:r>
            <w:r>
              <w:rPr>
                <w:rFonts w:ascii="Century Gothic" w:hAnsi="Century Gothic" w:cs="Arial Narrow"/>
              </w:rPr>
              <w:t xml:space="preserve"> (6</w:t>
            </w:r>
            <w:r>
              <w:rPr>
                <w:rFonts w:ascii="Century Gothic" w:hAnsi="Century Gothic" w:cs="Arial Narrow"/>
                <w:u w:val="single"/>
              </w:rPr>
              <w:t>0</w:t>
            </w:r>
            <w:r>
              <w:rPr>
                <w:rFonts w:ascii="Century Gothic" w:hAnsi="Century Gothic" w:cs="Arial Narrow"/>
              </w:rPr>
              <w:t xml:space="preserve">) acciones nominativas de un valor nominal de </w:t>
            </w:r>
            <w:r>
              <w:rPr>
                <w:rFonts w:ascii="Century Gothic" w:hAnsi="Century Gothic" w:cs="Arial Narrow"/>
                <w:u w:val="single"/>
              </w:rPr>
              <w:t xml:space="preserve">CINCUENTA Y UN MIL CUATROCIENTOS TREINTA </w:t>
            </w:r>
            <w:r>
              <w:rPr>
                <w:rFonts w:ascii="Century Gothic" w:hAnsi="Century Gothic" w:cs="Arial Narrow"/>
              </w:rPr>
              <w:t>(</w:t>
            </w:r>
            <w:r>
              <w:rPr>
                <w:rFonts w:ascii="Century Gothic" w:hAnsi="Century Gothic" w:cs="Arial Narrow"/>
                <w:u w:val="single"/>
              </w:rPr>
              <w:t>$51.430</w:t>
            </w:r>
            <w:r>
              <w:rPr>
                <w:rFonts w:ascii="Century Gothic" w:hAnsi="Century Gothic" w:cs="Arial Narrow"/>
              </w:rPr>
              <w:t>) cada una.</w:t>
            </w:r>
          </w:p>
          <w:p w:rsidR="00ED232F" w:rsidRDefault="00ED232F">
            <w:pPr>
              <w:autoSpaceDE w:val="0"/>
              <w:autoSpaceDN w:val="0"/>
              <w:adjustRightInd w:val="0"/>
              <w:spacing w:line="240" w:lineRule="auto"/>
              <w:jc w:val="both"/>
              <w:rPr>
                <w:rFonts w:ascii="Century Gothic" w:hAnsi="Century Gothic" w:cs="Arial Narrow"/>
              </w:rPr>
            </w:pPr>
          </w:p>
          <w:p w:rsidR="00ED232F" w:rsidRDefault="00ED232F">
            <w:pPr>
              <w:autoSpaceDE w:val="0"/>
              <w:autoSpaceDN w:val="0"/>
              <w:adjustRightInd w:val="0"/>
              <w:spacing w:line="240" w:lineRule="auto"/>
              <w:jc w:val="both"/>
              <w:rPr>
                <w:rFonts w:ascii="Century Gothic" w:hAnsi="Century Gothic" w:cs="Arial Narrow"/>
              </w:rPr>
            </w:pPr>
            <w:r>
              <w:rPr>
                <w:rFonts w:ascii="Century Gothic" w:hAnsi="Century Gothic" w:cs="Arial Narrow"/>
                <w:b/>
                <w:bCs/>
              </w:rPr>
              <w:t>Artículo 6. CAPITAL SUSCRITO</w:t>
            </w:r>
            <w:r>
              <w:rPr>
                <w:rFonts w:ascii="Century Gothic" w:hAnsi="Century Gothic" w:cs="Arial Narrow"/>
                <w:bCs/>
              </w:rPr>
              <w:t xml:space="preserve">: </w:t>
            </w:r>
            <w:r>
              <w:rPr>
                <w:rFonts w:ascii="Century Gothic" w:hAnsi="Century Gothic" w:cs="Arial Narrow"/>
              </w:rPr>
              <w:t xml:space="preserve">Del capital autorizado de la sociedad a la fecha ha sido suscrita la suma de </w:t>
            </w:r>
            <w:r>
              <w:rPr>
                <w:rFonts w:ascii="Century Gothic" w:hAnsi="Century Gothic" w:cs="Arial Narrow"/>
                <w:u w:val="single"/>
              </w:rPr>
              <w:t>TRES MILLONES OCHENTA Y CINCO MIL OCHOCIENTOS TREINTA</w:t>
            </w:r>
            <w:r>
              <w:rPr>
                <w:rFonts w:ascii="Century Gothic" w:hAnsi="Century Gothic" w:cs="Arial Narrow"/>
              </w:rPr>
              <w:t xml:space="preserve"> (</w:t>
            </w:r>
            <w:r>
              <w:rPr>
                <w:rFonts w:ascii="Century Gothic" w:hAnsi="Century Gothic" w:cs="Arial Narrow"/>
                <w:u w:val="single"/>
              </w:rPr>
              <w:t>$3’085.830</w:t>
            </w:r>
            <w:r>
              <w:rPr>
                <w:rFonts w:ascii="Century Gothic" w:hAnsi="Century Gothic" w:cs="Arial Narrow"/>
              </w:rPr>
              <w:t xml:space="preserve">), representado en </w:t>
            </w:r>
            <w:r>
              <w:rPr>
                <w:rFonts w:ascii="Century Gothic" w:hAnsi="Century Gothic" w:cs="Arial Narrow"/>
                <w:u w:val="single"/>
              </w:rPr>
              <w:t>SESENTA</w:t>
            </w:r>
            <w:r>
              <w:rPr>
                <w:rFonts w:ascii="Century Gothic" w:hAnsi="Century Gothic" w:cs="Arial Narrow"/>
              </w:rPr>
              <w:t xml:space="preserve"> (</w:t>
            </w:r>
            <w:r>
              <w:rPr>
                <w:rFonts w:ascii="Century Gothic" w:hAnsi="Century Gothic" w:cs="Arial Narrow"/>
                <w:u w:val="single"/>
              </w:rPr>
              <w:t>60</w:t>
            </w:r>
            <w:r>
              <w:rPr>
                <w:rFonts w:ascii="Century Gothic" w:hAnsi="Century Gothic" w:cs="Arial Narrow"/>
              </w:rPr>
              <w:t xml:space="preserve">) acciones nominativas de un valor nominal de </w:t>
            </w:r>
            <w:r>
              <w:rPr>
                <w:rFonts w:ascii="Century Gothic" w:hAnsi="Century Gothic" w:cs="Arial Narrow"/>
                <w:u w:val="single"/>
              </w:rPr>
              <w:t>CINCUENTA Y UN MIL CUATROCIENTOS TREINTA</w:t>
            </w:r>
            <w:r>
              <w:rPr>
                <w:rFonts w:ascii="Century Gothic" w:hAnsi="Century Gothic" w:cs="Arial Narrow"/>
              </w:rPr>
              <w:t xml:space="preserve"> (</w:t>
            </w:r>
            <w:r>
              <w:rPr>
                <w:rFonts w:ascii="Century Gothic" w:hAnsi="Century Gothic" w:cs="Arial Narrow"/>
                <w:u w:val="single"/>
              </w:rPr>
              <w:t>$51.430</w:t>
            </w:r>
            <w:r>
              <w:rPr>
                <w:rFonts w:ascii="Century Gothic" w:hAnsi="Century Gothic" w:cs="Arial Narrow"/>
              </w:rPr>
              <w:t>) cada una.</w:t>
            </w:r>
          </w:p>
          <w:p w:rsidR="00ED232F" w:rsidRDefault="00ED232F">
            <w:pPr>
              <w:spacing w:line="276" w:lineRule="auto"/>
              <w:jc w:val="both"/>
              <w:rPr>
                <w:rFonts w:ascii="Century Gothic" w:hAnsi="Century Gothic" w:cs="Arial"/>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46"/>
              <w:gridCol w:w="1689"/>
              <w:gridCol w:w="1449"/>
              <w:gridCol w:w="1672"/>
            </w:tblGrid>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color w:val="auto"/>
                      <w:sz w:val="22"/>
                      <w:szCs w:val="22"/>
                    </w:rPr>
                    <w:t>ACCIONISTA</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color w:val="auto"/>
                      <w:sz w:val="22"/>
                      <w:szCs w:val="22"/>
                    </w:rPr>
                  </w:pPr>
                  <w:r>
                    <w:rPr>
                      <w:rFonts w:ascii="Century Gothic" w:hAnsi="Century Gothic" w:cs="Arial"/>
                      <w:color w:val="auto"/>
                      <w:sz w:val="22"/>
                      <w:szCs w:val="22"/>
                    </w:rPr>
                    <w:t>ACCIONES SUSCRITAS</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color w:val="auto"/>
                      <w:sz w:val="22"/>
                      <w:szCs w:val="22"/>
                    </w:rPr>
                    <w:t>VALOR NOMINAL</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color w:val="auto"/>
                      <w:sz w:val="22"/>
                      <w:szCs w:val="22"/>
                    </w:rPr>
                    <w:t>TOTAL</w:t>
                  </w:r>
                </w:p>
              </w:tc>
            </w:tr>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rPr>
                      <w:rFonts w:ascii="Century Gothic" w:hAnsi="Century Gothic" w:cs="Arial"/>
                      <w:b w:val="0"/>
                      <w:color w:val="auto"/>
                      <w:sz w:val="22"/>
                      <w:szCs w:val="22"/>
                    </w:rPr>
                  </w:pPr>
                  <w:r>
                    <w:rPr>
                      <w:rFonts w:ascii="Century Gothic" w:hAnsi="Century Gothic" w:cs="Arial"/>
                      <w:b w:val="0"/>
                      <w:color w:val="auto"/>
                      <w:sz w:val="22"/>
                      <w:szCs w:val="22"/>
                    </w:rPr>
                    <w:t>CRISTIAN CAMILO QUIROGA MORENO</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15</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51.430.5</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771.457.5</w:t>
                  </w:r>
                </w:p>
              </w:tc>
            </w:tr>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rPr>
                      <w:rFonts w:ascii="Century Gothic" w:hAnsi="Century Gothic" w:cs="Arial"/>
                      <w:b w:val="0"/>
                      <w:color w:val="auto"/>
                      <w:sz w:val="22"/>
                      <w:szCs w:val="22"/>
                    </w:rPr>
                  </w:pPr>
                  <w:r>
                    <w:rPr>
                      <w:rFonts w:ascii="Century Gothic" w:hAnsi="Century Gothic" w:cs="Arial"/>
                      <w:b w:val="0"/>
                      <w:color w:val="auto"/>
                      <w:sz w:val="22"/>
                      <w:szCs w:val="22"/>
                    </w:rPr>
                    <w:t xml:space="preserve">ALBA XIMENA RUIZ MORENO </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15</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51.430.5</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771.457.5</w:t>
                  </w:r>
                </w:p>
              </w:tc>
            </w:tr>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rPr>
                      <w:rFonts w:ascii="Century Gothic" w:hAnsi="Century Gothic" w:cs="Arial"/>
                      <w:b w:val="0"/>
                      <w:color w:val="auto"/>
                      <w:sz w:val="22"/>
                      <w:szCs w:val="22"/>
                    </w:rPr>
                  </w:pPr>
                  <w:r>
                    <w:rPr>
                      <w:rFonts w:ascii="Century Gothic" w:hAnsi="Century Gothic" w:cs="Arial"/>
                      <w:b w:val="0"/>
                      <w:color w:val="auto"/>
                      <w:sz w:val="22"/>
                      <w:szCs w:val="22"/>
                    </w:rPr>
                    <w:t>ERIKA LIZETH RIVERA LOPEZ</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15</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51.430.5</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771.457.5</w:t>
                  </w:r>
                </w:p>
              </w:tc>
            </w:tr>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rPr>
                      <w:rFonts w:ascii="Century Gothic" w:hAnsi="Century Gothic" w:cs="Arial"/>
                      <w:b w:val="0"/>
                      <w:color w:val="auto"/>
                      <w:sz w:val="22"/>
                      <w:szCs w:val="22"/>
                    </w:rPr>
                  </w:pPr>
                  <w:r>
                    <w:rPr>
                      <w:rFonts w:ascii="Century Gothic" w:hAnsi="Century Gothic" w:cs="Arial"/>
                      <w:b w:val="0"/>
                      <w:color w:val="auto"/>
                      <w:sz w:val="22"/>
                      <w:szCs w:val="22"/>
                    </w:rPr>
                    <w:t>LAURA ELIZABETH CASTELLANOS DÚCON</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15</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51.430.5</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771.457.5</w:t>
                  </w:r>
                </w:p>
              </w:tc>
            </w:tr>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color w:val="auto"/>
                      <w:sz w:val="22"/>
                      <w:szCs w:val="22"/>
                    </w:rPr>
                    <w:t>TOTAL</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bCs w:val="0"/>
                      <w:color w:val="auto"/>
                      <w:sz w:val="22"/>
                      <w:szCs w:val="22"/>
                    </w:rPr>
                    <w:t>60</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bCs w:val="0"/>
                      <w:color w:val="auto"/>
                      <w:sz w:val="22"/>
                      <w:szCs w:val="22"/>
                    </w:rPr>
                    <w:t>205.720</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bCs w:val="0"/>
                      <w:color w:val="auto"/>
                      <w:sz w:val="22"/>
                      <w:szCs w:val="22"/>
                    </w:rPr>
                    <w:t>3’085.830</w:t>
                  </w:r>
                </w:p>
              </w:tc>
            </w:tr>
          </w:tbl>
          <w:p w:rsidR="00ED232F" w:rsidRDefault="00ED232F">
            <w:pPr>
              <w:spacing w:line="276" w:lineRule="auto"/>
              <w:jc w:val="both"/>
              <w:rPr>
                <w:rFonts w:ascii="Century Gothic" w:hAnsi="Century Gothic" w:cs="Arial"/>
                <w:lang w:val="es-MX"/>
              </w:rPr>
            </w:pPr>
          </w:p>
          <w:p w:rsidR="00ED232F" w:rsidRDefault="00ED232F">
            <w:pPr>
              <w:autoSpaceDE w:val="0"/>
              <w:autoSpaceDN w:val="0"/>
              <w:adjustRightInd w:val="0"/>
              <w:spacing w:line="240" w:lineRule="auto"/>
              <w:jc w:val="both"/>
              <w:rPr>
                <w:rFonts w:ascii="Century Gothic" w:hAnsi="Century Gothic" w:cs="Arial Narrow"/>
              </w:rPr>
            </w:pPr>
            <w:r>
              <w:rPr>
                <w:rFonts w:ascii="Century Gothic" w:hAnsi="Century Gothic" w:cs="Arial Narrow"/>
                <w:b/>
                <w:bCs/>
              </w:rPr>
              <w:t>Artículo 7. CAPITAL PAGADO</w:t>
            </w:r>
            <w:r>
              <w:rPr>
                <w:rFonts w:ascii="Century Gothic" w:hAnsi="Century Gothic" w:cs="Arial Narrow"/>
                <w:bCs/>
              </w:rPr>
              <w:t xml:space="preserve">: </w:t>
            </w:r>
            <w:r>
              <w:rPr>
                <w:rFonts w:ascii="Century Gothic" w:hAnsi="Century Gothic" w:cs="Arial Narrow"/>
              </w:rPr>
              <w:t xml:space="preserve">El capital pagado asciende a la suma de </w:t>
            </w:r>
            <w:r>
              <w:rPr>
                <w:rFonts w:ascii="Century Gothic" w:hAnsi="Century Gothic" w:cs="Arial Narrow"/>
                <w:u w:val="single"/>
              </w:rPr>
              <w:t>UN MILLÓN DOSCIENTOS MIL PESOS</w:t>
            </w:r>
            <w:r>
              <w:rPr>
                <w:rFonts w:ascii="Century Gothic" w:hAnsi="Century Gothic" w:cs="Arial Narrow"/>
              </w:rPr>
              <w:t xml:space="preserve"> (</w:t>
            </w:r>
            <w:r>
              <w:rPr>
                <w:rFonts w:ascii="Century Gothic" w:hAnsi="Century Gothic" w:cs="Arial Narrow"/>
                <w:u w:val="single"/>
              </w:rPr>
              <w:t>$1’200.000</w:t>
            </w:r>
            <w:r>
              <w:rPr>
                <w:rFonts w:ascii="Century Gothic" w:hAnsi="Century Gothic" w:cs="Arial Narrow"/>
              </w:rPr>
              <w:t xml:space="preserve">), representado en </w:t>
            </w:r>
            <w:r>
              <w:rPr>
                <w:rFonts w:ascii="Century Gothic" w:hAnsi="Century Gothic" w:cs="Arial Narrow"/>
                <w:u w:val="single"/>
              </w:rPr>
              <w:t>SESENTA</w:t>
            </w:r>
            <w:r>
              <w:rPr>
                <w:rFonts w:ascii="Century Gothic" w:hAnsi="Century Gothic" w:cs="Arial Narrow"/>
              </w:rPr>
              <w:t xml:space="preserve"> (</w:t>
            </w:r>
            <w:r>
              <w:rPr>
                <w:rFonts w:ascii="Century Gothic" w:hAnsi="Century Gothic" w:cs="Arial Narrow"/>
                <w:u w:val="single"/>
              </w:rPr>
              <w:t>60</w:t>
            </w:r>
            <w:r>
              <w:rPr>
                <w:rFonts w:ascii="Century Gothic" w:hAnsi="Century Gothic" w:cs="Arial Narrow"/>
              </w:rPr>
              <w:t xml:space="preserve">) acciones nominativas de un valor nominal de </w:t>
            </w:r>
            <w:r>
              <w:rPr>
                <w:rFonts w:ascii="Century Gothic" w:hAnsi="Century Gothic" w:cs="Arial Narrow"/>
                <w:u w:val="single"/>
              </w:rPr>
              <w:t>QUINCE MIL PESOS</w:t>
            </w:r>
            <w:r>
              <w:rPr>
                <w:rFonts w:ascii="Century Gothic" w:hAnsi="Century Gothic" w:cs="Arial Narrow"/>
              </w:rPr>
              <w:t xml:space="preserve"> (</w:t>
            </w:r>
            <w:r>
              <w:rPr>
                <w:rFonts w:ascii="Century Gothic" w:hAnsi="Century Gothic" w:cs="Arial Narrow"/>
                <w:u w:val="single"/>
              </w:rPr>
              <w:t>$15.000</w:t>
            </w:r>
            <w:r>
              <w:rPr>
                <w:rFonts w:ascii="Century Gothic" w:hAnsi="Century Gothic" w:cs="Arial Narrow"/>
              </w:rPr>
              <w:t>) cada una, distribuidas así:</w:t>
            </w:r>
          </w:p>
          <w:p w:rsidR="00ED232F" w:rsidRDefault="00ED232F">
            <w:pPr>
              <w:spacing w:line="276" w:lineRule="auto"/>
              <w:jc w:val="both"/>
              <w:rPr>
                <w:rFonts w:ascii="Century Gothic" w:hAnsi="Century Gothic" w:cs="Arial"/>
                <w:lang w:val="es-MX"/>
              </w:rPr>
            </w:pPr>
            <w:r>
              <w:rPr>
                <w:rFonts w:ascii="Century Gothic" w:hAnsi="Century Gothic" w:cs="Tahoma"/>
              </w:rPr>
              <w:t xml:space="preserve">    </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46"/>
              <w:gridCol w:w="1689"/>
              <w:gridCol w:w="1449"/>
              <w:gridCol w:w="1672"/>
            </w:tblGrid>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color w:val="auto"/>
                      <w:sz w:val="22"/>
                      <w:szCs w:val="22"/>
                    </w:rPr>
                    <w:t>ACCIONISTA</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color w:val="auto"/>
                      <w:sz w:val="22"/>
                      <w:szCs w:val="22"/>
                    </w:rPr>
                  </w:pPr>
                  <w:r>
                    <w:rPr>
                      <w:rFonts w:ascii="Century Gothic" w:hAnsi="Century Gothic" w:cs="Arial"/>
                      <w:color w:val="auto"/>
                      <w:sz w:val="22"/>
                      <w:szCs w:val="22"/>
                    </w:rPr>
                    <w:t>ACCIONES PAGADAS</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color w:val="auto"/>
                      <w:sz w:val="22"/>
                      <w:szCs w:val="22"/>
                    </w:rPr>
                    <w:t>VALOR NOMINAL</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color w:val="auto"/>
                      <w:sz w:val="22"/>
                      <w:szCs w:val="22"/>
                    </w:rPr>
                    <w:t>TOTAL</w:t>
                  </w:r>
                </w:p>
              </w:tc>
            </w:tr>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rPr>
                      <w:rFonts w:ascii="Century Gothic" w:hAnsi="Century Gothic" w:cs="Arial"/>
                      <w:b w:val="0"/>
                      <w:color w:val="auto"/>
                      <w:sz w:val="22"/>
                      <w:szCs w:val="22"/>
                    </w:rPr>
                  </w:pPr>
                  <w:r>
                    <w:rPr>
                      <w:rFonts w:ascii="Century Gothic" w:hAnsi="Century Gothic" w:cs="Arial"/>
                      <w:b w:val="0"/>
                      <w:color w:val="auto"/>
                      <w:sz w:val="22"/>
                      <w:szCs w:val="22"/>
                    </w:rPr>
                    <w:t>CRISTIAN CAMILO QUIROGA MORENO</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15</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51.430.5</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771.457.5</w:t>
                  </w:r>
                </w:p>
              </w:tc>
            </w:tr>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rPr>
                      <w:rFonts w:ascii="Century Gothic" w:hAnsi="Century Gothic" w:cs="Arial"/>
                      <w:b w:val="0"/>
                      <w:color w:val="auto"/>
                      <w:sz w:val="22"/>
                      <w:szCs w:val="22"/>
                    </w:rPr>
                  </w:pPr>
                  <w:r>
                    <w:rPr>
                      <w:rFonts w:ascii="Century Gothic" w:hAnsi="Century Gothic" w:cs="Arial"/>
                      <w:b w:val="0"/>
                      <w:color w:val="auto"/>
                      <w:sz w:val="22"/>
                      <w:szCs w:val="22"/>
                    </w:rPr>
                    <w:t xml:space="preserve">ALBA XIMENA RUIZ MORENO </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15</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51.430.5</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771.457.5</w:t>
                  </w:r>
                </w:p>
              </w:tc>
            </w:tr>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rPr>
                      <w:rFonts w:ascii="Century Gothic" w:hAnsi="Century Gothic" w:cs="Arial"/>
                      <w:b w:val="0"/>
                      <w:color w:val="auto"/>
                      <w:sz w:val="22"/>
                      <w:szCs w:val="22"/>
                    </w:rPr>
                  </w:pPr>
                  <w:r>
                    <w:rPr>
                      <w:rFonts w:ascii="Century Gothic" w:hAnsi="Century Gothic" w:cs="Arial"/>
                      <w:b w:val="0"/>
                      <w:color w:val="auto"/>
                      <w:sz w:val="22"/>
                      <w:szCs w:val="22"/>
                    </w:rPr>
                    <w:t>ERIKA LIZETH RIVERA LOPEZ</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15</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51.430.5</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771.457.5</w:t>
                  </w:r>
                </w:p>
              </w:tc>
            </w:tr>
            <w:tr w:rsidR="00ED232F">
              <w:trPr>
                <w:trHeight w:val="70"/>
              </w:trPr>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rPr>
                      <w:rFonts w:ascii="Century Gothic" w:hAnsi="Century Gothic" w:cs="Arial"/>
                      <w:b w:val="0"/>
                      <w:color w:val="auto"/>
                      <w:sz w:val="22"/>
                      <w:szCs w:val="22"/>
                    </w:rPr>
                  </w:pPr>
                  <w:r>
                    <w:rPr>
                      <w:rFonts w:ascii="Century Gothic" w:hAnsi="Century Gothic" w:cs="Arial"/>
                      <w:b w:val="0"/>
                      <w:color w:val="auto"/>
                      <w:sz w:val="22"/>
                      <w:szCs w:val="22"/>
                    </w:rPr>
                    <w:t>LAURA ELIZABETH CASTELLANOS DÚCON</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15</w:t>
                  </w:r>
                </w:p>
              </w:tc>
              <w:tc>
                <w:tcPr>
                  <w:tcW w:w="144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51.430.5</w:t>
                  </w: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 w:val="0"/>
                      <w:color w:val="auto"/>
                      <w:sz w:val="22"/>
                      <w:szCs w:val="22"/>
                    </w:rPr>
                  </w:pPr>
                  <w:r>
                    <w:rPr>
                      <w:rFonts w:ascii="Century Gothic" w:hAnsi="Century Gothic" w:cs="Arial"/>
                      <w:b w:val="0"/>
                      <w:color w:val="auto"/>
                      <w:sz w:val="22"/>
                      <w:szCs w:val="22"/>
                    </w:rPr>
                    <w:t>771.457.5</w:t>
                  </w:r>
                </w:p>
              </w:tc>
            </w:tr>
            <w:tr w:rsidR="00ED232F">
              <w:tc>
                <w:tcPr>
                  <w:tcW w:w="4546"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color w:val="auto"/>
                      <w:sz w:val="22"/>
                      <w:szCs w:val="22"/>
                    </w:rPr>
                    <w:t>TOTAL</w:t>
                  </w:r>
                </w:p>
              </w:tc>
              <w:tc>
                <w:tcPr>
                  <w:tcW w:w="1689"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bCs w:val="0"/>
                      <w:color w:val="auto"/>
                      <w:sz w:val="22"/>
                      <w:szCs w:val="22"/>
                    </w:rPr>
                    <w:t>-</w:t>
                  </w:r>
                </w:p>
              </w:tc>
              <w:tc>
                <w:tcPr>
                  <w:tcW w:w="1449" w:type="dxa"/>
                  <w:tcBorders>
                    <w:top w:val="single" w:sz="4" w:space="0" w:color="auto"/>
                    <w:left w:val="single" w:sz="4" w:space="0" w:color="auto"/>
                    <w:bottom w:val="single" w:sz="4" w:space="0" w:color="auto"/>
                    <w:right w:val="single" w:sz="4" w:space="0" w:color="auto"/>
                  </w:tcBorders>
                </w:tcPr>
                <w:p w:rsidR="00ED232F" w:rsidRDefault="00ED232F">
                  <w:pPr>
                    <w:pStyle w:val="Ttulo3"/>
                    <w:spacing w:line="276" w:lineRule="auto"/>
                    <w:jc w:val="center"/>
                    <w:rPr>
                      <w:rFonts w:ascii="Century Gothic" w:hAnsi="Century Gothic" w:cs="Arial"/>
                      <w:bCs w:val="0"/>
                      <w:color w:val="auto"/>
                      <w:sz w:val="22"/>
                      <w:szCs w:val="22"/>
                    </w:rPr>
                  </w:pPr>
                </w:p>
              </w:tc>
              <w:tc>
                <w:tcPr>
                  <w:tcW w:w="1672" w:type="dxa"/>
                  <w:tcBorders>
                    <w:top w:val="single" w:sz="4" w:space="0" w:color="auto"/>
                    <w:left w:val="single" w:sz="4" w:space="0" w:color="auto"/>
                    <w:bottom w:val="single" w:sz="4" w:space="0" w:color="auto"/>
                    <w:right w:val="single" w:sz="4" w:space="0" w:color="auto"/>
                  </w:tcBorders>
                  <w:hideMark/>
                </w:tcPr>
                <w:p w:rsidR="00ED232F" w:rsidRDefault="00ED232F">
                  <w:pPr>
                    <w:pStyle w:val="Ttulo3"/>
                    <w:spacing w:line="276" w:lineRule="auto"/>
                    <w:jc w:val="center"/>
                    <w:rPr>
                      <w:rFonts w:ascii="Century Gothic" w:hAnsi="Century Gothic" w:cs="Arial"/>
                      <w:bCs w:val="0"/>
                      <w:color w:val="auto"/>
                      <w:sz w:val="22"/>
                      <w:szCs w:val="22"/>
                    </w:rPr>
                  </w:pPr>
                  <w:r>
                    <w:rPr>
                      <w:rFonts w:ascii="Century Gothic" w:hAnsi="Century Gothic" w:cs="Arial"/>
                      <w:bCs w:val="0"/>
                      <w:color w:val="auto"/>
                      <w:sz w:val="22"/>
                      <w:szCs w:val="22"/>
                    </w:rPr>
                    <w:t>-</w:t>
                  </w:r>
                </w:p>
              </w:tc>
            </w:tr>
          </w:tbl>
          <w:p w:rsidR="00ED232F" w:rsidRDefault="00ED232F">
            <w:pPr>
              <w:spacing w:line="276"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 xml:space="preserve">Artículo 8º. DERECHOS QUE CONFIEREN LAS ACCIONES. - </w:t>
            </w:r>
            <w:r>
              <w:rPr>
                <w:rFonts w:ascii="Century Gothic" w:hAnsi="Century Gothic" w:cs="Arial"/>
                <w:lang w:val="es-MX"/>
              </w:rPr>
              <w:t xml:space="preserve">En el momento de la constitución de la sociedad, todos los títulos de capital emitidos pertenecen a la misma clase de acciones ordinarias. A cada acción le corresponde un voto en las decisiones de la asamblea general de accionistas. </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lastRenderedPageBreak/>
              <w:t xml:space="preserve">Los derechos y obligaciones que le confiere cada acción a su titular les serán transferidos a quien las adquiriere, luego de efectuarse su cesión a cualquier título. </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La propiedad de una acción implica la adhesión a los estatutos y a las decisiones colectivas de los accionistas.</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 xml:space="preserve">Artículo 9º. NATURALEZA DE LAS ACCIONES. - </w:t>
            </w:r>
            <w:r>
              <w:rPr>
                <w:rFonts w:ascii="Century Gothic" w:hAnsi="Century Gothic" w:cs="Arial"/>
                <w:lang w:val="es-MX"/>
              </w:rPr>
              <w:t>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 xml:space="preserve">Artículo 10º. AUMENTO DEL CAPITAL SUSCRITO. - </w:t>
            </w:r>
            <w:r>
              <w:rPr>
                <w:rFonts w:ascii="Century Gothic" w:hAnsi="Century Gothic" w:cs="Arial"/>
                <w:lang w:val="es-MX"/>
              </w:rPr>
              <w:t xml:space="preserve">El capital suscrito podrá ser aumentado sucesivamente por todos los medios y en las condiciones previstas en estos estatutos y en la ley. Las acciones ordinarias no suscritas en el acto de constitución podrán ser emitidas mediante decisión del representante legal, quien aprobará el reglamento respectivo y formulará la oferta en los términos que se prevean en el reglamento. </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11º. DERECHO DE PREFERENCIA. -</w:t>
            </w:r>
            <w:r>
              <w:rPr>
                <w:rFonts w:ascii="Century Gothic" w:hAnsi="Century Gothic" w:cs="Arial"/>
                <w:lang w:val="es-MX"/>
              </w:rPr>
              <w:t xml:space="preserve"> Salvo decisión de la asamblea general de accionistas, aprobada mediante votación de uno o varios accionistas que representen cuando menos el setenta por ciento de las acciones presentes en la respectiva reunión, el reglamento de colocación preverá que las acciones se coloquen con sujeción al derecho de preferencia, de manera que cada accionista pueda suscribir un número de acciones proporcional a las que tenga en la fecha del aviso de oferta. El derecho de preferencia también será aplicable respecto de la emisión de cualquier otra clase títulos, incluidos los bonos, los bonos obligatoriamente convertibles en acciones, las acciones con dividendo preferencial y sin derecho a voto, las acciones con dividendo fijo anual y las acciones privilegiadas. </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Parágrafo Primero. -</w:t>
            </w:r>
            <w:r>
              <w:rPr>
                <w:rFonts w:ascii="Century Gothic" w:hAnsi="Century Gothic" w:cs="Arial"/>
                <w:lang w:val="es-MX"/>
              </w:rPr>
              <w:t xml:space="preserve"> El derecho de preferencia a que se refiere este artículo, se aplicará también en hipótesis de transferencia universal de patrimonio, tales como liquidación, fusión y escisión en cualquiera de sus modalidades. Así mismo, existirá derecho de preferencia para la cesión de fracciones en el momento de la suscripción y para la cesión del derecho de suscripción preferente.</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Parágrafo Segundo</w:t>
            </w:r>
            <w:r>
              <w:rPr>
                <w:rFonts w:ascii="Century Gothic" w:hAnsi="Century Gothic" w:cs="Arial"/>
                <w:lang w:val="es-MX"/>
              </w:rPr>
              <w:t>. - No existirá derecho de retracto a favor de la sociedad.</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12º. CLASES Y SERIES DE ACCIONES. -</w:t>
            </w:r>
            <w:r>
              <w:rPr>
                <w:rFonts w:ascii="Century Gothic" w:hAnsi="Century Gothic" w:cs="Arial"/>
                <w:lang w:val="es-MX"/>
              </w:rPr>
              <w:t xml:space="preserve"> Por decisión de la asamblea general de accionistas, adoptada por uno o varios accionistas que representen la totalidad de las acciones suscritas, podrá ordenarse la emisión de acciones con dividendo preferencial y sin derecho a voto, con dividendo fijo anual, de pago o cualesquiera otras que los accionistas decidieren, siempre que fueren compatibles con las normas legales vigentes. Una vez autorizada la emisión por la asamblea general de accionistas, el representante legal aprobará el reglamento correspondiente, en el que se establezcan los derechos que confieren las acciones emitidas, los términos y condiciones en que podrán ser suscritas y si los accionistas dispondrán del derecho de preferencia para su suscripción.</w:t>
            </w: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Parágrafo</w:t>
            </w:r>
            <w:r>
              <w:rPr>
                <w:rFonts w:ascii="Century Gothic" w:hAnsi="Century Gothic" w:cs="Arial"/>
                <w:lang w:val="es-MX"/>
              </w:rPr>
              <w:t xml:space="preserve">. - Para emitir acciones privilegiadas, será necesario que los privilegios respectivos sean aprobados en la asamblea general con el voto favorable de un número de accionistas que represente por lo menos el 75% de las acciones suscritas. En el reglamento de colocación de acciones privilegiadas, que será aprobado por la asamblea general de accionistas, se regulará el derecho de preferencia a favor de todos los accionistas, con el fin de que </w:t>
            </w:r>
            <w:r>
              <w:rPr>
                <w:rFonts w:ascii="Century Gothic" w:hAnsi="Century Gothic" w:cs="Arial"/>
                <w:lang w:val="es-MX"/>
              </w:rPr>
              <w:lastRenderedPageBreak/>
              <w:t>puedan suscribirlas en proporción al número de acciones que cada uno posea en la fecha del aviso de oferta.</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13º. VOTO MÚLTIPLE. -</w:t>
            </w:r>
            <w:r>
              <w:rPr>
                <w:rFonts w:ascii="Century Gothic" w:hAnsi="Century Gothic" w:cs="Arial"/>
                <w:lang w:val="es-MX"/>
              </w:rPr>
              <w:t xml:space="preserve"> Salvo decisión de la asamblea general de accionistas aprobada por el 100% de las acciones suscritas, no se emitirán acciones con voto múltiple. En caso de emitirse acciones con voto múltiple, la asamblea aprobará, además de su emisión, la reforma a las disposiciones sobre </w:t>
            </w:r>
            <w:r>
              <w:rPr>
                <w:rFonts w:ascii="Century Gothic" w:hAnsi="Century Gothic" w:cs="Arial"/>
                <w:i/>
                <w:iCs/>
                <w:lang w:val="es-MX"/>
              </w:rPr>
              <w:t>quórum</w:t>
            </w:r>
            <w:r>
              <w:rPr>
                <w:rFonts w:ascii="Century Gothic" w:hAnsi="Century Gothic" w:cs="Arial"/>
                <w:lang w:val="es-MX"/>
              </w:rPr>
              <w:t xml:space="preserve"> y mayorías decisorias que sean necesarias para darle efectividad al voto múltiple que se establezca.</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14º. ACCIONES DE PAGO. -</w:t>
            </w:r>
            <w:r>
              <w:rPr>
                <w:rFonts w:ascii="Century Gothic" w:hAnsi="Century Gothic" w:cs="Arial"/>
                <w:lang w:val="es-MX"/>
              </w:rPr>
              <w:t xml:space="preserve"> En caso de emitirse acciones de pago, el valor que representen las acciones emitidas respecto de los empleados de la sociedad, no podrá exceder de los porcentajes previstos en las normas laborales vigentes.</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Las acciones de pago podrán emitirse sin sujeción al derecho de preferencia, siempre que así lo determine la asamblea general de accionistas.</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 xml:space="preserve">Artículo 15º. TRANSFERENCIA DE ACCIONES A UNA FIDUCIA MERCANTIL. - </w:t>
            </w:r>
            <w:r>
              <w:rPr>
                <w:rFonts w:ascii="Century Gothic" w:hAnsi="Century Gothic" w:cs="Arial"/>
                <w:lang w:val="es-MX"/>
              </w:rPr>
              <w:t>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 xml:space="preserve">Artículo 16º. RESTRICCIONES A LA NEGOCIACIÓN DE ACCIONES. - </w:t>
            </w:r>
            <w:r>
              <w:rPr>
                <w:rFonts w:ascii="Century Gothic" w:hAnsi="Century Gothic" w:cs="Arial"/>
                <w:lang w:val="es-MX"/>
              </w:rPr>
              <w:t>Durante un término de cinco años, contado a partir de la fecha de inscripción en el registro mercantil de este documento, las acciones no podrán ser transferidas a terceros, salvo que medie autorización expresa, adoptada en la asamblea general por accionistas representantes del 100% de las acciones suscritas. Esta restricción quedará sin efecto en caso de realizarse una transformación, fusión, escisión o cualquier otra operación por virtud de la cual la sociedad se transforme o, de cualquier manera, migre hacia otra especie asociativa.</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 xml:space="preserve">La transferencia de acciones podrá efectuarse con sujeción a las restricciones que en estos estatutos se prevén, cuya estipulación obedeció al deseo de los fundadores de mantener la cohesión entre los accionistas de la sociedad. </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17º. CAMBIO DE CONTROL. -</w:t>
            </w:r>
            <w:r>
              <w:rPr>
                <w:rFonts w:ascii="Century Gothic" w:hAnsi="Century Gothic" w:cs="Arial"/>
                <w:lang w:val="es-MX"/>
              </w:rPr>
              <w:t xml:space="preserve"> Respecto de todos aquellos accionistas que en el momento de la constitución de la sociedad o con posterioridad fueren o llegaren a ser una sociedad, se aplicarán las normas relativas a cambio de control previstas en el artículo 16 de la Ley 1258 de 2008.</w:t>
            </w: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p>
          <w:p w:rsidR="00ED232F" w:rsidRDefault="00ED232F">
            <w:pPr>
              <w:spacing w:line="240" w:lineRule="auto"/>
              <w:jc w:val="center"/>
              <w:rPr>
                <w:rFonts w:ascii="Century Gothic" w:hAnsi="Century Gothic" w:cs="Arial"/>
                <w:b/>
                <w:bCs/>
                <w:lang w:val="es-MX"/>
              </w:rPr>
            </w:pPr>
            <w:r>
              <w:rPr>
                <w:rFonts w:ascii="Century Gothic" w:hAnsi="Century Gothic" w:cs="Arial"/>
                <w:b/>
                <w:bCs/>
                <w:lang w:val="es-MX"/>
              </w:rPr>
              <w:lastRenderedPageBreak/>
              <w:t>Capítulo III</w:t>
            </w:r>
          </w:p>
          <w:p w:rsidR="00ED232F" w:rsidRDefault="00ED232F">
            <w:pPr>
              <w:spacing w:line="240" w:lineRule="auto"/>
              <w:jc w:val="center"/>
              <w:rPr>
                <w:rFonts w:ascii="Century Gothic" w:hAnsi="Century Gothic" w:cs="Arial"/>
                <w:b/>
                <w:bCs/>
                <w:lang w:val="es-MX"/>
              </w:rPr>
            </w:pPr>
            <w:r>
              <w:rPr>
                <w:rFonts w:ascii="Century Gothic" w:hAnsi="Century Gothic" w:cs="Arial"/>
                <w:b/>
                <w:bCs/>
                <w:lang w:val="es-MX"/>
              </w:rPr>
              <w:t>ÓRGANOS SOCIALES</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 xml:space="preserve">Artículo 18º. ÓRGANOS DE LA SOCIEDAD. - </w:t>
            </w:r>
            <w:r>
              <w:rPr>
                <w:rFonts w:ascii="Century Gothic" w:hAnsi="Century Gothic" w:cs="Arial"/>
                <w:lang w:val="es-MX"/>
              </w:rPr>
              <w:t>La sociedad tendrá un órgano de dirección, denominado asamblea general de accionistas y un representante legal. La revisoría fiscal solo será provista en la medida en que lo exijan las normas legales vigentes.</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19º. SOCIEDAD DEVENIDA UNIPERSONAL</w:t>
            </w:r>
            <w:r>
              <w:rPr>
                <w:rFonts w:ascii="Century Gothic" w:hAnsi="Century Gothic" w:cs="Arial"/>
                <w:lang w:val="es-MX"/>
              </w:rPr>
              <w:t xml:space="preserve">. - La sociedad podrá ser pluripersonal o unipersonal. Mientras que la sociedad sea unipersonal, el accionista único ejercerá todas las atribuciones que en la ley y los estatutos se les confieren a los diversos órganos sociales, incluidos las de representación legal, a menos que designe para el efecto a una persona que ejerza este último cargo. </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Las determinaciones correspondientes al órgano de dirección que fueren adoptadas por el accionista único, deberán constar en actas debidamente asentadas en el libro correspondiente de la sociedad.</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20º. ASAMBLEA GENERAL DE ACCIONISTAS. -</w:t>
            </w:r>
            <w:r>
              <w:rPr>
                <w:rFonts w:ascii="Century Gothic" w:hAnsi="Century Gothic" w:cs="Arial"/>
                <w:lang w:val="es-MX"/>
              </w:rPr>
              <w:t xml:space="preserve"> La asamblea general de accionistas la integran el o los accionistas de la sociedad, reunidos con arreglo a las disposiciones sobre convocatoria, quórum, mayorías y demás condiciones previstas en estos estatutos y en la ley. </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Cada año, dentro de los tres meses siguientes a la clausura del ejercicio, el 31 de diciembre del respectivo año calendario, el representante legal convocará a la reunión ordinaria de la asamblea general de accionistas, con el propósito de someter a su consideración las cuentas de fin de ejercicio, así como el informe de gestión y demás documentos exigidos por la ley.</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 xml:space="preserve">La asamblea general de accionistas tendrá, además de las funciones previstas en el artículo 420 del Código de Comercio, las contenidas en los presentes estatutos y en cualquier otra norma legal vigente. </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La asamblea será presidida por el representante legal y en caso de ausencia de éste, por la persona designada por el o los accionistas que asistan.</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Los accionistas podrán participar en las reuniones de la asamblea, directamente o por medio de un poder conferido a favor de cualquier persona natural o jurídica, incluido el representante legal o cualquier otro individuo, aunque ostente la calidad de empleado o administrador de la sociedad.</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Los accionistas deliberarán con arreglo al orden del día previsto en la convocatoria. Con todo, los accionistas podrán proponer modificaciones a las resoluciones sometidas a su aprobación y, en cualquier momento, proponer la revocatoria del representante legal.</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21º. CONVOCATORIA A LA ASAMBLEA GENERAL DE ACCIONISTAS. -</w:t>
            </w:r>
            <w:r>
              <w:rPr>
                <w:rFonts w:ascii="Century Gothic" w:hAnsi="Century Gothic" w:cs="Arial"/>
                <w:lang w:val="es-MX"/>
              </w:rPr>
              <w:t xml:space="preserve"> La asamblea general de accionistas podrá ser convocada a cualquier reunión por ella misma o por el representante legal de la sociedad, mediante comunicación escrita dirigida a cada accionista con una antelación mínima de cinco (5) días hábiles.</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En la primera convocatoria podrá incluirse igualmente la fecha en que habrá de realizarse una reunión de segunda convocatoria, en caso de no poderse llevar a cabo la primera reunión por falta de quórum.</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Uno o varios accionistas que representen por lo menos el 20% de las acciones suscritas podrán solicitarle al representante legal que convoque a una reunión de la asamblea general de accionistas, cuando lo estimen conveniente.</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22º. RENUNCIA A LA CONVOCATORIA. -</w:t>
            </w:r>
            <w:r>
              <w:rPr>
                <w:rFonts w:ascii="Century Gothic" w:hAnsi="Century Gothic" w:cs="Arial"/>
                <w:lang w:val="es-MX"/>
              </w:rPr>
              <w:t xml:space="preserve"> Los accionistas podrán renunciar a su derecho a ser convocados a una reunión determinada de la asamblea, mediante comunicación escrita enviada al representante legal de la sociedad antes, durante o después de la sesión correspondiente. Los accionistas también podrán renunciar a su derecho de inspección por medio del mismo procedimiento indicado. </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23º. DERECHO DE INSPECCIÓN. -</w:t>
            </w:r>
            <w:r>
              <w:rPr>
                <w:rFonts w:ascii="Century Gothic" w:hAnsi="Century Gothic" w:cs="Arial"/>
                <w:lang w:val="es-MX"/>
              </w:rPr>
              <w:t xml:space="preserve"> El derecho de inspección podrá ser ejercido por los accionistas durante todo el año. En particular,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 xml:space="preserve">Los administradores deberán suministrarles a los accionistas, en forma inmediata, la totalidad de la información solicitada para el ejercicio de su derecho de inspección. </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La asamblea podrá reglamentar los términos, condiciones y horarios en que dicho derecho podrá ser ejercido.</w:t>
            </w:r>
          </w:p>
          <w:p w:rsidR="00ED232F" w:rsidRDefault="00ED232F">
            <w:pPr>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 xml:space="preserve">Artículo 24º. REUNIONES NO PRESENCIALES. - </w:t>
            </w:r>
            <w:r>
              <w:rPr>
                <w:rFonts w:ascii="Century Gothic" w:hAnsi="Century Gothic" w:cs="Arial"/>
                <w:lang w:val="es-MX"/>
              </w:rPr>
              <w:t>Se podrán realizar reuniones por comunicación simultánea o sucesiva y por consentimiento escrito, en los términos previstos en la ley. En ningún caso se requerirá de delegado de la Superintendencia de Sociedades para este efecto.</w:t>
            </w:r>
          </w:p>
          <w:p w:rsidR="00ED232F" w:rsidRDefault="00ED232F">
            <w:pPr>
              <w:spacing w:line="240" w:lineRule="auto"/>
              <w:jc w:val="both"/>
              <w:rPr>
                <w:rFonts w:ascii="Century Gothic" w:hAnsi="Century Gothic" w:cs="Arial"/>
                <w:b/>
                <w:bCs/>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 xml:space="preserve">Artículo 25º. RÉGIMEN DE QUÓRUM Y MAYORÍAS DECISORIAS: </w:t>
            </w:r>
            <w:r>
              <w:rPr>
                <w:rFonts w:ascii="Century Gothic" w:hAnsi="Century Gothic" w:cs="Arial"/>
                <w:lang w:val="es-MX"/>
              </w:rPr>
              <w:t>La asamblea deliberará con un número singular o plural de accionistas que representen cuando menos la mitad más uno de las acciones suscritas con derecho a voto. Las decisiones se adoptarán con los votos favorables de uno o varios accionistas que representen cuando menos la mitad más uno de las acciones con derecho a voto presentes en la respectiva reunión.</w:t>
            </w:r>
          </w:p>
          <w:p w:rsidR="00ED232F" w:rsidRDefault="00ED232F">
            <w:pPr>
              <w:spacing w:line="240" w:lineRule="auto"/>
              <w:jc w:val="both"/>
              <w:rPr>
                <w:rFonts w:ascii="Century Gothic" w:hAnsi="Century Gothic" w:cs="Arial"/>
                <w:b/>
                <w:bCs/>
                <w:lang w:val="es-MX"/>
              </w:rPr>
            </w:pPr>
          </w:p>
          <w:p w:rsidR="00ED232F" w:rsidRDefault="00ED232F">
            <w:pPr>
              <w:spacing w:line="240" w:lineRule="auto"/>
              <w:jc w:val="both"/>
              <w:rPr>
                <w:rFonts w:ascii="Century Gothic" w:hAnsi="Century Gothic" w:cs="Arial"/>
                <w:lang w:val="es-MX"/>
              </w:rPr>
            </w:pPr>
            <w:r>
              <w:rPr>
                <w:rFonts w:ascii="Century Gothic" w:hAnsi="Century Gothic" w:cs="Arial"/>
                <w:lang w:val="es-MX"/>
              </w:rPr>
              <w:t>Cualquier reforma de los estatutos sociales requerirá el voto favorable del 100% de las acciones suscritas, incluidas las siguientes modificaciones estatutarias:</w:t>
            </w:r>
          </w:p>
          <w:p w:rsidR="00ED232F" w:rsidRDefault="00ED232F">
            <w:pPr>
              <w:spacing w:line="240" w:lineRule="auto"/>
              <w:jc w:val="both"/>
              <w:rPr>
                <w:rFonts w:ascii="Century Gothic" w:hAnsi="Century Gothic" w:cs="Arial"/>
                <w:lang w:val="es-MX"/>
              </w:rPr>
            </w:pPr>
          </w:p>
          <w:p w:rsidR="00ED232F" w:rsidRDefault="00ED232F" w:rsidP="00E155FD">
            <w:pPr>
              <w:numPr>
                <w:ilvl w:val="0"/>
                <w:numId w:val="1"/>
              </w:numPr>
              <w:autoSpaceDE w:val="0"/>
              <w:autoSpaceDN w:val="0"/>
              <w:spacing w:line="240" w:lineRule="auto"/>
              <w:jc w:val="both"/>
              <w:rPr>
                <w:rFonts w:ascii="Century Gothic" w:hAnsi="Century Gothic" w:cs="Arial"/>
                <w:lang w:val="es-MX"/>
              </w:rPr>
            </w:pPr>
            <w:r>
              <w:rPr>
                <w:rFonts w:ascii="Century Gothic" w:hAnsi="Century Gothic" w:cs="Arial"/>
                <w:lang w:val="es-MX"/>
              </w:rPr>
              <w:t>La modificación de lo previsto en el artículo 16 de los estatutos sociales, respecto de las restricciones en la enajenación de acciones.</w:t>
            </w:r>
          </w:p>
          <w:p w:rsidR="00ED232F" w:rsidRDefault="00ED232F" w:rsidP="00E155FD">
            <w:pPr>
              <w:numPr>
                <w:ilvl w:val="0"/>
                <w:numId w:val="1"/>
              </w:numPr>
              <w:autoSpaceDE w:val="0"/>
              <w:autoSpaceDN w:val="0"/>
              <w:spacing w:line="240" w:lineRule="auto"/>
              <w:jc w:val="both"/>
              <w:rPr>
                <w:rFonts w:ascii="Century Gothic" w:hAnsi="Century Gothic" w:cs="Arial"/>
                <w:lang w:val="es-MX"/>
              </w:rPr>
            </w:pPr>
            <w:r>
              <w:rPr>
                <w:rFonts w:ascii="Century Gothic" w:hAnsi="Century Gothic" w:cs="Arial"/>
                <w:lang w:val="es-MX"/>
              </w:rPr>
              <w:t xml:space="preserve">La realización de procesos de transformación, fusión o escisión. </w:t>
            </w:r>
          </w:p>
          <w:p w:rsidR="00ED232F" w:rsidRDefault="00ED232F" w:rsidP="00E155FD">
            <w:pPr>
              <w:numPr>
                <w:ilvl w:val="0"/>
                <w:numId w:val="1"/>
              </w:numPr>
              <w:autoSpaceDE w:val="0"/>
              <w:autoSpaceDN w:val="0"/>
              <w:spacing w:line="240" w:lineRule="auto"/>
              <w:jc w:val="both"/>
              <w:rPr>
                <w:rFonts w:ascii="Century Gothic" w:hAnsi="Century Gothic" w:cs="Arial"/>
                <w:lang w:val="es-MX"/>
              </w:rPr>
            </w:pPr>
            <w:r>
              <w:rPr>
                <w:rFonts w:ascii="Century Gothic" w:hAnsi="Century Gothic" w:cs="Arial"/>
                <w:lang w:val="es-MX"/>
              </w:rPr>
              <w:t>La inserción en los estatutos sociales de causales de exclusión de los accionistas o la modificación de lo previsto en ellos sobre el particular;</w:t>
            </w:r>
          </w:p>
          <w:p w:rsidR="00ED232F" w:rsidRDefault="00ED232F" w:rsidP="00E155FD">
            <w:pPr>
              <w:numPr>
                <w:ilvl w:val="0"/>
                <w:numId w:val="1"/>
              </w:numPr>
              <w:autoSpaceDE w:val="0"/>
              <w:autoSpaceDN w:val="0"/>
              <w:spacing w:line="240" w:lineRule="auto"/>
              <w:jc w:val="both"/>
              <w:rPr>
                <w:rFonts w:ascii="Century Gothic" w:hAnsi="Century Gothic" w:cs="Arial"/>
                <w:lang w:val="es-MX"/>
              </w:rPr>
            </w:pPr>
            <w:r>
              <w:rPr>
                <w:rFonts w:ascii="Century Gothic" w:hAnsi="Century Gothic" w:cs="Arial"/>
                <w:lang w:val="es-MX"/>
              </w:rPr>
              <w:lastRenderedPageBreak/>
              <w:t>La modificación de la cláusula compromisoria;</w:t>
            </w:r>
          </w:p>
          <w:p w:rsidR="00ED232F" w:rsidRDefault="00ED232F" w:rsidP="00E155FD">
            <w:pPr>
              <w:numPr>
                <w:ilvl w:val="0"/>
                <w:numId w:val="1"/>
              </w:numPr>
              <w:autoSpaceDE w:val="0"/>
              <w:autoSpaceDN w:val="0"/>
              <w:spacing w:line="240" w:lineRule="auto"/>
              <w:jc w:val="both"/>
              <w:rPr>
                <w:rFonts w:ascii="Century Gothic" w:hAnsi="Century Gothic" w:cs="Arial"/>
                <w:lang w:val="es-MX"/>
              </w:rPr>
            </w:pPr>
            <w:r>
              <w:rPr>
                <w:rFonts w:ascii="Century Gothic" w:hAnsi="Century Gothic" w:cs="Arial"/>
                <w:lang w:val="es-MX"/>
              </w:rPr>
              <w:t>La inclusión o exclusión de la posibilidad de emitir acciones con voto múltiple; y</w:t>
            </w:r>
          </w:p>
          <w:p w:rsidR="00ED232F" w:rsidRDefault="00ED232F" w:rsidP="00E155FD">
            <w:pPr>
              <w:numPr>
                <w:ilvl w:val="0"/>
                <w:numId w:val="1"/>
              </w:numPr>
              <w:autoSpaceDE w:val="0"/>
              <w:autoSpaceDN w:val="0"/>
              <w:spacing w:line="240" w:lineRule="auto"/>
              <w:jc w:val="both"/>
              <w:rPr>
                <w:rFonts w:ascii="Century Gothic" w:hAnsi="Century Gothic" w:cs="Arial"/>
                <w:lang w:val="es-MX"/>
              </w:rPr>
            </w:pPr>
            <w:r>
              <w:rPr>
                <w:rFonts w:ascii="Century Gothic" w:hAnsi="Century Gothic" w:cs="Arial"/>
                <w:lang w:val="es-MX"/>
              </w:rPr>
              <w:t>La inclusión o exclusión de nuevas restricciones a la negociación de acciones.</w:t>
            </w:r>
          </w:p>
          <w:p w:rsidR="00ED232F" w:rsidRDefault="00ED232F">
            <w:pPr>
              <w:spacing w:line="240" w:lineRule="auto"/>
              <w:jc w:val="both"/>
              <w:rPr>
                <w:rFonts w:ascii="Century Gothic" w:hAnsi="Century Gothic" w:cs="Arial"/>
                <w:b/>
                <w:bCs/>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Parágrafo</w:t>
            </w:r>
            <w:r>
              <w:rPr>
                <w:rFonts w:ascii="Century Gothic" w:hAnsi="Century Gothic" w:cs="Arial"/>
                <w:lang w:val="es-MX"/>
              </w:rPr>
              <w:t xml:space="preserve">. - Así mismo, requerirá determinación unánime del 100% de las acciones suscritas, la determinación relativa a la cesión global de activos en los términos del artículo 32 de la Ley 1258 de 2008 </w:t>
            </w:r>
          </w:p>
          <w:p w:rsidR="00ED232F" w:rsidRDefault="00ED232F">
            <w:pPr>
              <w:spacing w:line="240" w:lineRule="auto"/>
              <w:jc w:val="both"/>
              <w:rPr>
                <w:rFonts w:ascii="Century Gothic" w:hAnsi="Century Gothic" w:cs="Arial"/>
                <w:b/>
                <w:bCs/>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 xml:space="preserve">Artículo 26º. FRACCIONAMIENTO DEL VOTO: </w:t>
            </w:r>
            <w:r>
              <w:rPr>
                <w:rFonts w:ascii="Century Gothic" w:hAnsi="Century Gothic" w:cs="Arial"/>
                <w:lang w:val="es-MX"/>
              </w:rPr>
              <w:t>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confeccionarán planchas completas que contengan el número total de miembros de la junta directiva. Aquella plancha que obtenga el mayor número de votos será elegida en su totalidad.</w:t>
            </w:r>
          </w:p>
          <w:p w:rsidR="00ED232F" w:rsidRDefault="00ED232F">
            <w:pPr>
              <w:widowControl w:val="0"/>
              <w:spacing w:line="240" w:lineRule="auto"/>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Artículo 27º. ACTAS. -</w:t>
            </w:r>
            <w:r>
              <w:rPr>
                <w:rFonts w:ascii="Century Gothic" w:hAnsi="Century Gothic" w:cs="Arial"/>
                <w:lang w:val="es-MX"/>
              </w:rPr>
              <w:t xml:space="preserve"> Las decisiones de la asamblea general de accionistas se harán constar en actas aprobadas por ella misma, por las personas individualmente delegadas para el efecto o por una comisión designada por la asamblea general de accionistas. En caso de delegarse la aprobación de las actas en una comisión, los accionistas podrán fijar libremente las condiciones de funcionamiento de este órgano colegiado.</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En las actas deberá incluirse información acerca de la fecha, hora y lugar de la reunión, el orden del día, las personas designadas como presidente y secretario de la asamblea, la identidad de los accionistas presentes o de sus representantes o apoderados, los documentos e informes sometidos a consideración de los accionistas, la síntesis de las deliberaciones llevadas a cabo, la transcripción de las propuestas presentadas ante la asamblea y el número de votos emitidos a favor, en contra y en blanco respecto de cada una de tales propuestas.</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Las actas deberán ser firmadas por el presidente y el secretario de la asamblea.  La copia de estas actas, autorizada por el secretario o por algún representante de la sociedad, será prueba suficiente de los hechos que consten en ellas, mientras no se demuestre la falsedad de la copia o de las actas.</w:t>
            </w:r>
          </w:p>
          <w:p w:rsidR="00ED232F" w:rsidRDefault="00ED232F">
            <w:pPr>
              <w:widowControl w:val="0"/>
              <w:spacing w:line="240" w:lineRule="auto"/>
              <w:jc w:val="both"/>
              <w:rPr>
                <w:rFonts w:ascii="Century Gothic" w:hAnsi="Century Gothic" w:cs="Arial"/>
                <w:b/>
                <w:bCs/>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 xml:space="preserve">Artículo 28º. REPRESENTACIÓN LEGAL. - </w:t>
            </w:r>
            <w:r>
              <w:rPr>
                <w:rFonts w:ascii="Century Gothic" w:hAnsi="Century Gothic" w:cs="Arial"/>
                <w:lang w:val="es-MX"/>
              </w:rPr>
              <w:t>La representación legal de la sociedad por acciones simplificada estará a cargo de una persona natural o jurídica, accionista o no, quien tendrá un suplente o subgerente, designado para un término de un año por la asamblea general de accionistas. El subgerente remplazará al gerente en sus faltas temporales, accidentales y absolutas</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Las funciones del representante legal terminarán en caso de dimisión o revocación por parte de la asamblea general de accionistas, de deceso o de incapacidad en aquellos casos en que el representante legal sea una persona natural y en caso de liquidación privada o judicial, cuando el representante legal sea una persona jurídica.</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La cesación de las funciones del representante legal, por cualquier causa, no da lugar a ninguna indemnización de cualquier naturaleza, diferente de aquellas que le correspondieren conforme a la ley laboral, si fuere el caso.</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 xml:space="preserve">La revocación por parte de la asamblea general de accionistas no tendrá que estar </w:t>
            </w:r>
            <w:r>
              <w:rPr>
                <w:rFonts w:ascii="Century Gothic" w:hAnsi="Century Gothic" w:cs="Arial"/>
                <w:lang w:val="es-MX"/>
              </w:rPr>
              <w:lastRenderedPageBreak/>
              <w:t>motivada y podrá realizarse en cualquier tiempo.</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 xml:space="preserve">En aquellos casos en que el representante legal sea una persona jurídica, las funciones quedarán a cargo del representante legal de ésta. </w:t>
            </w: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Toda remuneración a que tuviere derecho el representante legal de la sociedad, deberá ser aprobada por la asamblea general de accionistas.</w:t>
            </w:r>
          </w:p>
          <w:p w:rsidR="00ED232F" w:rsidRDefault="00ED232F">
            <w:pPr>
              <w:widowControl w:val="0"/>
              <w:spacing w:line="240" w:lineRule="auto"/>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Artículo 29º. FACULTADES DEL REPRESENTANTE LEGAL. -</w:t>
            </w:r>
            <w:r>
              <w:rPr>
                <w:rFonts w:ascii="Century Gothic" w:hAnsi="Century Gothic" w:cs="Arial"/>
                <w:lang w:val="es-MX"/>
              </w:rPr>
              <w:t xml:space="preserve"> La sociedad será gerenciada, administrada y representada legalmente ante terceros por el representante legal, quien no tendrá restricciones de contratación por razón de la naturaleza ni de la cuantía de los actos que celebre. Por lo tanto, se entenderá que el representante legal podrá celebrar o ejecutar todos los actos y contratos comprendidos en el objeto social o que se relacionen directamente con la existencia y el funcionamiento de la sociedad.</w:t>
            </w:r>
          </w:p>
          <w:p w:rsidR="00ED232F" w:rsidRDefault="00ED232F">
            <w:pPr>
              <w:widowControl w:val="0"/>
              <w:spacing w:line="240" w:lineRule="auto"/>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El representante legal se entenderá investido de los más amplios poderes para actuar en todas las circunstancias en nombre de la sociedad, con excepción de aquellas facultades que, de acuerdo con los estatutos, se hubieren reservado los accionistas. En las relaciones frente a terceros, la sociedad quedará obligada por los actos y contratos celebrados por el representante legal.</w:t>
            </w:r>
          </w:p>
          <w:p w:rsidR="00ED232F" w:rsidRDefault="00ED232F">
            <w:pPr>
              <w:widowControl w:val="0"/>
              <w:spacing w:line="240" w:lineRule="auto"/>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Le está prohibido al representante legal y a los demás administradores de la sociedad, por sí o por interpuesta persona, obtener bajo cualquier forma o modalidad jurídica préstamos por parte de la sociedad u obtener de parte de la sociedad aval, fianza o cualquier otro tipo de garantía de sus obligaciones personales.</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center"/>
              <w:rPr>
                <w:rFonts w:ascii="Century Gothic" w:hAnsi="Century Gothic" w:cs="Arial"/>
                <w:b/>
                <w:bCs/>
                <w:lang w:val="es-MX"/>
              </w:rPr>
            </w:pPr>
            <w:r>
              <w:rPr>
                <w:rFonts w:ascii="Century Gothic" w:hAnsi="Century Gothic" w:cs="Arial"/>
                <w:b/>
                <w:bCs/>
                <w:lang w:val="es-MX"/>
              </w:rPr>
              <w:t>Capítulo IV</w:t>
            </w:r>
          </w:p>
          <w:p w:rsidR="00ED232F" w:rsidRDefault="00ED232F">
            <w:pPr>
              <w:widowControl w:val="0"/>
              <w:spacing w:line="240" w:lineRule="auto"/>
              <w:jc w:val="center"/>
              <w:rPr>
                <w:rFonts w:ascii="Century Gothic" w:hAnsi="Century Gothic" w:cs="Arial"/>
                <w:b/>
                <w:bCs/>
                <w:lang w:val="es-MX"/>
              </w:rPr>
            </w:pPr>
            <w:r>
              <w:rPr>
                <w:rFonts w:ascii="Century Gothic" w:hAnsi="Century Gothic" w:cs="Arial"/>
                <w:b/>
                <w:bCs/>
                <w:lang w:val="es-MX"/>
              </w:rPr>
              <w:t>DISPOSICIONES VARIAS</w:t>
            </w:r>
          </w:p>
          <w:p w:rsidR="00ED232F" w:rsidRDefault="00ED232F">
            <w:pPr>
              <w:widowControl w:val="0"/>
              <w:spacing w:line="240" w:lineRule="auto"/>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Artículo 30º. ENAJENACIÓN GLOBAL DE ACTIVOS</w:t>
            </w:r>
            <w:r>
              <w:rPr>
                <w:rFonts w:ascii="Century Gothic" w:hAnsi="Century Gothic" w:cs="Arial"/>
                <w:b/>
                <w:lang w:val="es-MX"/>
              </w:rPr>
              <w:t>. -</w:t>
            </w:r>
            <w:r>
              <w:rPr>
                <w:rFonts w:ascii="Century Gothic" w:hAnsi="Century Gothic" w:cs="Arial"/>
                <w:lang w:val="es-MX"/>
              </w:rPr>
              <w:t xml:space="preserve"> Se entenderá que existe enajenación global de activos cuando la sociedad se proponga enajenar activos y pasivos que representen el cincuenta por ciento o más del patrimonio líquido de la compañía en la fecha de enajenación. La enajenación global requerirá aprobación de la asamblea, impartida con el voto favorable de uno o varios accionistas que representen cuando menos la mitad más una de las acciones presentes en la respectiva reunión. Esta operación dará lugar al derecho de retiro a favor de los accionistas ausentes y disidentes en caso de desmejora patrimonial.</w:t>
            </w:r>
          </w:p>
          <w:p w:rsidR="00ED232F" w:rsidRDefault="00ED232F">
            <w:pPr>
              <w:widowControl w:val="0"/>
              <w:spacing w:line="240" w:lineRule="auto"/>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 xml:space="preserve">Artículo 31º. EJERCICIO SOCIAL. - </w:t>
            </w:r>
            <w:r>
              <w:rPr>
                <w:rFonts w:ascii="Century Gothic" w:hAnsi="Century Gothic" w:cs="Arial"/>
                <w:lang w:val="es-MX"/>
              </w:rPr>
              <w:t>Cada ejercicio social tiene una duración de un año, que comienza el 1º de enero y termina el 31 de diciembre. En todo caso, el primer ejercicio social se contará a partir de la fecha en la cual se produzca el registro mercantil de la escritura de constitución de la sociedad.</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 xml:space="preserve">Artículo 32º. CUENTAS ANUALES. - </w:t>
            </w:r>
            <w:r>
              <w:rPr>
                <w:rFonts w:ascii="Century Gothic" w:hAnsi="Century Gothic" w:cs="Arial"/>
                <w:lang w:val="es-MX"/>
              </w:rPr>
              <w:t xml:space="preserve">Luego del corte de cuentas del fin de año calendario, el representante legal de la sociedad someterá a consideración de la asamblea general de accionistas los estados financieros de fin de ejercicio, debidamente dictaminados por un contador independiente, en los términos del artículo 28 de la Ley 1258 de 2008. En caso de proveerse el cargo de revisor fiscal, el dictamen será realizado por quien ocupe el cargo. </w:t>
            </w:r>
          </w:p>
          <w:p w:rsidR="00ED232F" w:rsidRDefault="00ED232F">
            <w:pPr>
              <w:widowControl w:val="0"/>
              <w:spacing w:line="240" w:lineRule="auto"/>
              <w:jc w:val="both"/>
              <w:rPr>
                <w:rFonts w:ascii="Century Gothic" w:hAnsi="Century Gothic" w:cs="Arial"/>
                <w:b/>
                <w:bCs/>
                <w:lang w:val="es-MX"/>
              </w:rPr>
            </w:pPr>
          </w:p>
          <w:p w:rsidR="00ED232F" w:rsidRDefault="00ED232F">
            <w:pPr>
              <w:widowControl w:val="0"/>
              <w:spacing w:line="240" w:lineRule="auto"/>
              <w:jc w:val="both"/>
              <w:rPr>
                <w:rFonts w:ascii="Century Gothic" w:hAnsi="Century Gothic" w:cs="Arial"/>
                <w:b/>
                <w:bCs/>
                <w:lang w:val="es-MX"/>
              </w:rPr>
            </w:pPr>
            <w:r>
              <w:rPr>
                <w:rFonts w:ascii="Century Gothic" w:hAnsi="Century Gothic" w:cs="Arial"/>
                <w:b/>
                <w:bCs/>
                <w:lang w:val="es-MX"/>
              </w:rPr>
              <w:t xml:space="preserve">Artículo 33º. RESERVA LEGAL. - </w:t>
            </w:r>
            <w:r>
              <w:rPr>
                <w:rFonts w:ascii="Century Gothic" w:hAnsi="Century Gothic" w:cs="Arial"/>
                <w:lang w:val="es-MX"/>
              </w:rPr>
              <w:t xml:space="preserve">la sociedad constituirá una reserva legal que ascenderá por lo menos al cincuenta por ciento del capital suscrito, formado con el diez por ciento de las utilidades líquidas de cada ejercicio. Cuando esta reserva llegue al cincuenta por ciento </w:t>
            </w:r>
            <w:r>
              <w:rPr>
                <w:rFonts w:ascii="Century Gothic" w:hAnsi="Century Gothic" w:cs="Arial"/>
                <w:lang w:val="es-MX"/>
              </w:rPr>
              <w:lastRenderedPageBreak/>
              <w:t>mencionado, la sociedad no tendrá obligación de continuar llevando a esta cuenta el diez por ciento de las utilidades líquidas. Pero si disminuyere, volverá a apropiarse el mismo diez por ciento de tales utilidades, hasta cuando la reserva llegue nuevamente al límite fijado.</w:t>
            </w:r>
          </w:p>
          <w:p w:rsidR="00ED232F" w:rsidRDefault="00ED232F">
            <w:pPr>
              <w:widowControl w:val="0"/>
              <w:spacing w:line="240" w:lineRule="auto"/>
              <w:jc w:val="both"/>
              <w:rPr>
                <w:rFonts w:ascii="Century Gothic" w:hAnsi="Century Gothic" w:cs="Arial"/>
                <w:b/>
                <w:bCs/>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 xml:space="preserve">Artículo 34º. UTILIDADES. - </w:t>
            </w:r>
            <w:r>
              <w:rPr>
                <w:rFonts w:ascii="Century Gothic" w:hAnsi="Century Gothic" w:cs="Arial"/>
                <w:lang w:val="es-MX"/>
              </w:rPr>
              <w:t xml:space="preserve">Las utilidades se repartirán con base en los estados financieros de fin de ejercicio, previa determinación adoptada por la asamblea general de accionistas. Las utilidades se repartirán en proporción al número de acciones suscritas de que cada uno de los accionistas sea titular. </w:t>
            </w:r>
          </w:p>
          <w:p w:rsidR="00ED232F" w:rsidRDefault="00ED232F">
            <w:pPr>
              <w:spacing w:line="240" w:lineRule="auto"/>
              <w:jc w:val="both"/>
              <w:rPr>
                <w:rFonts w:ascii="Century Gothic" w:hAnsi="Century Gothic" w:cs="Arial"/>
                <w:b/>
                <w:bCs/>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35º.</w:t>
            </w:r>
            <w:r>
              <w:rPr>
                <w:rFonts w:ascii="Century Gothic" w:hAnsi="Century Gothic" w:cs="Arial"/>
                <w:lang w:val="es-MX"/>
              </w:rPr>
              <w:t xml:space="preserve"> </w:t>
            </w:r>
            <w:r>
              <w:rPr>
                <w:rFonts w:ascii="Century Gothic" w:hAnsi="Century Gothic" w:cs="Arial"/>
                <w:b/>
                <w:bCs/>
                <w:lang w:val="es-MX"/>
              </w:rPr>
              <w:t>RESOLUCIÓN DE CONFLICTOS</w:t>
            </w:r>
            <w:r>
              <w:rPr>
                <w:rFonts w:ascii="Century Gothic" w:hAnsi="Century Gothic" w:cs="Arial"/>
                <w:lang w:val="es-MX"/>
              </w:rPr>
              <w:t>. -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35 de estos estatutos.</w:t>
            </w:r>
          </w:p>
          <w:p w:rsidR="00ED232F" w:rsidRDefault="00ED232F">
            <w:pPr>
              <w:spacing w:line="240" w:lineRule="auto"/>
              <w:jc w:val="both"/>
              <w:rPr>
                <w:rFonts w:ascii="Century Gothic" w:hAnsi="Century Gothic" w:cs="Arial"/>
                <w:lang w:val="es-MX"/>
              </w:rPr>
            </w:pPr>
          </w:p>
          <w:p w:rsidR="00ED232F" w:rsidRDefault="00ED232F">
            <w:pPr>
              <w:spacing w:line="240" w:lineRule="auto"/>
              <w:jc w:val="both"/>
              <w:rPr>
                <w:rFonts w:ascii="Century Gothic" w:hAnsi="Century Gothic" w:cs="Arial"/>
                <w:lang w:val="es-MX"/>
              </w:rPr>
            </w:pPr>
            <w:r>
              <w:rPr>
                <w:rFonts w:ascii="Century Gothic" w:hAnsi="Century Gothic" w:cs="Arial"/>
                <w:b/>
                <w:bCs/>
                <w:lang w:val="es-MX"/>
              </w:rPr>
              <w:t>Artículo 36º. CLÁUSULA COMPROMISORIA. -</w:t>
            </w:r>
            <w:r>
              <w:rPr>
                <w:rFonts w:ascii="Century Gothic" w:hAnsi="Century Gothic" w:cs="Arial"/>
                <w:lang w:val="es-MX"/>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Valledupar. El árbitro designado será abogado inscrito, fallará en derecho y se sujetará a las tarifas previstas por el Centro de Arbitraje y Conciliación Mercantil de la Cámara de Comercio de Valledupar. El Tribunal de Arbitramento tendrá como sede el Centro de Arbitraje y Conciliación Mercantil de la Cámara de Comercio de Valledupar, se regirá por las leyes colombianas y de acuerdo con el reglamento del aludido Centro de Conciliación y Arbitraje.</w:t>
            </w:r>
          </w:p>
          <w:p w:rsidR="00ED232F" w:rsidRDefault="00ED232F">
            <w:pPr>
              <w:widowControl w:val="0"/>
              <w:spacing w:line="240" w:lineRule="auto"/>
              <w:jc w:val="both"/>
              <w:rPr>
                <w:rFonts w:ascii="Century Gothic" w:hAnsi="Century Gothic" w:cs="Arial"/>
                <w:b/>
                <w:bCs/>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 xml:space="preserve">Artículo 37º. LEY APLICABLE. - </w:t>
            </w:r>
            <w:r>
              <w:rPr>
                <w:rFonts w:ascii="Century Gothic" w:hAnsi="Century Gothic" w:cs="Arial"/>
                <w:lang w:val="es-MX"/>
              </w:rPr>
              <w:t>La interpretación y aplicación de estos estatutos está sujeta a las disposiciones contenidas en la Ley 1258 de 2008 y a las demás normas que resulten aplicables.</w:t>
            </w:r>
          </w:p>
          <w:p w:rsidR="00ED232F" w:rsidRDefault="00ED232F">
            <w:pPr>
              <w:spacing w:line="240" w:lineRule="auto"/>
              <w:jc w:val="both"/>
              <w:rPr>
                <w:rFonts w:ascii="Century Gothic" w:hAnsi="Century Gothic" w:cs="Arial"/>
                <w:lang w:val="es-MX"/>
              </w:rPr>
            </w:pPr>
          </w:p>
          <w:p w:rsidR="00ED232F" w:rsidRDefault="00ED232F">
            <w:pPr>
              <w:widowControl w:val="0"/>
              <w:spacing w:line="240" w:lineRule="auto"/>
              <w:jc w:val="center"/>
              <w:rPr>
                <w:rFonts w:ascii="Century Gothic" w:hAnsi="Century Gothic" w:cs="Arial"/>
                <w:b/>
                <w:bCs/>
                <w:lang w:val="es-MX"/>
              </w:rPr>
            </w:pPr>
            <w:r>
              <w:rPr>
                <w:rFonts w:ascii="Century Gothic" w:hAnsi="Century Gothic" w:cs="Arial"/>
                <w:b/>
                <w:bCs/>
                <w:lang w:val="es-MX"/>
              </w:rPr>
              <w:t>Capítulo IV</w:t>
            </w:r>
          </w:p>
          <w:p w:rsidR="00ED232F" w:rsidRDefault="00ED232F">
            <w:pPr>
              <w:widowControl w:val="0"/>
              <w:spacing w:line="240" w:lineRule="auto"/>
              <w:jc w:val="center"/>
              <w:rPr>
                <w:rFonts w:ascii="Century Gothic" w:hAnsi="Century Gothic" w:cs="Arial"/>
                <w:lang w:val="es-MX"/>
              </w:rPr>
            </w:pPr>
            <w:r>
              <w:rPr>
                <w:rFonts w:ascii="Century Gothic" w:hAnsi="Century Gothic" w:cs="Arial"/>
                <w:b/>
                <w:bCs/>
                <w:lang w:val="es-MX"/>
              </w:rPr>
              <w:t xml:space="preserve">DISOLUCIÓN Y LIQUIDACIÓN </w:t>
            </w:r>
          </w:p>
          <w:p w:rsidR="00ED232F" w:rsidRDefault="00ED232F">
            <w:pPr>
              <w:widowControl w:val="0"/>
              <w:spacing w:line="240" w:lineRule="auto"/>
              <w:rPr>
                <w:rFonts w:ascii="Century Gothic" w:hAnsi="Century Gothic" w:cs="Arial"/>
                <w:lang w:val="es-MX"/>
              </w:rPr>
            </w:pPr>
          </w:p>
          <w:p w:rsidR="00ED232F" w:rsidRDefault="00ED232F">
            <w:pPr>
              <w:widowControl w:val="0"/>
              <w:spacing w:line="240" w:lineRule="auto"/>
              <w:rPr>
                <w:rFonts w:ascii="Century Gothic" w:hAnsi="Century Gothic" w:cs="Arial"/>
                <w:lang w:val="es-MX"/>
              </w:rPr>
            </w:pPr>
            <w:r>
              <w:rPr>
                <w:rFonts w:ascii="Century Gothic" w:hAnsi="Century Gothic" w:cs="Arial"/>
                <w:b/>
                <w:bCs/>
                <w:lang w:val="es-MX"/>
              </w:rPr>
              <w:t>Artículo 38º. DISOLUCIÓN. -</w:t>
            </w:r>
            <w:r>
              <w:rPr>
                <w:rFonts w:ascii="Century Gothic" w:hAnsi="Century Gothic" w:cs="Arial"/>
                <w:lang w:val="es-MX"/>
              </w:rPr>
              <w:t xml:space="preserve"> La sociedad se disolverá:</w:t>
            </w: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 xml:space="preserve">1° Por vencimiento del término previsto en los estatutos, si los hubiere, a menos que fuere prorrogado mediante documento inscrito en el Registro mercantil antes de su expiración; </w:t>
            </w: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2º Por imposibilidad de desarrollar las actividades previstas en su objeto social;</w:t>
            </w: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3º Por la iniciación del trámite de liquidación judicial;</w:t>
            </w: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4º Por voluntad de los accionistas adoptada en la asamblea o por decisión del accionista único;</w:t>
            </w: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5° Por orden de autoridad competente, y</w:t>
            </w: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6º Por pérdidas que reduzcan el patrimonio neto de la sociedad por debajo del cincuenta por ciento del capital suscrito.</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Parágrafo primero. -</w:t>
            </w:r>
            <w:r>
              <w:rPr>
                <w:rFonts w:ascii="Century Gothic" w:hAnsi="Century Gothic" w:cs="Arial"/>
                <w:lang w:val="es-MX"/>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ejecutoria del acto que contenga la decisión de autoridad competente.</w:t>
            </w:r>
          </w:p>
          <w:p w:rsidR="00ED232F" w:rsidRDefault="00ED232F">
            <w:pPr>
              <w:widowControl w:val="0"/>
              <w:spacing w:line="240" w:lineRule="auto"/>
              <w:jc w:val="both"/>
              <w:rPr>
                <w:rFonts w:ascii="Century Gothic" w:hAnsi="Century Gothic" w:cs="Arial"/>
                <w:b/>
                <w:bCs/>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Artículo 39º. ENERVAMIENTO DE LAS CAUSALES DE DISOLUCIÓN. -</w:t>
            </w:r>
            <w:r>
              <w:rPr>
                <w:rFonts w:ascii="Century Gothic" w:hAnsi="Century Gothic" w:cs="Arial"/>
                <w:lang w:val="es-MX"/>
              </w:rPr>
              <w:t xml:space="preserve"> Podrá evitarse la disolución </w:t>
            </w:r>
            <w:r>
              <w:rPr>
                <w:rFonts w:ascii="Century Gothic" w:hAnsi="Century Gothic" w:cs="Arial"/>
                <w:lang w:val="es-MX"/>
              </w:rPr>
              <w:lastRenderedPageBreak/>
              <w:t>de la sociedad mediante la adopción de las medidas a que hubiere lugar, según la causal ocurrida, siempre que el enervamiento de la causal ocurra durante los seis meses siguientes a la fecha en que la asamblea reconozca su acaecimiento. Sin embargo, este plazo será de dieciocho meses en el caso de la causal prevista en el ordinal 6° del artículo anterior.</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b/>
                <w:bCs/>
                <w:lang w:val="es-MX"/>
              </w:rPr>
              <w:t>Artículo 40º. LIQUIDACIÓN. -</w:t>
            </w:r>
            <w:r>
              <w:rPr>
                <w:rFonts w:ascii="Century Gothic" w:hAnsi="Century Gothic" w:cs="Arial"/>
                <w:lang w:val="es-MX"/>
              </w:rPr>
              <w:t xml:space="preserve"> La liquidación del patrimonio se realizará conforme al procedimiento señalado para la liquidación de las sociedades de responsabilidad limitada. Actuará como liquidador el representante legal o la persona que designe la asamblea de accionistas. </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r>
              <w:rPr>
                <w:rFonts w:ascii="Century Gothic" w:hAnsi="Century Gothic" w:cs="Arial"/>
                <w:lang w:val="es-MX"/>
              </w:rPr>
              <w:t>Durante el período de liquidación, los accionistas serán convocados a la asamblea general de accionistas en los términos y condiciones previstos en los estatutos y en la ley. Los accionistas tomarán todas las decisiones que le corresponden a la asamblea general de accionistas, en las condiciones de quórum y mayorías decisorias vigentes antes de producirse la disolución.</w:t>
            </w:r>
          </w:p>
          <w:p w:rsidR="00ED232F" w:rsidRDefault="00ED232F">
            <w:pPr>
              <w:widowControl w:val="0"/>
              <w:spacing w:line="240" w:lineRule="auto"/>
              <w:jc w:val="both"/>
              <w:rPr>
                <w:rFonts w:ascii="Century Gothic" w:hAnsi="Century Gothic" w:cs="Arial"/>
                <w:lang w:val="es-MX"/>
              </w:rPr>
            </w:pPr>
          </w:p>
          <w:p w:rsidR="00ED232F" w:rsidRDefault="00ED232F">
            <w:pPr>
              <w:widowControl w:val="0"/>
              <w:spacing w:line="240" w:lineRule="auto"/>
              <w:jc w:val="both"/>
              <w:rPr>
                <w:rFonts w:ascii="Century Gothic" w:hAnsi="Century Gothic" w:cs="Arial"/>
                <w:lang w:val="es-MX"/>
              </w:rPr>
            </w:pPr>
          </w:p>
          <w:p w:rsidR="00ED232F" w:rsidRDefault="00ED232F" w:rsidP="00576C2B">
            <w:pPr>
              <w:widowControl w:val="0"/>
              <w:spacing w:line="240" w:lineRule="auto"/>
              <w:jc w:val="center"/>
              <w:rPr>
                <w:rFonts w:ascii="Century Gothic" w:hAnsi="Century Gothic" w:cs="Arial"/>
                <w:lang w:val="es-MX"/>
              </w:rPr>
            </w:pPr>
            <w:r>
              <w:rPr>
                <w:rFonts w:ascii="Century Gothic" w:hAnsi="Century Gothic" w:cs="Arial"/>
                <w:b/>
                <w:bCs/>
                <w:smallCaps/>
                <w:kern w:val="32"/>
                <w:lang w:val="es-MX"/>
              </w:rPr>
              <w:t>Determinaciones relativas a la constitución de la sociedad</w:t>
            </w:r>
          </w:p>
          <w:p w:rsidR="00ED232F" w:rsidRDefault="00ED232F" w:rsidP="00576C2B">
            <w:pPr>
              <w:widowControl w:val="0"/>
              <w:numPr>
                <w:ilvl w:val="0"/>
                <w:numId w:val="2"/>
              </w:numPr>
              <w:tabs>
                <w:tab w:val="clear" w:pos="720"/>
                <w:tab w:val="num" w:pos="494"/>
              </w:tabs>
              <w:autoSpaceDE w:val="0"/>
              <w:autoSpaceDN w:val="0"/>
              <w:spacing w:line="240" w:lineRule="auto"/>
              <w:ind w:left="352" w:hanging="284"/>
              <w:jc w:val="both"/>
              <w:rPr>
                <w:rFonts w:ascii="Century Gothic" w:hAnsi="Century Gothic" w:cs="Arial"/>
                <w:lang w:val="es-MX"/>
              </w:rPr>
            </w:pPr>
            <w:r>
              <w:rPr>
                <w:rFonts w:ascii="Century Gothic" w:hAnsi="Century Gothic" w:cs="Arial"/>
                <w:b/>
                <w:bCs/>
                <w:lang w:val="es-MX"/>
              </w:rPr>
              <w:t>Representación legal. -</w:t>
            </w:r>
            <w:r>
              <w:rPr>
                <w:rFonts w:ascii="Century Gothic" w:hAnsi="Century Gothic" w:cs="Arial"/>
                <w:lang w:val="es-MX"/>
              </w:rPr>
              <w:t xml:space="preserve"> Los accionistas constituyentes de la sociedad han designado en este acto constitutivo, a </w:t>
            </w:r>
            <w:r>
              <w:rPr>
                <w:rFonts w:ascii="Century Gothic" w:hAnsi="Century Gothic" w:cs="Arial"/>
                <w:b/>
                <w:u w:val="single"/>
              </w:rPr>
              <w:t>ALBA XIMENA RUIZ MORENO</w:t>
            </w:r>
            <w:r>
              <w:rPr>
                <w:rFonts w:ascii="Century Gothic" w:hAnsi="Century Gothic" w:cs="Arial"/>
                <w:lang w:val="es-MX"/>
              </w:rPr>
              <w:t xml:space="preserve">, identificado con la cédula de ciudadanía No. </w:t>
            </w:r>
            <w:r>
              <w:rPr>
                <w:rFonts w:ascii="Century Gothic" w:hAnsi="Century Gothic" w:cs="Arial"/>
                <w:b/>
                <w:u w:val="single"/>
              </w:rPr>
              <w:t>1.014.278.404</w:t>
            </w:r>
            <w:r>
              <w:rPr>
                <w:rFonts w:ascii="Century Gothic" w:hAnsi="Century Gothic" w:cs="Arial"/>
                <w:lang w:val="es-MX"/>
              </w:rPr>
              <w:t xml:space="preserve">, como representante legal de </w:t>
            </w:r>
            <w:r>
              <w:rPr>
                <w:rFonts w:ascii="Century Gothic" w:hAnsi="Century Gothic"/>
                <w:b/>
              </w:rPr>
              <w:t xml:space="preserve">LALICAX SOFT </w:t>
            </w:r>
            <w:r>
              <w:rPr>
                <w:rFonts w:ascii="Century Gothic" w:hAnsi="Century Gothic" w:cs="Arial"/>
                <w:b/>
                <w:lang w:val="es-MX"/>
              </w:rPr>
              <w:t>S.A.S.</w:t>
            </w:r>
            <w:r>
              <w:rPr>
                <w:rFonts w:ascii="Century Gothic" w:hAnsi="Century Gothic" w:cs="Arial"/>
                <w:lang w:val="es-MX"/>
              </w:rPr>
              <w:t xml:space="preserve">, por el término de un (1) año. Y como Suplente o Subgerente a </w:t>
            </w:r>
            <w:r>
              <w:rPr>
                <w:rFonts w:ascii="Century Gothic" w:hAnsi="Century Gothic" w:cs="Arial"/>
                <w:b/>
                <w:u w:val="single"/>
              </w:rPr>
              <w:t>CRISTIAN CAMILO QUIROGA MORENO</w:t>
            </w:r>
            <w:r>
              <w:rPr>
                <w:rFonts w:ascii="Century Gothic" w:hAnsi="Century Gothic" w:cs="Arial"/>
                <w:lang w:val="es-MX"/>
              </w:rPr>
              <w:t xml:space="preserve"> identificado con la cédula de ciudadanía No.</w:t>
            </w:r>
            <w:r>
              <w:rPr>
                <w:rFonts w:ascii="Century Gothic" w:hAnsi="Century Gothic" w:cs="Arial"/>
                <w:b/>
                <w:lang w:val="es-MX"/>
              </w:rPr>
              <w:t xml:space="preserve"> </w:t>
            </w:r>
            <w:r>
              <w:rPr>
                <w:rFonts w:ascii="Century Gothic" w:hAnsi="Century Gothic" w:cs="Arial"/>
                <w:b/>
                <w:u w:val="single"/>
              </w:rPr>
              <w:t>1.233.488.878</w:t>
            </w:r>
            <w:r>
              <w:rPr>
                <w:rFonts w:ascii="Century Gothic" w:hAnsi="Century Gothic" w:cs="Arial"/>
                <w:b/>
              </w:rPr>
              <w:t>.</w:t>
            </w:r>
          </w:p>
          <w:p w:rsidR="00ED232F" w:rsidRDefault="00ED232F">
            <w:pPr>
              <w:widowControl w:val="0"/>
              <w:tabs>
                <w:tab w:val="num" w:pos="284"/>
              </w:tabs>
              <w:autoSpaceDE w:val="0"/>
              <w:autoSpaceDN w:val="0"/>
              <w:spacing w:line="240" w:lineRule="auto"/>
              <w:ind w:left="284" w:hanging="284"/>
              <w:jc w:val="both"/>
              <w:rPr>
                <w:rFonts w:ascii="Century Gothic" w:hAnsi="Century Gothic" w:cs="Arial"/>
                <w:lang w:val="es-MX"/>
              </w:rPr>
            </w:pPr>
          </w:p>
          <w:p w:rsidR="00ED232F" w:rsidRDefault="00ED232F">
            <w:pPr>
              <w:widowControl w:val="0"/>
              <w:tabs>
                <w:tab w:val="num" w:pos="284"/>
              </w:tabs>
              <w:spacing w:line="240" w:lineRule="auto"/>
              <w:ind w:left="284"/>
              <w:jc w:val="both"/>
              <w:rPr>
                <w:rFonts w:ascii="Century Gothic" w:hAnsi="Century Gothic" w:cs="Arial"/>
                <w:lang w:val="es-MX"/>
              </w:rPr>
            </w:pPr>
            <w:r>
              <w:rPr>
                <w:rFonts w:ascii="Century Gothic" w:hAnsi="Century Gothic" w:cs="Arial"/>
                <w:b/>
                <w:lang w:val="es-MX"/>
              </w:rPr>
              <w:t>ERIKA LIZETH RIVERA LOPEZ Y LAURA ELIZABETH CASTELLANOS DUCON,</w:t>
            </w:r>
            <w:r>
              <w:rPr>
                <w:rFonts w:ascii="Century Gothic" w:hAnsi="Century Gothic" w:cs="Arial"/>
                <w:lang w:val="es-MX"/>
              </w:rPr>
              <w:t xml:space="preserve"> participan en el presente acto constitutivo a fin de dejar constancia acerca de su aceptación del cargo para el cual han sido designados, así como para manifestar que no existen incompatibilidades ni restricciones que pudieran afectar su designación como representante legal de</w:t>
            </w:r>
            <w:r>
              <w:rPr>
                <w:rFonts w:ascii="Century Gothic" w:hAnsi="Century Gothic" w:cs="Arial"/>
                <w:b/>
                <w:lang w:val="es-MX"/>
              </w:rPr>
              <w:t xml:space="preserve"> LALICAXSOFT S.A.S</w:t>
            </w:r>
            <w:r>
              <w:rPr>
                <w:rFonts w:ascii="Century Gothic" w:hAnsi="Century Gothic"/>
                <w:b/>
              </w:rPr>
              <w:t>.</w:t>
            </w:r>
          </w:p>
          <w:p w:rsidR="00ED232F" w:rsidRDefault="00ED232F">
            <w:pPr>
              <w:widowControl w:val="0"/>
              <w:tabs>
                <w:tab w:val="num" w:pos="284"/>
              </w:tabs>
              <w:spacing w:line="240" w:lineRule="auto"/>
              <w:ind w:left="284" w:hanging="284"/>
              <w:jc w:val="both"/>
              <w:rPr>
                <w:rFonts w:ascii="Century Gothic" w:hAnsi="Century Gothic" w:cs="Arial"/>
                <w:lang w:val="es-MX"/>
              </w:rPr>
            </w:pPr>
          </w:p>
          <w:p w:rsidR="00ED232F" w:rsidRDefault="00ED232F" w:rsidP="00E155FD">
            <w:pPr>
              <w:widowControl w:val="0"/>
              <w:numPr>
                <w:ilvl w:val="0"/>
                <w:numId w:val="2"/>
              </w:numPr>
              <w:tabs>
                <w:tab w:val="num" w:pos="284"/>
              </w:tabs>
              <w:autoSpaceDE w:val="0"/>
              <w:autoSpaceDN w:val="0"/>
              <w:spacing w:line="240" w:lineRule="auto"/>
              <w:ind w:left="284" w:hanging="284"/>
              <w:jc w:val="both"/>
              <w:rPr>
                <w:rFonts w:ascii="Century Gothic" w:hAnsi="Century Gothic" w:cs="Arial"/>
                <w:lang w:val="es-MX"/>
              </w:rPr>
            </w:pPr>
            <w:r>
              <w:rPr>
                <w:rFonts w:ascii="Century Gothic" w:hAnsi="Century Gothic" w:cs="Arial"/>
                <w:b/>
                <w:bCs/>
                <w:lang w:val="es-MX"/>
              </w:rPr>
              <w:t>Actos realizados por cuenta de la sociedad en formación. -</w:t>
            </w:r>
            <w:r>
              <w:rPr>
                <w:rFonts w:ascii="Century Gothic" w:hAnsi="Century Gothic" w:cs="Arial"/>
                <w:lang w:val="es-MX"/>
              </w:rPr>
              <w:t xml:space="preserve"> A partir de la inscripción del presente documento en el Registro Mercantil, </w:t>
            </w:r>
            <w:r>
              <w:rPr>
                <w:rFonts w:ascii="Century Gothic" w:hAnsi="Century Gothic"/>
                <w:b/>
              </w:rPr>
              <w:t>LALICAXSOFT S.A.S.</w:t>
            </w:r>
            <w:r>
              <w:rPr>
                <w:rFonts w:ascii="Century Gothic" w:hAnsi="Century Gothic" w:cs="Arial"/>
                <w:lang w:val="es-MX"/>
              </w:rPr>
              <w:t xml:space="preserve"> asume la totalidad de los derechos y obligaciones derivados de los actos y negocios jurídicos, realizados por cuenta de la sociedad durante su proceso de formación:</w:t>
            </w:r>
          </w:p>
          <w:p w:rsidR="00ED232F" w:rsidRDefault="00ED232F">
            <w:pPr>
              <w:widowControl w:val="0"/>
              <w:tabs>
                <w:tab w:val="num" w:pos="284"/>
              </w:tabs>
              <w:spacing w:line="240" w:lineRule="auto"/>
              <w:ind w:left="284" w:hanging="284"/>
              <w:jc w:val="both"/>
              <w:rPr>
                <w:rFonts w:ascii="Century Gothic" w:hAnsi="Century Gothic" w:cs="Arial"/>
                <w:b/>
                <w:bCs/>
                <w:lang w:val="es-MX"/>
              </w:rPr>
            </w:pPr>
          </w:p>
          <w:p w:rsidR="00ED232F" w:rsidRDefault="00ED232F" w:rsidP="00E155FD">
            <w:pPr>
              <w:widowControl w:val="0"/>
              <w:numPr>
                <w:ilvl w:val="0"/>
                <w:numId w:val="2"/>
              </w:numPr>
              <w:tabs>
                <w:tab w:val="num" w:pos="284"/>
              </w:tabs>
              <w:autoSpaceDE w:val="0"/>
              <w:autoSpaceDN w:val="0"/>
              <w:spacing w:line="240" w:lineRule="auto"/>
              <w:ind w:left="284" w:hanging="284"/>
              <w:jc w:val="both"/>
              <w:rPr>
                <w:rFonts w:ascii="Century Gothic" w:hAnsi="Century Gothic" w:cs="Arial"/>
                <w:lang w:val="es-MX"/>
              </w:rPr>
            </w:pPr>
            <w:r>
              <w:rPr>
                <w:rFonts w:ascii="Century Gothic" w:hAnsi="Century Gothic" w:cs="Arial"/>
                <w:b/>
                <w:bCs/>
                <w:lang w:val="es-MX"/>
              </w:rPr>
              <w:t>Personificación jurídica de la sociedad</w:t>
            </w:r>
            <w:r>
              <w:rPr>
                <w:rFonts w:ascii="Century Gothic" w:hAnsi="Century Gothic" w:cs="Arial"/>
                <w:lang w:val="es-MX"/>
              </w:rPr>
              <w:t xml:space="preserve">. </w:t>
            </w:r>
            <w:r>
              <w:rPr>
                <w:rFonts w:ascii="Century Gothic" w:hAnsi="Century Gothic" w:cs="Arial"/>
                <w:b/>
                <w:lang w:val="es-MX"/>
              </w:rPr>
              <w:t>-</w:t>
            </w:r>
            <w:r>
              <w:rPr>
                <w:rFonts w:ascii="Century Gothic" w:hAnsi="Century Gothic" w:cs="Arial"/>
                <w:lang w:val="es-MX"/>
              </w:rPr>
              <w:t xml:space="preserve"> Luego de la inscripción del presente documento en el Registro Mercantil, </w:t>
            </w:r>
            <w:r>
              <w:rPr>
                <w:rFonts w:ascii="Century Gothic" w:hAnsi="Century Gothic"/>
                <w:b/>
              </w:rPr>
              <w:t>LALICAXSOFT S.A.S</w:t>
            </w:r>
            <w:r>
              <w:rPr>
                <w:rFonts w:ascii="Century Gothic" w:hAnsi="Century Gothic" w:cs="Arial"/>
                <w:lang w:val="es-MX"/>
              </w:rPr>
              <w:t xml:space="preserve"> formará una persona jurídica distinta de sus accionistas, conforme se dispone en el artículo 2º de la Ley 1258 de 2008. </w:t>
            </w:r>
          </w:p>
          <w:p w:rsidR="00ED232F" w:rsidRDefault="00ED232F">
            <w:pPr>
              <w:widowControl w:val="0"/>
              <w:spacing w:line="240" w:lineRule="auto"/>
              <w:ind w:left="426" w:hanging="426"/>
              <w:jc w:val="both"/>
              <w:rPr>
                <w:rFonts w:ascii="Century Gothic" w:hAnsi="Century Gothic" w:cs="Arial"/>
                <w:lang w:val="es-MX"/>
              </w:rPr>
            </w:pPr>
          </w:p>
          <w:p w:rsidR="00ED232F" w:rsidRDefault="00ED232F">
            <w:pPr>
              <w:spacing w:line="240" w:lineRule="auto"/>
              <w:jc w:val="both"/>
              <w:rPr>
                <w:rFonts w:ascii="Century Gothic" w:hAnsi="Century Gothic" w:cs="Tahoma"/>
              </w:rPr>
            </w:pPr>
            <w:r>
              <w:rPr>
                <w:rFonts w:ascii="Century Gothic" w:hAnsi="Century Gothic" w:cs="Tahoma"/>
              </w:rPr>
              <w:t xml:space="preserve">En constancia firman los socios accionistas constituyentes: </w:t>
            </w: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576C2B" w:rsidRDefault="00576C2B">
            <w:pPr>
              <w:spacing w:line="240" w:lineRule="auto"/>
              <w:jc w:val="both"/>
              <w:rPr>
                <w:rFonts w:ascii="Century Gothic" w:hAnsi="Century Gothic" w:cs="Arial"/>
                <w:b/>
              </w:rPr>
            </w:pPr>
          </w:p>
          <w:p w:rsidR="00ED232F" w:rsidRDefault="00ED232F">
            <w:pPr>
              <w:spacing w:line="240" w:lineRule="auto"/>
              <w:jc w:val="both"/>
              <w:rPr>
                <w:rFonts w:ascii="Century Gothic" w:hAnsi="Century Gothic" w:cs="Arial"/>
                <w:b/>
              </w:rPr>
            </w:pPr>
            <w:r>
              <w:rPr>
                <w:rFonts w:ascii="Century Gothic" w:hAnsi="Century Gothic" w:cs="Arial"/>
                <w:b/>
              </w:rPr>
              <w:t>CRISTIAN CAMILO QUIROGA MORENO</w:t>
            </w:r>
          </w:p>
          <w:p w:rsidR="00ED232F" w:rsidRDefault="00ED232F">
            <w:pPr>
              <w:spacing w:line="240" w:lineRule="auto"/>
              <w:jc w:val="both"/>
              <w:rPr>
                <w:rFonts w:ascii="Century Gothic" w:hAnsi="Century Gothic" w:cs="Arial"/>
                <w:b/>
              </w:rPr>
            </w:pPr>
            <w:r>
              <w:rPr>
                <w:rFonts w:ascii="Century Gothic" w:hAnsi="Century Gothic" w:cs="Arial"/>
                <w:b/>
              </w:rPr>
              <w:t xml:space="preserve">C.C. 1.233.488.878  </w:t>
            </w:r>
          </w:p>
          <w:p w:rsidR="00ED232F" w:rsidRDefault="00ED232F">
            <w:pPr>
              <w:spacing w:line="240" w:lineRule="auto"/>
              <w:jc w:val="both"/>
              <w:rPr>
                <w:rFonts w:ascii="Century Gothic" w:hAnsi="Century Gothic" w:cs="Arial"/>
                <w:b/>
              </w:rPr>
            </w:pPr>
          </w:p>
          <w:p w:rsidR="00ED232F" w:rsidRDefault="00ED232F">
            <w:pPr>
              <w:spacing w:line="240" w:lineRule="auto"/>
              <w:jc w:val="both"/>
              <w:rPr>
                <w:rFonts w:ascii="Century Gothic" w:hAnsi="Century Gothic" w:cs="Arial"/>
                <w:b/>
              </w:rPr>
            </w:pPr>
          </w:p>
          <w:p w:rsidR="00ED232F" w:rsidRDefault="00ED232F">
            <w:pPr>
              <w:spacing w:line="240" w:lineRule="auto"/>
              <w:jc w:val="both"/>
              <w:rPr>
                <w:rFonts w:ascii="Century Gothic" w:hAnsi="Century Gothic" w:cs="Arial"/>
                <w:b/>
              </w:rPr>
            </w:pPr>
          </w:p>
          <w:p w:rsidR="00ED232F" w:rsidRDefault="00ED232F">
            <w:pPr>
              <w:spacing w:line="240" w:lineRule="auto"/>
              <w:jc w:val="both"/>
              <w:rPr>
                <w:rFonts w:ascii="Century Gothic" w:hAnsi="Century Gothic" w:cs="Arial"/>
                <w:b/>
              </w:rPr>
            </w:pPr>
            <w:r>
              <w:rPr>
                <w:rFonts w:ascii="Century Gothic" w:hAnsi="Century Gothic" w:cs="Arial"/>
                <w:b/>
              </w:rPr>
              <w:t xml:space="preserve">ALBA XIMENA RUIZ MORENO </w:t>
            </w:r>
          </w:p>
          <w:p w:rsidR="00ED232F" w:rsidRDefault="00ED232F">
            <w:pPr>
              <w:spacing w:line="240" w:lineRule="auto"/>
              <w:jc w:val="both"/>
              <w:rPr>
                <w:rFonts w:ascii="Century Gothic" w:hAnsi="Century Gothic" w:cs="Arial"/>
                <w:b/>
              </w:rPr>
            </w:pPr>
            <w:r>
              <w:rPr>
                <w:rFonts w:ascii="Century Gothic" w:hAnsi="Century Gothic" w:cs="Arial"/>
                <w:b/>
              </w:rPr>
              <w:t>C.C. 1.014278404</w:t>
            </w:r>
          </w:p>
          <w:p w:rsidR="00ED232F" w:rsidRDefault="00ED232F">
            <w:pPr>
              <w:spacing w:line="240" w:lineRule="auto"/>
              <w:jc w:val="both"/>
              <w:rPr>
                <w:rFonts w:ascii="Century Gothic" w:hAnsi="Century Gothic" w:cs="Arial"/>
                <w:b/>
              </w:rPr>
            </w:pPr>
          </w:p>
          <w:p w:rsidR="00ED232F" w:rsidRDefault="00ED232F">
            <w:pPr>
              <w:spacing w:line="240" w:lineRule="auto"/>
              <w:jc w:val="both"/>
              <w:rPr>
                <w:rFonts w:ascii="Century Gothic" w:hAnsi="Century Gothic" w:cs="Arial"/>
                <w:b/>
              </w:rPr>
            </w:pPr>
          </w:p>
          <w:p w:rsidR="00ED232F" w:rsidRDefault="00ED232F">
            <w:pPr>
              <w:spacing w:line="240" w:lineRule="auto"/>
              <w:jc w:val="both"/>
              <w:rPr>
                <w:rFonts w:ascii="Century Gothic" w:hAnsi="Century Gothic" w:cs="Arial"/>
                <w:b/>
              </w:rPr>
            </w:pPr>
          </w:p>
          <w:p w:rsidR="00ED232F" w:rsidRDefault="00ED232F">
            <w:pPr>
              <w:spacing w:line="240" w:lineRule="auto"/>
              <w:jc w:val="both"/>
              <w:rPr>
                <w:rFonts w:ascii="Century Gothic" w:hAnsi="Century Gothic" w:cs="Arial"/>
                <w:b/>
                <w:lang w:val="en-US"/>
              </w:rPr>
            </w:pPr>
            <w:r>
              <w:rPr>
                <w:rFonts w:ascii="Century Gothic" w:hAnsi="Century Gothic" w:cs="Arial"/>
                <w:b/>
                <w:lang w:val="en-US"/>
              </w:rPr>
              <w:t>ERIKA LIZETH RIVERA LOPEZ</w:t>
            </w:r>
          </w:p>
          <w:p w:rsidR="00ED232F" w:rsidRDefault="00ED232F">
            <w:pPr>
              <w:spacing w:line="240" w:lineRule="auto"/>
              <w:jc w:val="both"/>
              <w:rPr>
                <w:rFonts w:ascii="Century Gothic" w:hAnsi="Century Gothic" w:cs="Arial"/>
                <w:b/>
                <w:lang w:val="en-US"/>
              </w:rPr>
            </w:pPr>
            <w:r>
              <w:rPr>
                <w:rFonts w:ascii="Century Gothic" w:hAnsi="Century Gothic" w:cs="Arial"/>
                <w:b/>
                <w:lang w:val="en-US"/>
              </w:rPr>
              <w:t>C.C. 1.049.649.504</w:t>
            </w:r>
          </w:p>
          <w:p w:rsidR="00ED232F" w:rsidRDefault="00ED232F">
            <w:pPr>
              <w:spacing w:line="240" w:lineRule="auto"/>
              <w:jc w:val="both"/>
              <w:rPr>
                <w:rFonts w:ascii="Century Gothic" w:hAnsi="Century Gothic" w:cs="Arial"/>
                <w:b/>
                <w:lang w:val="en-US"/>
              </w:rPr>
            </w:pPr>
            <w:r>
              <w:rPr>
                <w:rFonts w:ascii="Century Gothic" w:hAnsi="Century Gothic" w:cs="Arial"/>
                <w:b/>
                <w:lang w:val="en-US"/>
              </w:rPr>
              <w:t xml:space="preserve">   </w:t>
            </w:r>
          </w:p>
          <w:p w:rsidR="00ED232F" w:rsidRDefault="00ED232F">
            <w:pPr>
              <w:spacing w:line="240" w:lineRule="auto"/>
              <w:jc w:val="both"/>
              <w:rPr>
                <w:rFonts w:ascii="Century Gothic" w:hAnsi="Century Gothic" w:cs="Arial"/>
                <w:b/>
                <w:lang w:val="en-US"/>
              </w:rPr>
            </w:pPr>
          </w:p>
          <w:p w:rsidR="00576C2B" w:rsidRDefault="00576C2B">
            <w:pPr>
              <w:spacing w:line="240" w:lineRule="auto"/>
              <w:jc w:val="both"/>
              <w:rPr>
                <w:rFonts w:ascii="Century Gothic" w:hAnsi="Century Gothic" w:cs="Arial"/>
                <w:b/>
                <w:lang w:val="en-US"/>
              </w:rPr>
            </w:pPr>
          </w:p>
          <w:p w:rsidR="00ED232F" w:rsidRDefault="00ED232F">
            <w:pPr>
              <w:spacing w:line="240" w:lineRule="auto"/>
              <w:jc w:val="both"/>
              <w:rPr>
                <w:rFonts w:ascii="Century Gothic" w:hAnsi="Century Gothic" w:cs="Arial"/>
                <w:b/>
              </w:rPr>
            </w:pPr>
            <w:r>
              <w:rPr>
                <w:rFonts w:ascii="Century Gothic" w:hAnsi="Century Gothic" w:cs="Arial"/>
                <w:b/>
              </w:rPr>
              <w:t>LAURA ELIZABETH CASTELLANOS DUCON</w:t>
            </w:r>
          </w:p>
          <w:p w:rsidR="00ED232F" w:rsidRDefault="00ED232F">
            <w:pPr>
              <w:spacing w:line="240" w:lineRule="auto"/>
              <w:jc w:val="both"/>
              <w:rPr>
                <w:rFonts w:ascii="Century Gothic" w:hAnsi="Century Gothic" w:cs="Arial"/>
                <w:b/>
              </w:rPr>
            </w:pPr>
            <w:r>
              <w:rPr>
                <w:rFonts w:ascii="Century Gothic" w:hAnsi="Century Gothic" w:cs="Arial"/>
                <w:b/>
              </w:rPr>
              <w:t>CC 1.052.403.529</w:t>
            </w:r>
          </w:p>
          <w:p w:rsidR="00ED232F" w:rsidRDefault="00ED232F">
            <w:pPr>
              <w:spacing w:line="240" w:lineRule="auto"/>
              <w:jc w:val="both"/>
              <w:rPr>
                <w:rFonts w:ascii="Century Gothic" w:hAnsi="Century Gothic"/>
              </w:rPr>
            </w:pPr>
          </w:p>
          <w:p w:rsidR="00576C2B" w:rsidRDefault="00576C2B">
            <w:pPr>
              <w:spacing w:line="240" w:lineRule="auto"/>
              <w:jc w:val="both"/>
              <w:rPr>
                <w:rFonts w:ascii="Century Gothic" w:hAnsi="Century Gothic"/>
              </w:rPr>
            </w:pPr>
          </w:p>
          <w:p w:rsidR="00576C2B" w:rsidRDefault="00576C2B">
            <w:pPr>
              <w:spacing w:line="240" w:lineRule="auto"/>
              <w:jc w:val="both"/>
              <w:rPr>
                <w:rFonts w:ascii="Century Gothic" w:hAnsi="Century Gothic"/>
              </w:rPr>
            </w:pPr>
          </w:p>
          <w:p w:rsidR="00576C2B" w:rsidRDefault="00576C2B">
            <w:pPr>
              <w:spacing w:line="240" w:lineRule="auto"/>
              <w:jc w:val="both"/>
              <w:rPr>
                <w:rFonts w:ascii="Century Gothic" w:hAnsi="Century Gothic"/>
              </w:rPr>
            </w:pPr>
          </w:p>
          <w:p w:rsidR="00576C2B" w:rsidRDefault="00576C2B">
            <w:pPr>
              <w:spacing w:line="240" w:lineRule="auto"/>
              <w:jc w:val="both"/>
              <w:rPr>
                <w:rFonts w:ascii="Century Gothic" w:hAnsi="Century Gothic"/>
              </w:rPr>
            </w:pPr>
          </w:p>
          <w:p w:rsidR="00576C2B" w:rsidRDefault="00576C2B">
            <w:pPr>
              <w:spacing w:line="240" w:lineRule="auto"/>
              <w:jc w:val="both"/>
              <w:rPr>
                <w:rFonts w:ascii="Century Gothic" w:hAnsi="Century Gothic"/>
              </w:rPr>
            </w:pPr>
          </w:p>
          <w:p w:rsidR="00576C2B" w:rsidRDefault="00576C2B">
            <w:pPr>
              <w:spacing w:line="240" w:lineRule="auto"/>
              <w:jc w:val="both"/>
              <w:rPr>
                <w:rFonts w:ascii="Century Gothic" w:hAnsi="Century Gothic"/>
              </w:rPr>
            </w:pPr>
          </w:p>
          <w:p w:rsidR="00576C2B" w:rsidRDefault="00576C2B">
            <w:pPr>
              <w:spacing w:line="240" w:lineRule="auto"/>
              <w:jc w:val="both"/>
              <w:rPr>
                <w:rFonts w:ascii="Century Gothic" w:hAnsi="Century Gothic"/>
              </w:rPr>
            </w:pPr>
          </w:p>
          <w:p w:rsidR="00576C2B" w:rsidRDefault="00576C2B">
            <w:pPr>
              <w:spacing w:line="240" w:lineRule="auto"/>
              <w:jc w:val="both"/>
              <w:rPr>
                <w:rFonts w:ascii="Century Gothic" w:hAnsi="Century Gothic"/>
              </w:rPr>
            </w:pPr>
          </w:p>
          <w:p w:rsidR="00576C2B" w:rsidRDefault="00576C2B">
            <w:pPr>
              <w:spacing w:line="240" w:lineRule="auto"/>
              <w:jc w:val="both"/>
              <w:rPr>
                <w:rFonts w:ascii="Century Gothic" w:hAnsi="Century Gothic"/>
              </w:rPr>
            </w:pPr>
          </w:p>
          <w:p w:rsidR="00576C2B" w:rsidRDefault="00576C2B">
            <w:pPr>
              <w:spacing w:line="240" w:lineRule="auto"/>
              <w:jc w:val="both"/>
              <w:rPr>
                <w:rFonts w:ascii="Century Gothic" w:hAnsi="Century Gothic"/>
              </w:rPr>
            </w:pPr>
          </w:p>
          <w:p w:rsidR="00576C2B" w:rsidRDefault="00576C2B">
            <w:pPr>
              <w:spacing w:line="240" w:lineRule="auto"/>
              <w:jc w:val="both"/>
              <w:rPr>
                <w:rFonts w:ascii="Century Gothic" w:hAnsi="Century Gothic"/>
              </w:rPr>
            </w:pPr>
            <w:bookmarkStart w:id="0" w:name="_GoBack"/>
            <w:bookmarkEnd w:id="0"/>
          </w:p>
        </w:tc>
      </w:tr>
    </w:tbl>
    <w:p w:rsidR="00ED232F" w:rsidRDefault="00ED232F" w:rsidP="00ED232F">
      <w:pPr>
        <w:rPr>
          <w:rFonts w:ascii="Century Gothic" w:hAnsi="Century Gothic"/>
        </w:rPr>
      </w:pPr>
    </w:p>
    <w:p w:rsidR="00ED232F" w:rsidRDefault="00ED232F" w:rsidP="00ED232F"/>
    <w:p w:rsidR="00ED232F" w:rsidRDefault="00ED232F" w:rsidP="00ED232F"/>
    <w:p w:rsidR="00A7183C" w:rsidRPr="00ED232F" w:rsidRDefault="00A7183C" w:rsidP="00ED232F"/>
    <w:sectPr w:rsidR="00A7183C" w:rsidRPr="00ED23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C0115"/>
    <w:multiLevelType w:val="multilevel"/>
    <w:tmpl w:val="04883108"/>
    <w:lvl w:ilvl="0">
      <w:start w:val="1"/>
      <w:numFmt w:val="lowerRoman"/>
      <w:lvlText w:val="(%1)"/>
      <w:lvlJc w:val="left"/>
      <w:pPr>
        <w:tabs>
          <w:tab w:val="num" w:pos="1287"/>
        </w:tabs>
        <w:ind w:left="1287" w:hanging="720"/>
      </w:pPr>
      <w:rPr>
        <w:rFonts w:cs="Times New Roman"/>
      </w:rPr>
    </w:lvl>
    <w:lvl w:ilvl="1">
      <w:start w:val="1"/>
      <w:numFmt w:val="lowerLetter"/>
      <w:lvlText w:val="%2."/>
      <w:lvlJc w:val="left"/>
      <w:pPr>
        <w:tabs>
          <w:tab w:val="num" w:pos="1440"/>
        </w:tabs>
        <w:ind w:left="1440" w:hanging="360"/>
      </w:pPr>
      <w:rPr>
        <w:rFonts w:cs="Times New Roman"/>
      </w:rPr>
    </w:lvl>
    <w:lvl w:ilvl="2">
      <w:start w:val="1"/>
      <w:numFmt w:val="decimal"/>
      <w:lvlText w:val="%3."/>
      <w:lvlJc w:val="left"/>
      <w:pPr>
        <w:tabs>
          <w:tab w:val="num" w:pos="2380"/>
        </w:tabs>
        <w:ind w:left="2380" w:hanging="40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667C751D"/>
    <w:multiLevelType w:val="multilevel"/>
    <w:tmpl w:val="656C769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2C"/>
    <w:rsid w:val="000B6648"/>
    <w:rsid w:val="001C3126"/>
    <w:rsid w:val="00576C2B"/>
    <w:rsid w:val="006322EB"/>
    <w:rsid w:val="007103CE"/>
    <w:rsid w:val="00996A96"/>
    <w:rsid w:val="00A7183C"/>
    <w:rsid w:val="00A93D10"/>
    <w:rsid w:val="00B9737B"/>
    <w:rsid w:val="00D6325F"/>
    <w:rsid w:val="00EC032C"/>
    <w:rsid w:val="00ED23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C15E"/>
  <w15:chartTrackingRefBased/>
  <w15:docId w15:val="{F4EE1C31-856B-4E67-9624-93A29799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32C"/>
    <w:pPr>
      <w:spacing w:line="256" w:lineRule="auto"/>
    </w:pPr>
    <w:rPr>
      <w:lang w:val="es-CO"/>
    </w:rPr>
  </w:style>
  <w:style w:type="paragraph" w:styleId="Ttulo1">
    <w:name w:val="heading 1"/>
    <w:basedOn w:val="Normal"/>
    <w:next w:val="Normal"/>
    <w:link w:val="Ttulo1Car"/>
    <w:uiPriority w:val="9"/>
    <w:qFormat/>
    <w:rsid w:val="00EC032C"/>
    <w:pPr>
      <w:keepNext/>
      <w:keepLines/>
      <w:spacing w:before="480" w:after="0" w:line="240" w:lineRule="auto"/>
      <w:outlineLvl w:val="0"/>
    </w:pPr>
    <w:rPr>
      <w:rFonts w:asciiTheme="majorHAnsi" w:eastAsiaTheme="majorEastAsia" w:hAnsiTheme="majorHAnsi" w:cs="Times New Roman"/>
      <w:b/>
      <w:bCs/>
      <w:color w:val="2F5496" w:themeColor="accent1" w:themeShade="BF"/>
      <w:sz w:val="28"/>
      <w:szCs w:val="28"/>
      <w:lang w:val="es-ES" w:eastAsia="es-ES"/>
    </w:rPr>
  </w:style>
  <w:style w:type="paragraph" w:styleId="Ttulo3">
    <w:name w:val="heading 3"/>
    <w:basedOn w:val="Normal"/>
    <w:next w:val="Normal"/>
    <w:link w:val="Ttulo3Car"/>
    <w:uiPriority w:val="9"/>
    <w:semiHidden/>
    <w:unhideWhenUsed/>
    <w:qFormat/>
    <w:rsid w:val="00EC032C"/>
    <w:pPr>
      <w:keepNext/>
      <w:keepLines/>
      <w:autoSpaceDE w:val="0"/>
      <w:autoSpaceDN w:val="0"/>
      <w:spacing w:before="200" w:after="0" w:line="240" w:lineRule="auto"/>
      <w:outlineLvl w:val="2"/>
    </w:pPr>
    <w:rPr>
      <w:rFonts w:asciiTheme="majorHAnsi" w:eastAsiaTheme="majorEastAsia" w:hAnsiTheme="majorHAnsi" w:cs="Times New Roman"/>
      <w:b/>
      <w:bCs/>
      <w:color w:val="4472C4" w:themeColor="accent1"/>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32C"/>
    <w:rPr>
      <w:rFonts w:asciiTheme="majorHAnsi" w:eastAsiaTheme="majorEastAsia" w:hAnsiTheme="majorHAnsi" w:cs="Times New Roman"/>
      <w:b/>
      <w:bCs/>
      <w:color w:val="2F5496" w:themeColor="accent1" w:themeShade="BF"/>
      <w:sz w:val="28"/>
      <w:szCs w:val="28"/>
      <w:lang w:eastAsia="es-ES"/>
    </w:rPr>
  </w:style>
  <w:style w:type="character" w:customStyle="1" w:styleId="Ttulo3Car">
    <w:name w:val="Título 3 Car"/>
    <w:basedOn w:val="Fuentedeprrafopredeter"/>
    <w:link w:val="Ttulo3"/>
    <w:uiPriority w:val="9"/>
    <w:semiHidden/>
    <w:rsid w:val="00EC032C"/>
    <w:rPr>
      <w:rFonts w:asciiTheme="majorHAnsi" w:eastAsiaTheme="majorEastAsia" w:hAnsiTheme="majorHAnsi" w:cs="Times New Roman"/>
      <w:b/>
      <w:bCs/>
      <w:color w:val="4472C4" w:themeColor="accent1"/>
      <w:sz w:val="24"/>
      <w:szCs w:val="24"/>
      <w:lang w:eastAsia="es-ES"/>
    </w:rPr>
  </w:style>
  <w:style w:type="paragraph" w:styleId="Textoindependiente">
    <w:name w:val="Body Text"/>
    <w:basedOn w:val="Normal"/>
    <w:link w:val="TextoindependienteCar"/>
    <w:uiPriority w:val="99"/>
    <w:semiHidden/>
    <w:unhideWhenUsed/>
    <w:rsid w:val="00EC032C"/>
    <w:pPr>
      <w:overflowPunct w:val="0"/>
      <w:autoSpaceDE w:val="0"/>
      <w:autoSpaceDN w:val="0"/>
      <w:adjustRightInd w:val="0"/>
      <w:spacing w:after="0" w:line="240" w:lineRule="auto"/>
      <w:ind w:right="391"/>
      <w:jc w:val="both"/>
    </w:pPr>
    <w:rPr>
      <w:rFonts w:ascii="Arial" w:eastAsia="Times New Roman" w:hAnsi="Arial" w:cs="Times New Roman"/>
      <w:bCs/>
      <w:sz w:val="20"/>
      <w:szCs w:val="20"/>
      <w:lang w:val="es-ES_tradnl" w:eastAsia="es-ES"/>
    </w:rPr>
  </w:style>
  <w:style w:type="character" w:customStyle="1" w:styleId="TextoindependienteCar">
    <w:name w:val="Texto independiente Car"/>
    <w:basedOn w:val="Fuentedeprrafopredeter"/>
    <w:link w:val="Textoindependiente"/>
    <w:uiPriority w:val="99"/>
    <w:semiHidden/>
    <w:rsid w:val="00EC032C"/>
    <w:rPr>
      <w:rFonts w:ascii="Arial" w:eastAsia="Times New Roman" w:hAnsi="Arial" w:cs="Times New Roman"/>
      <w:bCs/>
      <w:sz w:val="20"/>
      <w:szCs w:val="20"/>
      <w:lang w:val="es-ES_tradnl" w:eastAsia="es-ES"/>
    </w:rPr>
  </w:style>
  <w:style w:type="table" w:styleId="Tablaconcuadrcula">
    <w:name w:val="Table Grid"/>
    <w:basedOn w:val="Tablanormal"/>
    <w:uiPriority w:val="59"/>
    <w:rsid w:val="00EC032C"/>
    <w:pPr>
      <w:spacing w:after="0" w:line="240" w:lineRule="auto"/>
    </w:pPr>
    <w:rPr>
      <w:rFonts w:eastAsia="Times New Roman" w:cs="Times New Roman"/>
      <w:lang w:val="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B6648"/>
    <w:rPr>
      <w:sz w:val="16"/>
      <w:szCs w:val="16"/>
    </w:rPr>
  </w:style>
  <w:style w:type="paragraph" w:styleId="Textocomentario">
    <w:name w:val="annotation text"/>
    <w:basedOn w:val="Normal"/>
    <w:link w:val="TextocomentarioCar"/>
    <w:uiPriority w:val="99"/>
    <w:semiHidden/>
    <w:unhideWhenUsed/>
    <w:rsid w:val="000B66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B6648"/>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0B6648"/>
    <w:rPr>
      <w:b/>
      <w:bCs/>
    </w:rPr>
  </w:style>
  <w:style w:type="character" w:customStyle="1" w:styleId="AsuntodelcomentarioCar">
    <w:name w:val="Asunto del comentario Car"/>
    <w:basedOn w:val="TextocomentarioCar"/>
    <w:link w:val="Asuntodelcomentario"/>
    <w:uiPriority w:val="99"/>
    <w:semiHidden/>
    <w:rsid w:val="000B6648"/>
    <w:rPr>
      <w:b/>
      <w:bCs/>
      <w:sz w:val="20"/>
      <w:szCs w:val="20"/>
      <w:lang w:val="es-CO"/>
    </w:rPr>
  </w:style>
  <w:style w:type="paragraph" w:styleId="Textodeglobo">
    <w:name w:val="Balloon Text"/>
    <w:basedOn w:val="Normal"/>
    <w:link w:val="TextodegloboCar"/>
    <w:uiPriority w:val="99"/>
    <w:semiHidden/>
    <w:unhideWhenUsed/>
    <w:rsid w:val="000B66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6648"/>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05473">
      <w:bodyDiv w:val="1"/>
      <w:marLeft w:val="0"/>
      <w:marRight w:val="0"/>
      <w:marTop w:val="0"/>
      <w:marBottom w:val="0"/>
      <w:divBdr>
        <w:top w:val="none" w:sz="0" w:space="0" w:color="auto"/>
        <w:left w:val="none" w:sz="0" w:space="0" w:color="auto"/>
        <w:bottom w:val="none" w:sz="0" w:space="0" w:color="auto"/>
        <w:right w:val="none" w:sz="0" w:space="0" w:color="auto"/>
      </w:divBdr>
    </w:div>
    <w:div w:id="100158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4422</Words>
  <Characters>24327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dc:creator>
  <cp:keywords/>
  <dc:description/>
  <cp:lastModifiedBy>Ximena</cp:lastModifiedBy>
  <cp:revision>4</cp:revision>
  <dcterms:created xsi:type="dcterms:W3CDTF">2018-06-21T20:30:00Z</dcterms:created>
  <dcterms:modified xsi:type="dcterms:W3CDTF">2018-06-22T02:56:00Z</dcterms:modified>
</cp:coreProperties>
</file>