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ADR-002 · Protección de BELP en producción al incorporar BELC</w:t>
      </w:r>
    </w:p>
    <w:p>
      <w:pPr/>
      <w:r>
        <w:t xml:space="preserve">Oct 28, 2026</w:t>
      </w:r>
      <w:r>
        <w:t xml:space="preserve"> · </w:t>
      </w:r>
      <w:r>
        <w:t xml:space="preserve">@Ximena</w:t>
      </w:r>
    </w:p>
    <w:p>
      <w:pPr/>
      <w:r>
        <w:rPr>
          <w:b/>
        </w:rPr>
        <w:t xml:space="preserve">Decisión:</w:t>
      </w:r>
      <w:r>
        <w:t xml:space="preserve"> BELC entra a producción con límites de recursos, despliegues independientes y una forma de apagarse sin tocar BELP, y no pasa el Go Live sin demostrar tres evidencias: regresión de BELP, carga simultánea y reversión independiente.</w:t>
      </w:r>
    </w:p>
    <w:p>
      <w:pPr/>
      <w:r>
        <w:rPr>
          <w:b/>
        </w:rPr>
        <w:t xml:space="preserve">Estado:</w:t>
      </w:r>
      <w:r>
        <w:t xml:space="preserve"> propuesta. Complementa al ADR-001 (banca unificada en tres esquemas y bitácora común).</w:t>
      </w:r>
    </w:p>
    <w:p>
      <w:pPr>
        <w:pStyle w:val="Heading2"/>
      </w:pPr>
      <w:r>
        <w:t xml:space="preserve">Contexto</w:t>
      </w:r>
    </w:p>
    <w:p>
      <w:pPr/>
      <w:r>
        <w:t xml:space="preserve">El ADR-001 separa BELP y BELC en esquemas distintos, con un rol de base de datos por aplicación. Eso protege la organización de los datos y los permisos, </w:t>
      </w:r>
      <w:r>
        <w:rPr>
          <w:b/>
        </w:rPr>
        <w:t xml:space="preserve">pero no los recursos</w:t>
      </w:r>
      <w:r>
        <w:t xml:space="preserve">.</w:t>
      </w:r>
    </w:p>
    <w:p>
      <w:pPr/>
      <w:r>
        <w:t xml:space="preserve">BELP está en producción y BELC comparte con él cinco componentes: ForgeRock, el API Gateway y el WAF, los servicios de backend, el cluster de Aurora y la bitácora común. En cada uno, un pico, un error o un despliegue de BELC puede afectar a BELP. Este ADR define cómo se evita y cómo se demuestra antes del Go Live.</w:t>
      </w:r>
    </w:p>
    <w:p>
      <w:pPr>
        <w:pStyle w:val="Heading2"/>
      </w:pPr>
      <w:r>
        <w:t xml:space="preserve">Decisión: medidas por componente compartido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10"/>
        <w:gridCol w:w="2937"/>
        <w:gridCol w:w="4913"/>
      </w:tblGrid>
      <w:tr>
        <w:trPr>
          <w:tblHeader/>
        </w:trPr>
        <w:tc>
          <w:tcPr>
            <w:tcW w:w="1510" w:type="dxa"/>
            <w:shd w:val="clear" w:color="auto" w:fill="F2F2F2"/>
          </w:tcPr>
          <w:p>
            <w:pPr/>
            <w:r>
              <w:t xml:space="preserve">Componente</w:t>
            </w:r>
          </w:p>
        </w:tc>
        <w:tc>
          <w:tcPr>
            <w:tcW w:w="2937" w:type="dxa"/>
            <w:shd w:val="clear" w:color="auto" w:fill="F2F2F2"/>
          </w:tcPr>
          <w:p>
            <w:pPr/>
            <w:r>
              <w:t xml:space="preserve">Riesgo para BELP</w:t>
            </w:r>
          </w:p>
        </w:tc>
        <w:tc>
          <w:tcPr>
            <w:tcW w:w="4913" w:type="dxa"/>
            <w:shd w:val="clear" w:color="auto" w:fill="F2F2F2"/>
          </w:tcPr>
          <w:p>
            <w:pPr/>
            <w:r>
              <w:t xml:space="preserve">Medida</w:t>
            </w:r>
          </w:p>
        </w:tc>
      </w:tr>
      <w:tr>
        <w:tc>
          <w:tcPr>
            <w:tcW w:w="1510" w:type="dxa"/>
          </w:tcPr>
          <w:p>
            <w:pPr/>
            <w:r>
              <w:rPr>
                <w:b/>
              </w:rPr>
              <w:t xml:space="preserve">ForgeRock</w:t>
            </w:r>
          </w:p>
        </w:tc>
        <w:tc>
          <w:tcPr>
            <w:tcW w:w="2937" w:type="dxa"/>
          </w:tcPr>
          <w:p>
            <w:pPr/>
            <w:r>
              <w:t xml:space="preserve">Un cambio para BELC altera atributos o flujos que BELP ya usa</w:t>
            </w:r>
          </w:p>
        </w:tc>
        <w:tc>
          <w:tcPr>
            <w:tcW w:w="4913" w:type="dxa"/>
          </w:tcPr>
          <w:p>
            <w:pPr/>
            <w:r>
              <w:t xml:space="preserve">Se conservan los contratos, atributos y journeys de BELP. BELC solo agrega </w:t>
            </w:r>
            <w:r>
              <w:rPr>
                <w:rStyle w:val="CodeChar"/>
              </w:rPr>
              <w:t xml:space="preserve">customProfile.belc</w:t>
            </w:r>
            <w:r>
              <w:t xml:space="preserve"> y su journey propio; </w:t>
            </w:r>
            <w:r>
              <w:rPr>
                <w:rStyle w:val="CodeChar"/>
              </w:rPr>
              <w:t xml:space="preserve">customProfile.belp</w:t>
            </w:r>
            <w:r>
              <w:t xml:space="preserve"> no se toca</w:t>
            </w:r>
          </w:p>
        </w:tc>
      </w:tr>
      <w:tr>
        <w:tc>
          <w:tcPr>
            <w:tcW w:w="1510" w:type="dxa"/>
          </w:tcPr>
          <w:p>
            <w:pPr/>
            <w:r>
              <w:rPr>
                <w:b/>
              </w:rPr>
              <w:t xml:space="preserve">API Gateway y WAF</w:t>
            </w:r>
          </w:p>
        </w:tc>
        <w:tc>
          <w:tcPr>
            <w:tcW w:w="2937" w:type="dxa"/>
          </w:tcPr>
          <w:p>
            <w:pPr/>
            <w:r>
              <w:t xml:space="preserve">Una regla o un despliegue de BELC afecta rutas de BELP</w:t>
            </w:r>
          </w:p>
        </w:tc>
        <w:tc>
          <w:tcPr>
            <w:tcW w:w="4913" w:type="dxa"/>
          </w:tcPr>
          <w:p>
            <w:pPr/>
            <w:r>
              <w:t xml:space="preserve">Rutas y políticas de BELC con alcance propio y despliegue independiente. Las rutas BELC se pueden bloquear sin tocar las de BELP</w:t>
            </w:r>
          </w:p>
        </w:tc>
      </w:tr>
      <w:tr>
        <w:tc>
          <w:tcPr>
            <w:tcW w:w="1510" w:type="dxa"/>
          </w:tcPr>
          <w:p>
            <w:pPr/>
            <w:r>
              <w:rPr>
                <w:b/>
              </w:rPr>
              <w:t xml:space="preserve">Servicios de backend compartidos</w:t>
            </w:r>
          </w:p>
        </w:tc>
        <w:tc>
          <w:tcPr>
            <w:tcW w:w="2937" w:type="dxa"/>
          </w:tcPr>
          <w:p>
            <w:pPr/>
            <w:r>
              <w:t xml:space="preserve">Parametrizar el contexto comercial cambia el comportamiento del consumo personal</w:t>
            </w:r>
          </w:p>
        </w:tc>
        <w:tc>
          <w:tcPr>
            <w:tcW w:w="4913" w:type="dxa"/>
          </w:tcPr>
          <w:p>
            <w:pPr/>
            <w:r>
              <w:t xml:space="preserve">Se confirma con pruebas de regresión que el comportamiento de BELP no cambia</w:t>
            </w:r>
          </w:p>
        </w:tc>
      </w:tr>
      <w:tr>
        <w:tc>
          <w:tcPr>
            <w:tcW w:w="1510" w:type="dxa"/>
          </w:tcPr>
          <w:p>
            <w:pPr/>
            <w:r>
              <w:rPr>
                <w:b/>
              </w:rPr>
              <w:t xml:space="preserve">Aurora (capacidad)</w:t>
            </w:r>
          </w:p>
        </w:tc>
        <w:tc>
          <w:tcPr>
            <w:tcW w:w="2937" w:type="dxa"/>
          </w:tcPr>
          <w:p>
            <w:pPr/>
            <w:r>
              <w:t xml:space="preserve">Un pico de BELC consume conexiones, CPU o I/O del escritor que usa BELP</w:t>
            </w:r>
          </w:p>
        </w:tc>
        <w:tc>
          <w:tcPr>
            <w:tcW w:w="4913" w:type="dxa"/>
          </w:tcPr>
          <w:p>
            <w:pPr/>
            <w:r>
              <w:t xml:space="preserve">1. </w:t>
            </w:r>
            <w:r>
              <w:rPr>
                <w:rStyle w:val="CodeChar"/>
              </w:rPr>
              <w:t xml:space="preserve">MAX_USER_CONNECTIONS</w:t>
            </w:r>
            <w:r>
              <w:t xml:space="preserve"> en el usuario de BELC. 2. Las consultas de solo lectura de BELC (productos, usuarios, catálogos) van a una réplica de lectura; el escritor queda para escrituras. 3. Monitoreo por usuario con Performance Insights</w:t>
            </w:r>
          </w:p>
        </w:tc>
      </w:tr>
      <w:tr>
        <w:tc>
          <w:tcPr>
            <w:tcW w:w="1510" w:type="dxa"/>
          </w:tcPr>
          <w:p>
            <w:pPr/>
            <w:r>
              <w:rPr>
                <w:b/>
              </w:rPr>
              <w:t xml:space="preserve">Aurora (plan B)</w:t>
            </w:r>
          </w:p>
        </w:tc>
        <w:tc>
          <w:tcPr>
            <w:tcW w:w="2937" w:type="dxa"/>
          </w:tcPr>
          <w:p>
            <w:pPr/>
            <w:r>
              <w:t xml:space="preserve">Las pruebas de carga muestran que BELC degrada a BELP</w:t>
            </w:r>
          </w:p>
        </w:tc>
        <w:tc>
          <w:tcPr>
            <w:tcW w:w="4913" w:type="dxa"/>
          </w:tcPr>
          <w:p>
            <w:pPr/>
            <w:r>
              <w:rPr>
                <w:rStyle w:val="CodeChar"/>
              </w:rPr>
              <w:t xml:space="preserve">belc</w:t>
            </w:r>
            <w:r>
              <w:t xml:space="preserve"> se muda a su propio cluster. Es posible sin rediseño porque no hay llaves foráneas entre esquemas (ADR-001, decisión 3)</w:t>
            </w:r>
          </w:p>
        </w:tc>
      </w:tr>
      <w:tr>
        <w:tc>
          <w:tcPr>
            <w:tcW w:w="1510" w:type="dxa"/>
          </w:tcPr>
          <w:p>
            <w:pPr/>
            <w:r>
              <w:rPr>
                <w:b/>
              </w:rPr>
              <w:t xml:space="preserve">Auditoría (volumen)</w:t>
            </w:r>
          </w:p>
        </w:tc>
        <w:tc>
          <w:tcPr>
            <w:tcW w:w="2937" w:type="dxa"/>
          </w:tcPr>
          <w:p>
            <w:pPr/>
            <w:r>
              <w:t xml:space="preserve">La bitácora crece y las consultas se vuelven lentas</w:t>
            </w:r>
          </w:p>
        </w:tc>
        <w:tc>
          <w:tcPr>
            <w:tcW w:w="4913" w:type="dxa"/>
          </w:tcPr>
          <w:p>
            <w:pPr/>
            <w:r>
              <w:rPr>
                <w:rStyle w:val="CodeChar"/>
              </w:rPr>
              <w:t xml:space="preserve">BITACORA_EVENTO</w:t>
            </w:r>
            <w:r>
              <w:t xml:space="preserve"> particionada por mes</w:t>
            </w:r>
          </w:p>
        </w:tc>
      </w:tr>
      <w:tr>
        <w:tc>
          <w:tcPr>
            <w:tcW w:w="1510" w:type="dxa"/>
          </w:tcPr>
          <w:p>
            <w:pPr/>
            <w:r>
              <w:rPr>
                <w:b/>
              </w:rPr>
              <w:t xml:space="preserve">Auditoría (fallos)</w:t>
            </w:r>
          </w:p>
        </w:tc>
        <w:tc>
          <w:tcPr>
            <w:tcW w:w="2937" w:type="dxa"/>
          </w:tcPr>
          <w:p>
            <w:pPr/>
            <w:r>
              <w:t xml:space="preserve">Si la escritura en la bitácora falla y la operación también falla, un problema en </w:t>
            </w:r>
            <w:r>
              <w:rPr>
                <w:rStyle w:val="CodeChar"/>
              </w:rPr>
              <w:t xml:space="preserve">auditoria</w:t>
            </w:r>
            <w:r>
              <w:t xml:space="preserve"> detiene operaciones de BELP</w:t>
            </w:r>
          </w:p>
        </w:tc>
        <w:tc>
          <w:tcPr>
            <w:tcW w:w="4913" w:type="dxa"/>
          </w:tcPr>
          <w:p>
            <w:pPr/>
            <w:r>
              <w:t xml:space="preserve">BELC escribe en la misma transacción (HU-13). BELP, cuando se sume, escribe de forma </w:t>
            </w:r>
            <w:r>
              <w:rPr>
                <w:b/>
              </w:rPr>
              <w:t xml:space="preserve">asíncrona</w:t>
            </w:r>
            <w:r>
              <w:t xml:space="preserve"> con cola y reintentos, al menos al principio</w:t>
            </w:r>
          </w:p>
        </w:tc>
      </w:tr>
    </w:tbl>
    <w:p>
      <w:pPr/>
      <w:r>
        <w:rPr>
          <w:b/>
        </w:rPr>
        <w:t xml:space="preserve">Apagar BELC sin tocar BELP:</w:t>
      </w:r>
      <w:r>
        <w:t xml:space="preserve"> se pone </w:t>
      </w:r>
      <w:r>
        <w:rPr>
          <w:rStyle w:val="CodeChar"/>
        </w:rPr>
        <w:t xml:space="preserve">customProfile.belc.enabled = false</w:t>
      </w:r>
      <w:r>
        <w:t xml:space="preserve"> y se bloquean las rutas BELC en el API Gateway. Ninguno de los dos pasos modifica datos, rutas ni configuración de BELP.</w:t>
      </w:r>
    </w:p>
    <w:p>
      <w:pPr>
        <w:pStyle w:val="Heading2"/>
      </w:pPr>
      <w:r>
        <w:t xml:space="preserve">Alternativas evaluadas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362"/>
        <w:gridCol w:w="1384"/>
        <w:gridCol w:w="4614"/>
      </w:tblGrid>
      <w:tr>
        <w:trPr>
          <w:tblHeader/>
        </w:trPr>
        <w:tc>
          <w:tcPr>
            <w:tcW w:w="3362" w:type="dxa"/>
            <w:shd w:val="clear" w:color="auto" w:fill="F2F2F2"/>
          </w:tcPr>
          <w:p>
            <w:pPr/>
            <w:r>
              <w:t xml:space="preserve">Alternativa</w:t>
            </w:r>
          </w:p>
        </w:tc>
        <w:tc>
          <w:tcPr>
            <w:tcW w:w="1384" w:type="dxa"/>
            <w:shd w:val="clear" w:color="auto" w:fill="F2F2F2"/>
          </w:tcPr>
          <w:p>
            <w:pPr/>
            <w:r>
              <w:t xml:space="preserve">Resultado</w:t>
            </w:r>
          </w:p>
        </w:tc>
        <w:tc>
          <w:tcPr>
            <w:tcW w:w="4614" w:type="dxa"/>
            <w:shd w:val="clear" w:color="auto" w:fill="F2F2F2"/>
          </w:tcPr>
          <w:p>
            <w:pPr/>
            <w:r>
              <w:t xml:space="preserve">Motivo</w:t>
            </w:r>
          </w:p>
        </w:tc>
      </w:tr>
      <w:tr>
        <w:tc>
          <w:tcPr>
            <w:tcW w:w="3362" w:type="dxa"/>
          </w:tcPr>
          <w:p>
            <w:pPr/>
            <w:r>
              <w:t xml:space="preserve">Cluster de Aurora propio para BELC desde el inicio</w:t>
            </w:r>
          </w:p>
        </w:tc>
        <w:tc>
          <w:tcPr>
            <w:tcW w:w="1384" w:type="dxa"/>
          </w:tcPr>
          <w:p>
            <w:pPr/>
            <w:r>
              <w:t xml:space="preserve">Descartada por ahora; queda como plan B</w:t>
            </w:r>
          </w:p>
        </w:tc>
        <w:tc>
          <w:tcPr>
            <w:tcW w:w="4614" w:type="dxa"/>
          </w:tcPr>
          <w:p>
            <w:pPr/>
            <w:r>
              <w:t xml:space="preserve">Aísla los recursos por completo, pero agrega costo y operación antes de saber si hace falta. Las pruebas de carga lo deciden</w:t>
            </w:r>
          </w:p>
        </w:tc>
      </w:tr>
      <w:tr>
        <w:tc>
          <w:tcPr>
            <w:tcW w:w="3362" w:type="dxa"/>
          </w:tcPr>
          <w:p>
            <w:pPr/>
            <w:r>
              <w:t xml:space="preserve">Solo separar esquemas, sin límites de recursos</w:t>
            </w:r>
          </w:p>
        </w:tc>
        <w:tc>
          <w:tcPr>
            <w:tcW w:w="1384" w:type="dxa"/>
          </w:tcPr>
          <w:p>
            <w:pPr/>
            <w:r>
              <w:t xml:space="preserve">Descartada</w:t>
            </w:r>
          </w:p>
        </w:tc>
        <w:tc>
          <w:tcPr>
            <w:tcW w:w="4614" w:type="dxa"/>
          </w:tcPr>
          <w:p>
            <w:pPr/>
            <w:r>
              <w:t xml:space="preserve">Protege permisos, no capacidad: un pico de BELC puede agotar conexiones o CPU del escritor de BELP</w:t>
            </w:r>
          </w:p>
        </w:tc>
      </w:tr>
      <w:tr>
        <w:tc>
          <w:tcPr>
            <w:tcW w:w="3362" w:type="dxa"/>
          </w:tcPr>
          <w:p>
            <w:pPr/>
            <w:r>
              <w:t xml:space="preserve">BELP escribe en la bitácora común en la misma transacción desde el primer día</w:t>
            </w:r>
          </w:p>
        </w:tc>
        <w:tc>
          <w:tcPr>
            <w:tcW w:w="1384" w:type="dxa"/>
          </w:tcPr>
          <w:p>
            <w:pPr/>
            <w:r>
              <w:t xml:space="preserve">Descartada</w:t>
            </w:r>
          </w:p>
        </w:tc>
        <w:tc>
          <w:tcPr>
            <w:tcW w:w="4614" w:type="dxa"/>
          </w:tcPr>
          <w:p>
            <w:pPr/>
            <w:r>
              <w:t xml:space="preserve">Un fallo en </w:t>
            </w:r>
            <w:r>
              <w:rPr>
                <w:rStyle w:val="CodeChar"/>
              </w:rPr>
              <w:t xml:space="preserve">auditoria</w:t>
            </w:r>
            <w:r>
              <w:t xml:space="preserve"> detendría operaciones de BELP en producción</w:t>
            </w:r>
          </w:p>
        </w:tc>
      </w:tr>
      <w:tr>
        <w:tc>
          <w:tcPr>
            <w:tcW w:w="3362" w:type="dxa"/>
          </w:tcPr>
          <w:p>
            <w:pPr/>
            <w:r>
              <w:t xml:space="preserve">Límites de recursos, réplica de lectura, escritura asíncrona de BELP y plan B documentado</w:t>
            </w:r>
          </w:p>
        </w:tc>
        <w:tc>
          <w:tcPr>
            <w:tcW w:w="1384" w:type="dxa"/>
          </w:tcPr>
          <w:p>
            <w:pPr/>
            <w:r>
              <w:rPr>
                <w:b/>
              </w:rPr>
              <w:t xml:space="preserve">Elegida</w:t>
            </w:r>
          </w:p>
        </w:tc>
        <w:tc>
          <w:tcPr>
            <w:tcW w:w="4614" w:type="dxa"/>
          </w:tcPr>
          <w:p>
            <w:pPr/>
            <w:r>
              <w:t xml:space="preserve">Protege a BELP con el menor costo y deja abierta la separación total si las pruebas la exigen</w:t>
            </w:r>
          </w:p>
        </w:tc>
      </w:tr>
    </w:tbl>
    <w:p>
      <w:pPr>
        <w:pStyle w:val="Heading2"/>
      </w:pPr>
      <w:r>
        <w:t xml:space="preserve">Consecuencias</w:t>
      </w:r>
    </w:p>
    <w:p>
      <w:pPr/>
      <w:r>
        <w:rPr>
          <w:b/>
        </w:rPr>
        <w:t xml:space="preserve">Lo que se gana</w:t>
      </w:r>
    </w:p>
    <w:p>
      <w:pPr>
        <w:pStyle w:val="ListParagraph"/>
        <w:numPr>
          <w:ilvl w:val="0"/>
          <w:numId w:val="2"/>
        </w:numPr>
      </w:pPr>
      <w:r>
        <w:t xml:space="preserve">Un pico de BELC no puede agotar las conexiones de BELP, y las lecturas de BELC no cargan al escritor.</w:t>
      </w:r>
    </w:p>
    <w:p>
      <w:pPr>
        <w:pStyle w:val="ListParagraph"/>
        <w:numPr>
          <w:ilvl w:val="0"/>
          <w:numId w:val="2"/>
        </w:numPr>
      </w:pPr>
      <w:r>
        <w:t xml:space="preserve">BELC se puede apagar en producción sin revertir ni interrumpir BELP.</w:t>
      </w:r>
    </w:p>
    <w:p>
      <w:pPr>
        <w:pStyle w:val="ListParagraph"/>
        <w:numPr>
          <w:ilvl w:val="0"/>
          <w:numId w:val="2"/>
        </w:numPr>
      </w:pPr>
      <w:r>
        <w:t xml:space="preserve">Si BELC resulta más pesado de lo previsto, la salida (cluster propio) ya está diseñada.</w:t>
      </w:r>
    </w:p>
    <w:p>
      <w:pPr/>
      <w:r>
        <w:rPr>
          <w:b/>
        </w:rPr>
        <w:t xml:space="preserve">Lo que cuesta</w:t>
      </w:r>
    </w:p>
    <w:p>
      <w:pPr>
        <w:pStyle w:val="ListParagraph"/>
        <w:numPr>
          <w:ilvl w:val="0"/>
          <w:numId w:val="3"/>
        </w:numPr>
      </w:pPr>
      <w:r>
        <w:t xml:space="preserve">BELC debe distinguir en su código qué consultas van a la réplica. Las lecturas en la réplica pueden llegar con un retraso de réplica; las que necesitan el dato recién escrito (por ejemplo, tras crear un rol) van al escritor.</w:t>
      </w:r>
    </w:p>
    <w:p>
      <w:pPr>
        <w:pStyle w:val="ListParagraph"/>
        <w:numPr>
          <w:ilvl w:val="0"/>
          <w:numId w:val="3"/>
        </w:numPr>
      </w:pPr>
      <w:r>
        <w:t xml:space="preserve">La escritura asíncrona de BELP en la bitácora puede perder orden o llegar con retraso; la cola debe garantizar reintentos y no perder eventos.</w:t>
      </w:r>
    </w:p>
    <w:p>
      <w:pPr>
        <w:pStyle w:val="ListParagraph"/>
        <w:numPr>
          <w:ilvl w:val="0"/>
          <w:numId w:val="3"/>
        </w:numPr>
      </w:pPr>
      <w:r>
        <w:t xml:space="preserve">El particionado por mes requiere crear la partición siguiente antes de que empiece cada mes (tarea programada del DBA).</w:t>
      </w:r>
    </w:p>
    <w:p>
      <w:pPr>
        <w:pStyle w:val="ListParagraph"/>
        <w:numPr>
          <w:ilvl w:val="0"/>
          <w:numId w:val="3"/>
        </w:numPr>
      </w:pPr>
      <w:r>
        <w:t xml:space="preserve">Hay que fijar el valor de </w:t>
      </w:r>
      <w:r>
        <w:rPr>
          <w:rStyle w:val="CodeChar"/>
        </w:rPr>
        <w:t xml:space="preserve">MAX_USER_CONNECTIONS</w:t>
      </w:r>
      <w:r>
        <w:t xml:space="preserve"> con datos de las pruebas de carga, no a ojo.</w:t>
      </w:r>
    </w:p>
    <w:p>
      <w:pPr>
        <w:pStyle w:val="Heading2"/>
      </w:pPr>
      <w:r>
        <w:t xml:space="preserve">Criterios de salida antes del Go Live</w:t>
      </w:r>
    </w:p>
    <w:p>
      <w:pPr/>
      <w:r>
        <w:t xml:space="preserve">BELC no pasa a producción hasta que las tres evidencias estén aprobadas.</w:t>
      </w:r>
    </w:p>
    <w:p>
      <w:pPr/>
      <w:r>
        <w:rPr>
          <w:b/>
        </w:rPr>
        <w:t xml:space="preserve">1. Regresión de BELP</w:t>
      </w:r>
    </w:p>
    <w:p>
      <w:pPr>
        <w:pStyle w:val="ListParagraph"/>
        <w:numPr>
          <w:ilvl w:val="0"/>
          <w:numId w:val="4"/>
        </w:numPr>
      </w:pPr>
      <w:r>
        <w:t xml:space="preserve">☐ Login, consultas, transferencias y pagos de BELP funcionan igual con BELC desplegado en el mismo ambiente.</w:t>
      </w:r>
    </w:p>
    <w:p>
      <w:pPr>
        <w:pStyle w:val="ListParagraph"/>
        <w:numPr>
          <w:ilvl w:val="0"/>
          <w:numId w:val="4"/>
        </w:numPr>
      </w:pPr>
      <w:r>
        <w:t xml:space="preserve">☐ Un usuario solo BELP inicia sesión y opera sin cambios; su </w:t>
      </w:r>
      <w:r>
        <w:rPr>
          <w:rStyle w:val="CodeChar"/>
        </w:rPr>
        <w:t xml:space="preserve">customProfile.belp</w:t>
      </w:r>
      <w:r>
        <w:t xml:space="preserve"> queda igual.</w:t>
      </w:r>
    </w:p>
    <w:p>
      <w:pPr/>
      <w:r>
        <w:rPr>
          <w:b/>
        </w:rPr>
        <w:t xml:space="preserve">2. Carga simultánea</w:t>
      </w:r>
    </w:p>
    <w:p>
      <w:pPr>
        <w:pStyle w:val="ListParagraph"/>
        <w:numPr>
          <w:ilvl w:val="0"/>
          <w:numId w:val="5"/>
        </w:numPr>
      </w:pPr>
      <w:r>
        <w:t xml:space="preserve">☐ Con tráfico de BELP y de BELC al mismo tiempo, BELP mantiene sus tiempos de respuesta y tasa de errores dentro de los valores acordados. </w:t>
      </w:r>
      <w:r>
        <w:rPr>
          <w:i/>
        </w:rPr>
        <w:t xml:space="preserve">Los valores salen de los niveles de servicio vigentes de BELP; falta que BELP los entregue.</w:t>
      </w:r>
    </w:p>
    <w:p>
      <w:pPr>
        <w:pStyle w:val="ListParagraph"/>
        <w:numPr>
          <w:ilvl w:val="0"/>
          <w:numId w:val="5"/>
        </w:numPr>
      </w:pPr>
      <w:r>
        <w:t xml:space="preserve">☐ Un pico de BELC por encima de su límite de conexiones es rechazado en BELC, no en BELP.</w:t>
      </w:r>
    </w:p>
    <w:p>
      <w:pPr>
        <w:pStyle w:val="ListParagraph"/>
        <w:numPr>
          <w:ilvl w:val="0"/>
          <w:numId w:val="5"/>
        </w:numPr>
      </w:pPr>
      <w:r>
        <w:t xml:space="preserve">☐ Performance Insights muestra el consumo separado por usuario de aplicación.</w:t>
      </w:r>
    </w:p>
    <w:p>
      <w:pPr/>
      <w:r>
        <w:rPr>
          <w:b/>
        </w:rPr>
        <w:t xml:space="preserve">3. Reversión independiente</w:t>
      </w:r>
    </w:p>
    <w:p>
      <w:pPr>
        <w:pStyle w:val="ListParagraph"/>
        <w:numPr>
          <w:ilvl w:val="0"/>
          <w:numId w:val="6"/>
        </w:numPr>
      </w:pPr>
      <w:r>
        <w:t xml:space="preserve">☐ Con </w:t>
      </w:r>
      <w:r>
        <w:rPr>
          <w:rStyle w:val="CodeChar"/>
        </w:rPr>
        <w:t xml:space="preserve">belc_enabled = false</w:t>
      </w:r>
      <w:r>
        <w:t xml:space="preserve"> y las rutas BELC bloqueadas en el API Gateway, BELP sigue operando sin reinicio ni despliegue.</w:t>
      </w:r>
    </w:p>
    <w:p>
      <w:pPr>
        <w:pStyle w:val="ListParagraph"/>
        <w:numPr>
          <w:ilvl w:val="0"/>
          <w:numId w:val="6"/>
        </w:numPr>
      </w:pPr>
      <w:r>
        <w:t xml:space="preserve">☐ Una persona con BELP y BELC conserva su sesión BELP cuando se apaga BELC.</w:t>
      </w:r>
    </w:p>
    <w:p>
      <w:pPr>
        <w:pStyle w:val="ListParagraph"/>
        <w:numPr>
          <w:ilvl w:val="0"/>
          <w:numId w:val="6"/>
        </w:numPr>
      </w:pPr>
      <w:r>
        <w:t xml:space="preserve">☐ El procedimiento está escrito y lo ejecuta alguien que no lo diseñó.</w:t>
      </w:r>
    </w:p>
    <w:p>
      <w:pPr>
        <w:pStyle w:val="Heading2"/>
      </w:pPr>
      <w:r>
        <w:t xml:space="preserve">Pendientes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5671"/>
        <w:gridCol w:w="3688"/>
      </w:tblGrid>
      <w:tr>
        <w:trPr>
          <w:tblHeader/>
        </w:trPr>
        <w:tc>
          <w:tcPr>
            <w:tcW w:w="5671" w:type="dxa"/>
            <w:shd w:val="clear" w:color="auto" w:fill="F2F2F2"/>
          </w:tcPr>
          <w:p>
            <w:pPr/>
            <w:r>
              <w:t xml:space="preserve">Pendiente</w:t>
            </w:r>
          </w:p>
        </w:tc>
        <w:tc>
          <w:tcPr>
            <w:tcW w:w="3688" w:type="dxa"/>
            <w:shd w:val="clear" w:color="auto" w:fill="F2F2F2"/>
          </w:tcPr>
          <w:p>
            <w:pPr/>
            <w:r>
              <w:t xml:space="preserve">Responsable</w:t>
            </w:r>
          </w:p>
        </w:tc>
      </w:tr>
      <w:tr>
        <w:tc>
          <w:tcPr>
            <w:tcW w:w="5671" w:type="dxa"/>
          </w:tcPr>
          <w:p>
            <w:pPr/>
            <w:r>
              <w:t xml:space="preserve">Entregar los niveles de servicio vigentes de BELP (tiempos de respuesta y tasa de errores)</w:t>
            </w:r>
          </w:p>
        </w:tc>
        <w:tc>
          <w:tcPr>
            <w:tcW w:w="3688" w:type="dxa"/>
          </w:tcPr>
          <w:p>
            <w:pPr/>
            <w:r>
              <w:t xml:space="preserve">Equipo BELP</w:t>
            </w:r>
          </w:p>
        </w:tc>
      </w:tr>
      <w:tr>
        <w:tc>
          <w:tcPr>
            <w:tcW w:w="5671" w:type="dxa"/>
          </w:tcPr>
          <w:p>
            <w:pPr/>
            <w:r>
              <w:t xml:space="preserve">Fijar </w:t>
            </w:r>
            <w:r>
              <w:rPr>
                <w:rStyle w:val="CodeChar"/>
              </w:rPr>
              <w:t xml:space="preserve">MAX_USER_CONNECTIONS</w:t>
            </w:r>
            <w:r>
              <w:t xml:space="preserve"> de BELC con datos de la prueba de carga</w:t>
            </w:r>
          </w:p>
        </w:tc>
        <w:tc>
          <w:tcPr>
            <w:tcW w:w="3688" w:type="dxa"/>
          </w:tcPr>
          <w:p>
            <w:pPr/>
            <w:r>
              <w:t xml:space="preserve">DBA + SRE</w:t>
            </w:r>
          </w:p>
        </w:tc>
      </w:tr>
      <w:tr>
        <w:tc>
          <w:tcPr>
            <w:tcW w:w="5671" w:type="dxa"/>
          </w:tcPr>
          <w:p>
            <w:pPr/>
            <w:r>
              <w:t xml:space="preserve">Crear la réplica de lectura y el endpoint de lectura para BELC</w:t>
            </w:r>
          </w:p>
        </w:tc>
        <w:tc>
          <w:tcPr>
            <w:tcW w:w="3688" w:type="dxa"/>
          </w:tcPr>
          <w:p>
            <w:pPr/>
            <w:r>
              <w:t xml:space="preserve">SRE / DevSecOps</w:t>
            </w:r>
          </w:p>
        </w:tc>
      </w:tr>
      <w:tr>
        <w:tc>
          <w:tcPr>
            <w:tcW w:w="5671" w:type="dxa"/>
          </w:tcPr>
          <w:p>
            <w:pPr/>
            <w:r>
              <w:t xml:space="preserve">Activar Performance Insights con vista por usuario</w:t>
            </w:r>
          </w:p>
        </w:tc>
        <w:tc>
          <w:tcPr>
            <w:tcW w:w="3688" w:type="dxa"/>
          </w:tcPr>
          <w:p>
            <w:pPr/>
            <w:r>
              <w:t xml:space="preserve">DBA</w:t>
            </w:r>
          </w:p>
        </w:tc>
      </w:tr>
      <w:tr>
        <w:tc>
          <w:tcPr>
            <w:tcW w:w="5671" w:type="dxa"/>
          </w:tcPr>
          <w:p>
            <w:pPr/>
            <w:r>
              <w:t xml:space="preserve">Particionar </w:t>
            </w:r>
            <w:r>
              <w:rPr>
                <w:rStyle w:val="CodeChar"/>
              </w:rPr>
              <w:t xml:space="preserve">BITACORA_EVENTO</w:t>
            </w:r>
            <w:r>
              <w:t xml:space="preserve"> por mes y programar la creación de particiones</w:t>
            </w:r>
          </w:p>
        </w:tc>
        <w:tc>
          <w:tcPr>
            <w:tcW w:w="3688" w:type="dxa"/>
          </w:tcPr>
          <w:p>
            <w:pPr/>
            <w:r>
              <w:t xml:space="preserve">DBA</w:t>
            </w:r>
          </w:p>
        </w:tc>
      </w:tr>
      <w:tr>
        <w:tc>
          <w:tcPr>
            <w:tcW w:w="5671" w:type="dxa"/>
          </w:tcPr>
          <w:p>
            <w:pPr/>
            <w:r>
              <w:t xml:space="preserve">Rutas y políticas BELC separadas en el API Gateway y el WAF, con bloqueo independiente</w:t>
            </w:r>
          </w:p>
        </w:tc>
        <w:tc>
          <w:tcPr>
            <w:tcW w:w="3688" w:type="dxa"/>
          </w:tcPr>
          <w:p>
            <w:pPr/>
            <w:r>
              <w:t xml:space="preserve">SRE / DevSecOps</w:t>
            </w:r>
          </w:p>
        </w:tc>
      </w:tr>
      <w:tr>
        <w:tc>
          <w:tcPr>
            <w:tcW w:w="5671" w:type="dxa"/>
          </w:tcPr>
          <w:p>
            <w:pPr/>
            <w:r>
              <w:t xml:space="preserve">Definir la cola asíncrona para la escritura de BELP en la bitácora (va en la HT-01 del ADR-001)</w:t>
            </w:r>
          </w:p>
        </w:tc>
        <w:tc>
          <w:tcPr>
            <w:tcW w:w="3688" w:type="dxa"/>
          </w:tcPr>
          <w:p>
            <w:pPr/>
            <w:r>
              <w:t xml:space="preserve">Equipo BELP + Arquitectura</w:t>
            </w:r>
          </w:p>
        </w:tc>
      </w:tr>
      <w:tr>
        <w:tc>
          <w:tcPr>
            <w:tcW w:w="5671" w:type="dxa"/>
          </w:tcPr>
          <w:p>
            <w:pPr/>
            <w:r>
              <w:t xml:space="preserve">Escribir el procedimiento de apagado de BELC</w:t>
            </w:r>
          </w:p>
        </w:tc>
        <w:tc>
          <w:tcPr>
            <w:tcW w:w="3688" w:type="dxa"/>
          </w:tcPr>
          <w:p>
            <w:pPr/>
            <w:r>
              <w:t xml:space="preserve">Arquitectura + SRE</w:t>
            </w:r>
          </w:p>
        </w:tc>
      </w:tr>
      <w:tr>
        <w:tc>
          <w:tcPr>
            <w:tcW w:w="5671" w:type="dxa"/>
          </w:tcPr>
          <w:p>
            <w:pPr/>
            <w:r>
              <w:t xml:space="preserve">Ejecutar las tres evidencias de salida y registrar su resultado</w:t>
            </w:r>
          </w:p>
        </w:tc>
        <w:tc>
          <w:tcPr>
            <w:tcW w:w="3688" w:type="dxa"/>
          </w:tcPr>
          <w:p>
            <w:pPr/>
            <w:r>
              <w:t xml:space="preserve">QA de cada célula + SRE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ADR-002 · Protección de BELP en producción al incorporar BELC</dc:title>
  <dc:description>Claude Docs node/aad22385-03fd@7 docx-w7</dc:description>
  <cp:revision>7</cp:revision>
</cp:coreProperties>
</file>