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8" w:lineRule="auto"/>
      </w:pPr>
      <w:r>
        <w:rPr>
          <w:rFonts w:ascii="Montserrat" w:hAnsi="Montserrat" w:eastAsia="Montserrat"/>
          <w:b/>
          <w:color w:val="2B2B2B"/>
          <w:sz w:val="52"/>
        </w:rPr>
        <w:t>MI SISTEMA DE DISEÑO</w:t>
      </w:r>
    </w:p>
    <w:p>
      <w:pPr>
        <w:spacing w:before="0" w:after="220" w:line="278" w:lineRule="auto"/>
      </w:pPr>
      <w:r>
        <w:rPr>
          <w:rFonts w:ascii="Montserrat" w:hAnsi="Montserrat" w:eastAsia="Montserrat"/>
          <w:b/>
          <w:color w:val="E0846E"/>
          <w:sz w:val="22"/>
        </w:rPr>
        <w:t>Marca personal · portafolio de diseño — paleta actualizada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</w:tblGrid>
      <w:tr>
        <w:tc>
          <w:tcPr>
            <w:tcW w:type="dxa" w:w="1584"/>
            <w:shd w:fill="E0846E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584"/>
            <w:shd w:fill="DD7182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584"/>
            <w:shd w:fill="F4D17F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584"/>
            <w:shd w:fill="CBABCE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584"/>
            <w:shd w:fill="EAE7F3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 w:after="180" w:line="278" w:lineRule="auto"/>
      </w:pPr>
      <w:r>
        <w:rPr>
          <w:rFonts w:ascii="Montserrat" w:hAnsi="Montserrat" w:eastAsia="Montserrat"/>
          <w:color w:val="2B2B2B"/>
          <w:sz w:val="19"/>
        </w:rPr>
        <w:t>Este documento toma la estructura de referencia del sistema de diseño compartido y la adapta a una marca personal enfocada en mostrar proyectos de diseño. Los valores están pensados como punto de partida para pruebas web y pueden ajustarse después de probarlos en prototipo.</w:t>
      </w:r>
    </w:p>
    <w:p>
      <w:pPr>
        <w:keepNext/>
        <w:spacing w:before="40" w:after="100" w:line="278" w:lineRule="auto"/>
        <w:pBdr>
          <w:bottom w:val="single" w:sz="10" w:space="4" w:color="D8702E"/>
        </w:pBdr>
      </w:pPr>
      <w:r>
        <w:rPr>
          <w:rFonts w:ascii="Montserrat" w:hAnsi="Montserrat" w:eastAsia="Montserrat"/>
          <w:b/>
          <w:color w:val="2B2B2B"/>
          <w:sz w:val="31"/>
        </w:rPr>
        <w:t>1 · Personalidad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20"/>
        </w:rPr>
        <w:t>Mi marca personal encarna una estética contemporánea, cálida y expresiva, que equilibra claridad, curiosidad y sensibilidad visual. Busca que cada proyecto se sienta cuidado sin volverse rígido: una identidad que puede moverse entre branding, editorial, contenido digital y UX sin perder coherencia.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20"/>
        </w:rPr>
        <w:t>La comunicación se apoya en composiciones limpias, espacios amplios y una paleta suave con contrastes cálidos. La intención es que el portafolio se sienta profesional pero cercano, con momentos de energía a través del coral y el rosa frambuesa, equilibrados por amarillo miel, lavanda y lila claro. En una frase: diseño con intención, color y curiosidad, sin saturar la experiencia.</w:t>
      </w:r>
    </w:p>
    <w:p>
      <w:pPr>
        <w:keepNext/>
        <w:spacing w:before="40" w:after="100" w:line="278" w:lineRule="auto"/>
        <w:pBdr>
          <w:bottom w:val="single" w:sz="10" w:space="4" w:color="D8702E"/>
        </w:pBdr>
      </w:pPr>
      <w:r>
        <w:rPr>
          <w:rFonts w:ascii="Montserrat" w:hAnsi="Montserrat" w:eastAsia="Montserrat"/>
          <w:b/>
          <w:color w:val="2B2B2B"/>
          <w:sz w:val="31"/>
        </w:rPr>
        <w:t>2 · Colores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20"/>
        </w:rPr>
        <w:t>La paleta parte de cinco tonos principales. Para web, el blanco se mantiene como fondo dominante y los colores más claros se reservan para zonas de apoyo, evitando que toda la interfaz se vuelva demasiado pastel. Los valores web aproximados, tomados de la paleta adjunta, son: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605"/>
            <w:shd w:fill="E0846E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2088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Coral cálido</w:t>
            </w:r>
          </w:p>
        </w:tc>
        <w:tc>
          <w:tcPr>
            <w:tcW w:type="dxa" w:w="1440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#E0846E</w:t>
            </w:r>
          </w:p>
        </w:tc>
        <w:tc>
          <w:tcPr>
            <w:tcW w:type="dxa" w:w="6120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CTA, acentos, títulos y recursos gráficos.</w:t>
            </w:r>
          </w:p>
        </w:tc>
      </w:tr>
      <w:tr>
        <w:tc>
          <w:tcPr>
            <w:tcW w:type="dxa" w:w="605"/>
            <w:shd w:fill="DD7182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2088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Rosa frambuesa</w:t>
            </w:r>
          </w:p>
        </w:tc>
        <w:tc>
          <w:tcPr>
            <w:tcW w:type="dxa" w:w="1440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#DD7182</w:t>
            </w:r>
          </w:p>
        </w:tc>
        <w:tc>
          <w:tcPr>
            <w:tcW w:type="dxa" w:w="6120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Hover, estados activos y detalles editoriales.</w:t>
            </w:r>
          </w:p>
        </w:tc>
      </w:tr>
      <w:tr>
        <w:tc>
          <w:tcPr>
            <w:tcW w:type="dxa" w:w="605"/>
            <w:shd w:fill="F4D17F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2088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Amarillo miel</w:t>
            </w:r>
          </w:p>
        </w:tc>
        <w:tc>
          <w:tcPr>
            <w:tcW w:type="dxa" w:w="1440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#F4D17F</w:t>
            </w:r>
          </w:p>
        </w:tc>
        <w:tc>
          <w:tcPr>
            <w:tcW w:type="dxa" w:w="6120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Destacados, etiquetas y fondos luminosos.</w:t>
            </w:r>
          </w:p>
        </w:tc>
      </w:tr>
      <w:tr>
        <w:tc>
          <w:tcPr>
            <w:tcW w:type="dxa" w:w="605"/>
            <w:shd w:fill="CBABCE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2088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Lavanda suave</w:t>
            </w:r>
          </w:p>
        </w:tc>
        <w:tc>
          <w:tcPr>
            <w:tcW w:type="dxa" w:w="1440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#CBABCE</w:t>
            </w:r>
          </w:p>
        </w:tc>
        <w:tc>
          <w:tcPr>
            <w:tcW w:type="dxa" w:w="6120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Tarjetas, campos y bloques secundarios.</w:t>
            </w:r>
          </w:p>
        </w:tc>
      </w:tr>
      <w:tr>
        <w:tc>
          <w:tcPr>
            <w:tcW w:type="dxa" w:w="605"/>
            <w:shd w:fill="EAE7F3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2088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Lila muy claro</w:t>
            </w:r>
          </w:p>
        </w:tc>
        <w:tc>
          <w:tcPr>
            <w:tcW w:type="dxa" w:w="1440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#EAE7F3</w:t>
            </w:r>
          </w:p>
        </w:tc>
        <w:tc>
          <w:tcPr>
            <w:tcW w:type="dxa" w:w="6120"/>
            <w:tcMar>
              <w:top w:w="60" w:type="dxa"/>
              <w:start w:w="90" w:type="dxa"/>
              <w:bottom w:w="60" w:type="dxa"/>
              <w:end w:w="90" w:type="dxa"/>
              <w:left w:w="80" w:type="dxa"/>
              <w:right w:w="80" w:type="dxa"/>
            </w:tcMar>
            <w:tcBorders>
              <w:bottom w:val="single" w:sz="4" w:color="E7DDE2"/>
            </w:tcBorders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Fondo alterno y zonas de descanso visual.</w:t>
            </w:r>
          </w:p>
        </w:tc>
      </w:tr>
    </w:tbl>
    <w:p>
      <w:pPr>
        <w:spacing w:before="100" w:after="20" w:line="278" w:lineRule="auto"/>
      </w:pPr>
      <w:r>
        <w:rPr>
          <w:rFonts w:ascii="Montserrat" w:hAnsi="Montserrat" w:eastAsia="Montserrat"/>
          <w:b/>
          <w:color w:val="2B2B2B"/>
          <w:sz w:val="18"/>
        </w:rPr>
        <w:t>Nota de legibilidad: para texto pequeño y párrafos, usar principalmente #2B2B2B sobre blanco o fondos claros. Coral y rosa frambuesa funcionan mejor como acentos; amarillo miel, lavanda y lila claro son ideales para fondos, etiquetas y bloques de apoyo.</w:t>
      </w:r>
      <w:r>
        <w:rPr>
          <w:rFonts w:ascii="Montserrat" w:hAnsi="Montserrat" w:eastAsia="Montserrat"/>
          <w:color w:val="2B2B2B"/>
          <w:sz w:val="18"/>
        </w:rPr>
      </w:r>
    </w:p>
    <w:p>
      <w:r>
        <w:br w:type="page"/>
      </w:r>
    </w:p>
    <w:p>
      <w:pPr>
        <w:keepNext/>
        <w:spacing w:before="40" w:after="100" w:line="278" w:lineRule="auto"/>
        <w:pBdr>
          <w:bottom w:val="single" w:sz="10" w:space="4" w:color="D8702E"/>
        </w:pBdr>
      </w:pPr>
      <w:r>
        <w:rPr>
          <w:rFonts w:ascii="Montserrat" w:hAnsi="Montserrat" w:eastAsia="Montserrat"/>
          <w:b/>
          <w:color w:val="2B2B2B"/>
          <w:sz w:val="31"/>
        </w:rPr>
        <w:t>3 · Tipografía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20"/>
        </w:rPr>
        <w:t>Uso Montserrat como familia principal en toda la experiencia. La personalidad se construye variando peso, tamaño, espacio y color, sin introducir una segunda familia. Esto mantiene el portafolio consistente y permite que las imágenes de los proyectos sean las protagonistas.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20"/>
        </w:rPr>
        <w:t>Escala propuesta para escritorio (valores de prueba):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CBABCE"/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Rol</w:t>
            </w:r>
          </w:p>
        </w:tc>
        <w:tc>
          <w:tcPr>
            <w:tcW w:type="dxa" w:w="2033"/>
            <w:shd w:fill="CBABCE"/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Tamaño</w:t>
            </w:r>
          </w:p>
        </w:tc>
        <w:tc>
          <w:tcPr>
            <w:tcW w:type="dxa" w:w="2033"/>
            <w:shd w:fill="CBABCE"/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Interlineado</w:t>
            </w:r>
          </w:p>
        </w:tc>
        <w:tc>
          <w:tcPr>
            <w:tcW w:type="dxa" w:w="2033"/>
            <w:shd w:fill="CBABCE"/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Peso</w:t>
            </w:r>
          </w:p>
        </w:tc>
        <w:tc>
          <w:tcPr>
            <w:tcW w:type="dxa" w:w="2033"/>
            <w:shd w:fill="CBABCE"/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Uso</w:t>
            </w:r>
          </w:p>
        </w:tc>
      </w:tr>
      <w:tr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Display / portada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64px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72px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700–800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Titulares muy breves, nombre o frase de apertura.</w:t>
            </w:r>
          </w:p>
        </w:tc>
      </w:tr>
      <w:tr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H1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48px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56px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700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Título principal de cada página o proyecto.</w:t>
            </w:r>
          </w:p>
        </w:tc>
      </w:tr>
      <w:tr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H2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36px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44px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700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Secciones principales.</w:t>
            </w:r>
          </w:p>
        </w:tc>
      </w:tr>
      <w:tr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H3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28px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36px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600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Subsecciones y bloques internos.</w:t>
            </w:r>
          </w:p>
        </w:tc>
      </w:tr>
      <w:tr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H4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22px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30px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600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Tarjetas y pequeños encabezados.</w:t>
            </w:r>
          </w:p>
        </w:tc>
      </w:tr>
      <w:tr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Cuerpo destacado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20px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32px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400–500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Introducciones y textos de presentación.</w:t>
            </w:r>
          </w:p>
        </w:tc>
      </w:tr>
      <w:tr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Cuerpo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18px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28px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400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Casos de estudio y descripciones.</w:t>
            </w:r>
          </w:p>
        </w:tc>
      </w:tr>
      <w:tr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Navegación / botón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16px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22px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500–600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Menú, CTA, filtros y enlaces.</w:t>
            </w:r>
          </w:p>
        </w:tc>
      </w:tr>
      <w:tr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Texto pequeño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14px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21px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400–500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Metadatos, fechas, categorías y notas.</w:t>
            </w:r>
          </w:p>
        </w:tc>
      </w:tr>
      <w:tr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/>
                <w:color w:val="2B2B2B"/>
                <w:sz w:val="16"/>
              </w:rPr>
              <w:t>Etiqueta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12px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18px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600</w:t>
            </w:r>
          </w:p>
        </w:tc>
        <w:tc>
          <w:tcPr>
            <w:tcW w:type="dxa" w:w="2033"/>
            <w:tcMar>
              <w:top w:w="55" w:type="dxa"/>
              <w:start w:w="75" w:type="dxa"/>
              <w:bottom w:w="55" w:type="dxa"/>
              <w:end w:w="75" w:type="dxa"/>
            </w:tcMar>
            <w:tcBorders>
              <w:bottom w:val="single" w:sz="4" w:color="E7DDE2"/>
            </w:tcBorders>
          </w:tcPr>
          <w:p>
            <w:r>
              <w:rPr>
                <w:rFonts w:ascii="Montserrat" w:hAnsi="Montserrat" w:eastAsia="Montserrat"/>
                <w:b w:val="0"/>
                <w:color w:val="2B2B2B"/>
                <w:sz w:val="16"/>
              </w:rPr>
              <w:t>Chips o microetiquetas; usar con moderación.</w:t>
            </w:r>
          </w:p>
        </w:tc>
      </w:tr>
    </w:tbl>
    <w:p>
      <w:pPr>
        <w:spacing w:before="0" w:after="160" w:line="278" w:lineRule="auto"/>
      </w:pPr>
      <w:r>
        <w:rPr>
          <w:rFonts w:ascii="Montserrat" w:hAnsi="Montserrat" w:eastAsia="Montserrat"/>
          <w:color w:val="2B2B2B"/>
          <w:sz w:val="19"/>
        </w:rPr>
        <w:t>En móvil, el display baja a 40–44px, H1 a 34–36px, H2 a 28–30px y el cuerpo a 16–17px. El cuerpo no debe bajar de 16px. Para párrafos largos conviene mantener Montserrat en peso 400 y aumentar el interlineado para evitar que la textura se sienta pesada.</w:t>
      </w:r>
    </w:p>
    <w:p>
      <w:pPr>
        <w:keepNext/>
        <w:spacing w:before="40" w:after="100" w:line="278" w:lineRule="auto"/>
        <w:pBdr>
          <w:bottom w:val="single" w:sz="10" w:space="4" w:color="D8702E"/>
        </w:pBdr>
      </w:pPr>
      <w:r>
        <w:rPr>
          <w:rFonts w:ascii="Montserrat" w:hAnsi="Montserrat" w:eastAsia="Montserrat"/>
          <w:b/>
          <w:color w:val="2B2B2B"/>
          <w:sz w:val="31"/>
        </w:rPr>
        <w:t>4 · Layout y espaciado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20"/>
        </w:rPr>
        <w:t>El sistema de espaciado se basa en una unidad de 8px, con pasos de 4, 8, 12, 16, 24, 32, 40, 48, 64, 80, 96 y 128px. La página debe sentirse aireada y permitir que cada proyecto tenga suficiente espacio para respirar.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Ancho máximo de contenido: 1280–1360px centrado; imágenes hero pueden extenderse hasta el ancho completo.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Escritorio: rejilla de 12 columnas; márgenes laterales de 64–96px.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Tableta: rejilla de 8 columnas; márgenes de 32–48px.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Móvil: 1 columna; márgenes de 20–24px.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Separación entre secciones grandes: 80–120px en escritorio y 56–72px en móvil.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Separación interna de tarjetas: 24–32px; botones: 12–16px vertical y 20–28px horizontal.</w:t>
      </w:r>
    </w:p>
    <w:p>
      <w:pPr>
        <w:keepNext/>
        <w:spacing w:before="40" w:after="100" w:line="278" w:lineRule="auto"/>
        <w:pBdr>
          <w:bottom w:val="single" w:sz="10" w:space="4" w:color="D8702E"/>
        </w:pBdr>
      </w:pPr>
      <w:r>
        <w:rPr>
          <w:rFonts w:ascii="Montserrat" w:hAnsi="Montserrat" w:eastAsia="Montserrat"/>
          <w:b/>
          <w:color w:val="2B2B2B"/>
          <w:sz w:val="31"/>
        </w:rPr>
        <w:t>5 · Profundidad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20"/>
        </w:rPr>
        <w:t>La interfaz se mantiene principalmente plana para que el color, la tipografía y las imágenes sean quienes creen jerarquía. Las sombras aparecen solo en interacción o cuando un elemento necesita despegarse del fondo.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Nivel base: sin sombra para navegación, campos y tarjetas en reposo.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Hover de tarjeta: 0 8px 24px rgba(43, 43, 43, 0.08).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Elemento flotante o modal: 0 16px 40px rgba(43, 43, 43, 0.14).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Overlay: #2B2B2B con 45–55% de opacidad, para mantener contraste sin endurecer demasiado la paleta.</w:t>
      </w:r>
    </w:p>
    <w:p>
      <w:pPr>
        <w:keepNext/>
        <w:spacing w:before="40" w:after="100" w:line="278" w:lineRule="auto"/>
        <w:pBdr>
          <w:bottom w:val="single" w:sz="10" w:space="4" w:color="D8702E"/>
        </w:pBdr>
      </w:pPr>
      <w:r>
        <w:rPr>
          <w:rFonts w:ascii="Montserrat" w:hAnsi="Montserrat" w:eastAsia="Montserrat"/>
          <w:b/>
          <w:color w:val="2B2B2B"/>
          <w:sz w:val="31"/>
        </w:rPr>
        <w:t>6 · Formas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20"/>
        </w:rPr>
        <w:t>Las formas son suaves y contemporáneas. Se permite un radio medio en tarjetas y botones, y el círculo funciona como motivo recurrente por la propia construcción visual de la paleta. El objetivo es sentirse amable sin caer en una estética infantil.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Tarjetas y contenedores: 16px de radio.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Imágenes destacadas: 16–24px de radio, dependiendo de la composición.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Botones: 999px para estilo píldora o 14–16px para botones rectangulares.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Chips y filtros: 999px.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Avatares, indicadores y pequeños recursos gráficos: círculo perfecto (50%).</w:t>
      </w:r>
    </w:p>
    <w:p>
      <w:pPr>
        <w:keepNext/>
        <w:spacing w:before="40" w:after="100" w:line="278" w:lineRule="auto"/>
        <w:pBdr>
          <w:bottom w:val="single" w:sz="10" w:space="4" w:color="D8702E"/>
        </w:pBdr>
      </w:pPr>
      <w:r>
        <w:rPr>
          <w:rFonts w:ascii="Montserrat" w:hAnsi="Montserrat" w:eastAsia="Montserrat"/>
          <w:b/>
          <w:color w:val="2B2B2B"/>
          <w:sz w:val="31"/>
        </w:rPr>
        <w:t>7 · Componentes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20"/>
        </w:rPr>
        <w:t>Los componentes deben ser simples y reconocibles. La personalidad está en el color, el movimiento suave y la composición, no en añadir decoración innecesaria.</w:t>
      </w:r>
    </w:p>
    <w:p>
      <w:pPr>
        <w:keepNext/>
        <w:spacing w:before="40" w:after="40" w:line="278" w:lineRule="auto"/>
      </w:pPr>
      <w:r>
        <w:rPr>
          <w:rFonts w:ascii="Montserrat" w:hAnsi="Montserrat" w:eastAsia="Montserrat"/>
          <w:b/>
          <w:color w:val="E0846E"/>
          <w:sz w:val="22"/>
        </w:rPr>
        <w:t>Botones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19"/>
        </w:rPr>
        <w:t>El botón principal usa fondo coral cálido (#E0846E), texto #2B2B2B en Montserrat 600 a 16px y forma píldora. En hover puede cambiar a rosa frambuesa (#DD7182) y desplazarse 1–2px hacia arriba. El estado activo vuelve al coral base y reduce levemente la escala. Para texto pequeño se prefiere el tono oscuro porque ofrece mejor contraste que el blanco sobre estos colores.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19"/>
        </w:rPr>
        <w:t>El botón secundario usa fondo transparente, borde de 1.5px #2B2B2B y texto #2B2B2B. En hover puede rellenarse con lila claro (#EAE7F3) o lavanda suave (#CBABCE). El botón de acento puede usar amarillo miel (#F4D17F) con texto oscuro para acciones de menor jerarquía.</w:t>
      </w:r>
    </w:p>
    <w:p>
      <w:pPr>
        <w:keepNext/>
        <w:spacing w:before="40" w:after="40" w:line="278" w:lineRule="auto"/>
      </w:pPr>
      <w:r>
        <w:rPr>
          <w:rFonts w:ascii="Montserrat" w:hAnsi="Montserrat" w:eastAsia="Montserrat"/>
          <w:b/>
          <w:color w:val="E0846E"/>
          <w:sz w:val="22"/>
        </w:rPr>
        <w:t>Tarjetas de proyecto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19"/>
        </w:rPr>
        <w:t>Las tarjetas priorizan una imagen grande, seguida por categoría, título y una descripción breve. Fondo blanco o lila claro, radio de 16px y sin borde visible en reposo. En hover, la imagen puede escalar entre 1.02 y 1.04 y la tarjeta ganar una sombra muy suave. Para bloques editoriales se pueden alternar fondos lavanda o amarillo miel con texto #2B2B2B.</w:t>
      </w:r>
    </w:p>
    <w:p>
      <w:pPr>
        <w:keepNext/>
        <w:spacing w:before="40" w:after="40" w:line="278" w:lineRule="auto"/>
      </w:pPr>
      <w:r>
        <w:rPr>
          <w:rFonts w:ascii="Montserrat" w:hAnsi="Montserrat" w:eastAsia="Montserrat"/>
          <w:b/>
          <w:color w:val="E0846E"/>
          <w:sz w:val="22"/>
        </w:rPr>
        <w:t>Navegación y enlaces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19"/>
        </w:rPr>
        <w:t>La navegación usa Montserrat 500 a 16px, en #2B2B2B. El estado activo puede marcarse con un punto, subrayado corto o cambio a coral. Los enlaces dentro del texto se mantienen oscuros y se subrayan en hover con rosa frambuesa para evitar depender únicamente del color.</w:t>
      </w:r>
    </w:p>
    <w:p>
      <w:pPr>
        <w:keepNext/>
        <w:spacing w:before="0" w:after="40" w:line="278" w:lineRule="auto"/>
      </w:pPr>
      <w:r>
        <w:rPr>
          <w:rFonts w:ascii="Montserrat" w:hAnsi="Montserrat" w:eastAsia="Montserrat"/>
          <w:b/>
          <w:color w:val="E0846E"/>
          <w:sz w:val="22"/>
        </w:rPr>
        <w:t>Campos y formularios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19"/>
        </w:rPr>
        <w:t>Los campos usan fondo blanco, borde de 1.5px #CBABCE, texto #2B2B2B en 16px y radio de 14px. Al enfocarse, el borde pasa a coral y aparece un halo muy suave en lila claro. Las etiquetas se colocan arriba del campo en Montserrat 600 a 14px. Los placeholders usan #5F5F5F para conservar legibilidad.</w:t>
      </w:r>
    </w:p>
    <w:p>
      <w:pPr>
        <w:keepNext/>
        <w:spacing w:before="40" w:after="40" w:line="278" w:lineRule="auto"/>
      </w:pPr>
      <w:r>
        <w:rPr>
          <w:rFonts w:ascii="Montserrat" w:hAnsi="Montserrat" w:eastAsia="Montserrat"/>
          <w:b/>
          <w:color w:val="E0846E"/>
          <w:sz w:val="22"/>
        </w:rPr>
        <w:t>Etiquetas y filtros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19"/>
        </w:rPr>
        <w:t>Los chips pueden usar fondo lila claro o lavanda con texto #2B2B2B, a 12–14px y peso 600. Para filtros activos se puede usar coral o rosa frambuesa con texto oscuro. El espaciado recomendado es 8px vertical por 14px horizontal.</w:t>
      </w:r>
    </w:p>
    <w:p>
      <w:pPr>
        <w:keepNext/>
        <w:spacing w:before="40" w:after="40" w:line="278" w:lineRule="auto"/>
      </w:pPr>
      <w:r>
        <w:rPr>
          <w:rFonts w:ascii="Montserrat" w:hAnsi="Montserrat" w:eastAsia="Montserrat"/>
          <w:b/>
          <w:color w:val="E0846E"/>
          <w:sz w:val="22"/>
        </w:rPr>
        <w:t>Sección hero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19"/>
        </w:rPr>
        <w:t>La portada debe presentar el nombre, una frase breve y una selección visual clara de proyectos. Puede usar fondo blanco y un gran recurso circular de color, o una composición fotográfica limpia. En escritorio: 96–128px de padding vertical; en móvil: 64–80px. El display se mantiene en 64px en escritorio y 40–44px en móvil.</w:t>
      </w:r>
    </w:p>
    <w:p>
      <w:pPr>
        <w:keepNext/>
        <w:spacing w:before="40" w:after="40" w:line="278" w:lineRule="auto"/>
      </w:pPr>
      <w:r>
        <w:rPr>
          <w:rFonts w:ascii="Montserrat" w:hAnsi="Montserrat" w:eastAsia="Montserrat"/>
          <w:b/>
          <w:color w:val="E0846E"/>
          <w:sz w:val="22"/>
        </w:rPr>
        <w:t>Tarjetas de educación y experiencia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19"/>
        </w:rPr>
        <w:t>Para diferenciar información curricular de los proyectos, estas tarjetas pueden usar fondos de color sólido. Coral o rosa frambuesa con texto #2B2B2B para bloques principales; amarillo miel, lavanda o lila claro para bloques secundarios. Evitar párrafos largos con poco contraste: los tonos más saturados funcionan mejor en títulos, cifras y detalles gráficos.</w:t>
      </w:r>
    </w:p>
    <w:p>
      <w:pPr>
        <w:keepNext/>
        <w:spacing w:before="40" w:after="40" w:line="278" w:lineRule="auto"/>
      </w:pPr>
      <w:r>
        <w:rPr>
          <w:rFonts w:ascii="Montserrat" w:hAnsi="Montserrat" w:eastAsia="Montserrat"/>
          <w:b/>
          <w:color w:val="E0846E"/>
          <w:sz w:val="22"/>
        </w:rPr>
        <w:t>Íconos y recursos gráficos</w:t>
      </w:r>
    </w:p>
    <w:p>
      <w:pPr>
        <w:spacing w:before="0" w:after="160" w:line="278" w:lineRule="auto"/>
      </w:pPr>
      <w:r>
        <w:rPr>
          <w:rFonts w:ascii="Montserrat" w:hAnsi="Montserrat" w:eastAsia="Montserrat"/>
          <w:color w:val="2B2B2B"/>
          <w:sz w:val="19"/>
        </w:rPr>
        <w:t>Los íconos deben ser simples, de trazo consistente y preferentemente en #2B2B2B. Coral y rosa frambuesa pueden aparecer en estados interactivos. Los círculos, puntos y formas orgánicas pueden usar amarillo miel, lavanda o lila como recursos de apoyo, siempre que no compitan con las imágenes de los proyectos.</w:t>
      </w:r>
    </w:p>
    <w:p>
      <w:pPr>
        <w:keepNext/>
        <w:spacing w:before="40" w:after="100" w:line="278" w:lineRule="auto"/>
        <w:pageBreakBefore/>
        <w:pBdr>
          <w:bottom w:val="single" w:sz="10" w:space="4" w:color="D8702E"/>
        </w:pBdr>
      </w:pPr>
      <w:r>
        <w:rPr>
          <w:rFonts w:ascii="Montserrat" w:hAnsi="Montserrat" w:eastAsia="Montserrat"/>
          <w:b/>
          <w:color w:val="2B2B2B"/>
          <w:sz w:val="31"/>
        </w:rPr>
        <w:t>8 · Reglas (sí y no)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E0846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/>
            </w:pPr>
            <w:r>
              <w:rPr>
                <w:rFonts w:ascii="Montserrat" w:hAnsi="Montserrat" w:eastAsia="Montserrat"/>
                <w:b/>
                <w:color w:val="2B2B2B"/>
                <w:sz w:val="18"/>
              </w:rPr>
              <w:t>Sí</w:t>
            </w:r>
          </w:p>
        </w:tc>
        <w:tc>
          <w:tcPr>
            <w:tcW w:type="dxa" w:w="5083"/>
            <w:shd w:fill="DD718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/>
            </w:pPr>
            <w:r>
              <w:rPr>
                <w:rFonts w:ascii="Montserrat" w:hAnsi="Montserrat" w:eastAsia="Montserrat"/>
                <w:b/>
                <w:color w:val="2B2B2B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bottom w:val="single" w:sz="4" w:color="E7DDE2"/>
            </w:tcBorders>
          </w:tcPr>
          <w:p>
            <w:pPr>
              <w:spacing w:before="0" w:after="60"/>
            </w:pPr>
            <w:r>
              <w:rPr>
                <w:sz w:val="18"/>
              </w:rPr>
              <w:t>• Usa #2B2B2B como color principal de texto y contraste.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bottom w:val="single" w:sz="4" w:color="E7DDE2"/>
            </w:tcBorders>
          </w:tcPr>
          <w:p>
            <w:pPr>
              <w:spacing w:before="0" w:after="60"/>
            </w:pPr>
            <w:r>
              <w:rPr>
                <w:sz w:val="18"/>
              </w:rPr>
              <w:t>• No uses coral o rosa frambuesa con texto blanco pequeño; el contraste es insuficiente.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bottom w:val="single" w:sz="4" w:color="E7DDE2"/>
            </w:tcBorders>
          </w:tcPr>
          <w:p>
            <w:pPr>
              <w:spacing w:before="0" w:after="60"/>
            </w:pPr>
            <w:r>
              <w:rPr>
                <w:sz w:val="18"/>
              </w:rPr>
              <w:t>• Mantén el blanco como fondo dominante y usa lila/lavanda por bloques.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bottom w:val="single" w:sz="4" w:color="E7DDE2"/>
            </w:tcBorders>
          </w:tcPr>
          <w:p>
            <w:pPr>
              <w:spacing w:before="0" w:after="60"/>
            </w:pPr>
            <w:r>
              <w:rPr>
                <w:sz w:val="18"/>
              </w:rPr>
              <w:t>• No conviertas todos los fondos en lavanda o lila; deja respirar la interfaz.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bottom w:val="single" w:sz="4" w:color="E7DDE2"/>
            </w:tcBorders>
          </w:tcPr>
          <w:p>
            <w:pPr>
              <w:spacing w:before="0" w:after="60"/>
            </w:pPr>
            <w:r>
              <w:rPr>
                <w:sz w:val="18"/>
              </w:rPr>
              <w:t>• Usa coral y rosa frambuesa para interacción y acentos importantes.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bottom w:val="single" w:sz="4" w:color="E7DDE2"/>
            </w:tcBorders>
          </w:tcPr>
          <w:p>
            <w:pPr>
              <w:spacing w:before="0" w:after="60"/>
            </w:pPr>
            <w:r>
              <w:rPr>
                <w:sz w:val="18"/>
              </w:rPr>
              <w:t>• No uses más de tres colores de la paleta simultáneamente en un mismo bloque.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bottom w:val="single" w:sz="4" w:color="E7DDE2"/>
            </w:tcBorders>
          </w:tcPr>
          <w:p>
            <w:pPr>
              <w:spacing w:before="0" w:after="60"/>
            </w:pPr>
            <w:r>
              <w:rPr>
                <w:sz w:val="18"/>
              </w:rPr>
              <w:t>• Mantén al menos 16px en texto de lectura.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bottom w:val="single" w:sz="4" w:color="E7DDE2"/>
            </w:tcBorders>
          </w:tcPr>
          <w:p>
            <w:pPr>
              <w:spacing w:before="0" w:after="60"/>
            </w:pPr>
            <w:r>
              <w:rPr>
                <w:sz w:val="18"/>
              </w:rPr>
              <w:t>• No reduzcas el cuerpo por debajo de 16px.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bottom w:val="single" w:sz="4" w:color="E7DDE2"/>
            </w:tcBorders>
          </w:tcPr>
          <w:p>
            <w:pPr>
              <w:spacing w:before="0" w:after="60"/>
            </w:pPr>
            <w:r>
              <w:rPr>
                <w:sz w:val="18"/>
              </w:rPr>
              <w:t>• Deja 80–120px entre secciones importantes en escritorio.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bottom w:val="single" w:sz="4" w:color="E7DDE2"/>
            </w:tcBorders>
          </w:tcPr>
          <w:p>
            <w:pPr>
              <w:spacing w:before="0" w:after="60"/>
            </w:pPr>
            <w:r>
              <w:rPr>
                <w:sz w:val="18"/>
              </w:rPr>
              <w:t>• No uses sombras pesadas ni bordes oscuros en todas las tarjetas.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bottom w:val="single" w:sz="4" w:color="E7DDE2"/>
            </w:tcBorders>
          </w:tcPr>
          <w:p>
            <w:pPr>
              <w:spacing w:before="0" w:after="60"/>
            </w:pPr>
            <w:r>
              <w:rPr>
                <w:sz w:val="18"/>
              </w:rPr>
              <w:t>• Usa amarillo miel, lavanda y lila para crear jerarquía suave.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bottom w:val="single" w:sz="4" w:color="E7DDE2"/>
            </w:tcBorders>
          </w:tcPr>
          <w:p>
            <w:pPr>
              <w:spacing w:before="0" w:after="60"/>
            </w:pPr>
            <w:r>
              <w:rPr>
                <w:sz w:val="18"/>
              </w:rPr>
              <w:t>• No uses animaciones bruscas o rebotes excesivos.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bottom w:val="single" w:sz="4" w:color="E7DDE2"/>
            </w:tcBorders>
          </w:tcPr>
          <w:p>
            <w:pPr>
              <w:spacing w:before="0" w:after="60"/>
            </w:pPr>
            <w:r>
              <w:rPr>
                <w:sz w:val="18"/>
              </w:rPr>
              <w:t>• Deja que la fotografía y los proyectos sean protagonistas.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bottom w:val="single" w:sz="4" w:color="E7DDE2"/>
            </w:tcBorders>
          </w:tcPr>
          <w:p>
            <w:pPr>
              <w:spacing w:before="0" w:after="60"/>
            </w:pPr>
            <w:r>
              <w:rPr>
                <w:sz w:val="18"/>
              </w:rPr>
              <w:t>• No añadas ornamentos si no ayudan a la jerarquía o navegación.</w:t>
            </w:r>
          </w:p>
        </w:tc>
      </w:tr>
    </w:tbl>
    <w:p>
      <w:r>
        <w:br w:type="page"/>
      </w:r>
    </w:p>
    <w:p>
      <w:pPr>
        <w:keepNext/>
        <w:spacing w:before="40" w:after="100" w:line="278" w:lineRule="auto"/>
        <w:pBdr>
          <w:bottom w:val="single" w:sz="10" w:space="4" w:color="D8702E"/>
        </w:pBdr>
      </w:pPr>
      <w:r>
        <w:rPr>
          <w:rFonts w:ascii="Montserrat" w:hAnsi="Montserrat" w:eastAsia="Montserrat"/>
          <w:b/>
          <w:color w:val="2B2B2B"/>
          <w:sz w:val="31"/>
        </w:rPr>
        <w:t>9 · Comportamiento responsivo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20"/>
        </w:rPr>
        <w:t>El diseño es mobile-first y debe conservar la misma sensación de calma y claridad en todos los tamaños. La navegación y las transiciones se sienten suaves, sin movimientos agresivos ni cambios repentinos.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Móvil (320–599px): 1 columna, márgenes de 20–24px, separación de secciones de 56–72px. Display 40–44px, H1 34–36px y cuerpo 16–17px.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Tableta (600–1023px): 6–8 columnas, márgenes de 32–48px y separación de secciones de 72–88px.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Escritorio (1024–1439px): 12 columnas, márgenes de 64–80px, separación de secciones de 96–112px.</w:t>
      </w:r>
    </w:p>
    <w:p>
      <w:pPr>
        <w:pStyle w:val="ListBullet"/>
        <w:spacing w:before="0" w:after="50" w:line="269" w:lineRule="auto"/>
        <w:ind w:left="288" w:hanging="173"/>
      </w:pPr>
      <w:r>
        <w:rPr>
          <w:rFonts w:ascii="Montserrat" w:hAnsi="Montserrat" w:eastAsia="Montserrat"/>
          <w:color w:val="2B2B2B"/>
          <w:sz w:val="20"/>
        </w:rPr>
        <w:t>Escritorio amplio (1440px+): contenido centrado con máximo aproximado de 1280–1360px; márgenes exteriores generosos y secciones de 112–128px.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19"/>
        </w:rPr>
        <w:t>Las tarjetas pasan de 2–3 columnas a una sola columna en móvil. Los botones y enlaces interactivos deben conservar un área táctil mínima cercana a 44×44px. En navegación móvil, el menú puede convertirse en hamburguesa, pero debe mantener acceso directo a Proyectos, Sobre mí y Contacto.</w:t>
      </w:r>
    </w:p>
    <w:p>
      <w:pPr>
        <w:spacing w:before="0" w:after="100" w:line="278" w:lineRule="auto"/>
      </w:pPr>
      <w:r>
        <w:rPr>
          <w:rFonts w:ascii="Montserrat" w:hAnsi="Montserrat" w:eastAsia="Montserrat"/>
          <w:color w:val="2B2B2B"/>
          <w:sz w:val="19"/>
        </w:rPr>
        <w:t>El movimiento es parte de la personalidad: scroll suave, transiciones de 200–350ms con curvas ease-out, apariciones discretas y hover con desplazamientos mínimos. Un cursor personalizado puede usarse solo si sigue siendo fácil de entender y no oculta estados importantes. Si el sistema del usuario solicita reducir movimiento, las animaciones deben simplificarse o desactivarse.</w:t>
      </w:r>
    </w:p>
    <w:p>
      <w:pPr>
        <w:keepNext/>
        <w:spacing w:before="200" w:after="80" w:line="278" w:lineRule="auto"/>
      </w:pPr>
      <w:r>
        <w:rPr>
          <w:rFonts w:ascii="Montserrat" w:hAnsi="Montserrat" w:eastAsia="Montserrat"/>
          <w:b/>
          <w:color w:val="E0846E"/>
          <w:sz w:val="24"/>
        </w:rPr>
        <w:t>Resumen de tokens para prueba web</w:t>
      </w:r>
    </w:p>
    <w:p>
      <w:pPr>
        <w:spacing w:before="0" w:after="20" w:line="240" w:lineRule="auto"/>
      </w:pPr>
      <w:r>
        <w:rPr>
          <w:rFonts w:ascii="Courier New" w:hAnsi="Courier New" w:eastAsia="Courier New"/>
          <w:color w:val="2B2B2B"/>
          <w:sz w:val="17"/>
        </w:rPr>
        <w:t>--brand-coral: #E0846E;</w:t>
      </w:r>
    </w:p>
    <w:p>
      <w:pPr>
        <w:spacing w:before="0" w:after="20" w:line="240" w:lineRule="auto"/>
      </w:pPr>
      <w:r>
        <w:rPr>
          <w:rFonts w:ascii="Courier New" w:hAnsi="Courier New" w:eastAsia="Courier New"/>
          <w:color w:val="2B2B2B"/>
          <w:sz w:val="17"/>
        </w:rPr>
        <w:t>--brand-raspberry: #DD7182;</w:t>
      </w:r>
    </w:p>
    <w:p>
      <w:pPr>
        <w:spacing w:before="0" w:after="20" w:line="240" w:lineRule="auto"/>
      </w:pPr>
      <w:r>
        <w:rPr>
          <w:rFonts w:ascii="Courier New" w:hAnsi="Courier New" w:eastAsia="Courier New"/>
          <w:color w:val="2B2B2B"/>
          <w:sz w:val="17"/>
        </w:rPr>
        <w:t>--brand-honey: #F4D17F;</w:t>
      </w:r>
    </w:p>
    <w:p>
      <w:pPr>
        <w:spacing w:before="0" w:after="20" w:line="240" w:lineRule="auto"/>
      </w:pPr>
      <w:r>
        <w:rPr>
          <w:rFonts w:ascii="Courier New" w:hAnsi="Courier New" w:eastAsia="Courier New"/>
          <w:color w:val="2B2B2B"/>
          <w:sz w:val="17"/>
        </w:rPr>
        <w:t>--brand-lavender: #CBABCE;</w:t>
      </w:r>
    </w:p>
    <w:p>
      <w:pPr>
        <w:spacing w:before="0" w:after="20" w:line="240" w:lineRule="auto"/>
      </w:pPr>
      <w:r>
        <w:rPr>
          <w:rFonts w:ascii="Courier New" w:hAnsi="Courier New" w:eastAsia="Courier New"/>
          <w:color w:val="2B2B2B"/>
          <w:sz w:val="17"/>
        </w:rPr>
        <w:t>--brand-lilac: #EAE7F3;</w:t>
      </w:r>
    </w:p>
    <w:p>
      <w:pPr>
        <w:spacing w:before="0" w:after="20" w:line="240" w:lineRule="auto"/>
      </w:pPr>
      <w:r>
        <w:rPr>
          <w:rFonts w:ascii="Courier New" w:hAnsi="Courier New" w:eastAsia="Courier New"/>
          <w:color w:val="2B2B2B"/>
          <w:sz w:val="17"/>
        </w:rPr>
        <w:t>--text-primary: #2B2B2B;</w:t>
      </w:r>
    </w:p>
    <w:p>
      <w:pPr>
        <w:spacing w:before="0" w:after="20" w:line="240" w:lineRule="auto"/>
      </w:pPr>
      <w:r>
        <w:rPr>
          <w:rFonts w:ascii="Courier New" w:hAnsi="Courier New" w:eastAsia="Courier New"/>
          <w:color w:val="2B2B2B"/>
          <w:sz w:val="17"/>
        </w:rPr>
        <w:t>--font-family: "Montserrat", sans-serif;</w:t>
      </w:r>
    </w:p>
    <w:p>
      <w:pPr>
        <w:spacing w:before="0" w:after="20" w:line="240" w:lineRule="auto"/>
      </w:pPr>
      <w:r>
        <w:rPr>
          <w:rFonts w:ascii="Courier New" w:hAnsi="Courier New" w:eastAsia="Courier New"/>
          <w:color w:val="2B2B2B"/>
          <w:sz w:val="17"/>
        </w:rPr>
        <w:t>--text-base: 18px;  --line-base: 28px;</w:t>
      </w:r>
    </w:p>
    <w:p>
      <w:pPr>
        <w:spacing w:before="0" w:after="20" w:line="240" w:lineRule="auto"/>
      </w:pPr>
      <w:r>
        <w:rPr>
          <w:rFonts w:ascii="Courier New" w:hAnsi="Courier New" w:eastAsia="Courier New"/>
          <w:color w:val="2B2B2B"/>
          <w:sz w:val="17"/>
        </w:rPr>
        <w:t>--radius-card: 16px;  --radius-pill: 999px;</w:t>
      </w:r>
    </w:p>
    <w:p>
      <w:pPr>
        <w:spacing w:before="0" w:after="20" w:line="240" w:lineRule="auto"/>
      </w:pPr>
      <w:r>
        <w:rPr>
          <w:rFonts w:ascii="Courier New" w:hAnsi="Courier New" w:eastAsia="Courier New"/>
          <w:color w:val="2B2B2B"/>
          <w:sz w:val="17"/>
        </w:rPr>
        <w:t>--content-max: 1360px;</w:t>
      </w:r>
    </w:p>
    <w:p>
      <w:pPr>
        <w:spacing w:before="0" w:after="0" w:line="278" w:lineRule="auto"/>
      </w:pPr>
      <w:r>
        <w:rPr>
          <w:rFonts w:ascii="Montserrat" w:hAnsi="Montserrat" w:eastAsia="Montserrat"/>
          <w:color w:val="2B2B2B"/>
          <w:sz w:val="18"/>
        </w:rPr>
        <w:t>Estos valores son deliberadamente de prueba: la recomendación es usarlos en un primer prototipo y ajustar escala, contraste y ritmo después de ver el portafolio con contenido real.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altName w:val="Noto Sans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ontserrat" w:hAnsi="Montserrat" w:eastAsia="Montserrat"/>
        <w:color w:val="9A7D70"/>
        <w:sz w:val="15"/>
      </w:rPr>
      <w:t>Sistema de diseño personal · versión de prueba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Montserrat" w:hAnsi="Montserrat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