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pBdr>
          <w:top w:val="single" w:sz="2" w:space="1" w:color="D9D9E3"/>
          <w:left w:val="single" w:sz="2" w:space="1" w:color="D9D9E3"/>
          <w:bottom w:val="single" w:sz="2" w:space="1" w:color="D9D9E3"/>
          <w:right w:val="single" w:sz="2" w:space="1" w:color="D9D9E3"/>
        </w:pBdr>
        <w:bidi w:val="0"/>
        <w:jc w:val="start"/>
        <w:rPr/>
      </w:pPr>
      <w:r>
        <w:rPr/>
        <w:br/>
        <w:t>Die Commerzbank verfolgt eine umfassende Nachhaltigkeitsstrategie, die auf den Prinzipien Umwelt, Soziales und Governance (ESG) basiert. Der Vorstandsvorsitzende, Manfred Knof, betont das Engagement der Bank für eine nachhaltige Entwicklung, das bereits seit 2020 fest in der Unternehmensstrategie verankert ist.</w:t>
      </w:r>
    </w:p>
    <w:p>
      <w:pPr>
        <w:pStyle w:val="Textkrper"/>
        <w:pBdr>
          <w:top w:val="single" w:sz="2" w:space="1" w:color="D9D9E3"/>
          <w:left w:val="single" w:sz="2" w:space="1" w:color="D9D9E3"/>
          <w:bottom w:val="single" w:sz="2" w:space="1" w:color="D9D9E3"/>
          <w:right w:val="single" w:sz="2" w:space="1" w:color="D9D9E3"/>
        </w:pBdr>
        <w:bidi w:val="0"/>
        <w:jc w:val="start"/>
        <w:rPr/>
      </w:pPr>
      <w:r>
        <w:rPr>
          <w:rStyle w:val="Starkbetont"/>
        </w:rPr>
        <w:t>Hauptpunkte der Nachhaltigkeitsstrategie:</w:t>
      </w:r>
    </w:p>
    <w:p>
      <w:pPr>
        <w:pStyle w:val="Textkrper"/>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Net-Zero CO₂-Emissionen:</w:t>
      </w:r>
    </w:p>
    <w:p>
      <w:pPr>
        <w:pStyle w:val="Textkrper"/>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Ziel, bis 2050 Net-Zero CO₂-Emissionen im Kredit- und Anlageportfolio zu erreichen.</w:t>
      </w:r>
    </w:p>
    <w:p>
      <w:pPr>
        <w:pStyle w:val="Textkrper"/>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Verpflichtung zur Neutralisierung aller finanzierten Emissionen.</w:t>
      </w:r>
    </w:p>
    <w:p>
      <w:pPr>
        <w:pStyle w:val="Textkrper"/>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Teilnahme an der Science-based-Targets-Initiative (SBTi) für Berechnung und Zieldefinition.</w:t>
      </w:r>
    </w:p>
    <w:p>
      <w:pPr>
        <w:pStyle w:val="Textkrper"/>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Finanzierung nachhaltiger Projekte:</w:t>
      </w:r>
    </w:p>
    <w:p>
      <w:pPr>
        <w:pStyle w:val="Textkrper"/>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Ziel, mehr als 300 Milliarden Euro bis 2025 für nachhaltige Produkte zu mobilisieren.</w:t>
      </w:r>
    </w:p>
    <w:p>
      <w:pPr>
        <w:pStyle w:val="Textkrper"/>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Ein ESG-Rahmenwerk klassifiziert, welche Produkte als nachhaltig gelten.</w:t>
      </w:r>
    </w:p>
    <w:p>
      <w:pPr>
        <w:pStyle w:val="Textkrper"/>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Nachhaltiger Bankbetrieb:</w:t>
      </w:r>
    </w:p>
    <w:p>
      <w:pPr>
        <w:pStyle w:val="Textkrper"/>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Ziel, bis 2040 Net-Zero CO₂-Emissionen im Bankbetrieb zu erreichen.</w:t>
      </w:r>
    </w:p>
    <w:p>
      <w:pPr>
        <w:pStyle w:val="Textkrper"/>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hanging="283"/>
        <w:jc w:val="start"/>
        <w:rPr/>
      </w:pPr>
      <w:r>
        <w:rPr/>
        <w:t>Streben nach Klimaneutralität im Lieferantenportfolio.</w:t>
      </w:r>
    </w:p>
    <w:p>
      <w:pPr>
        <w:pStyle w:val="Textkrper"/>
        <w:pBdr>
          <w:top w:val="single" w:sz="2" w:space="1" w:color="D9D9E3"/>
          <w:left w:val="single" w:sz="2" w:space="1" w:color="D9D9E3"/>
          <w:bottom w:val="single" w:sz="2" w:space="1" w:color="D9D9E3"/>
          <w:right w:val="single" w:sz="2" w:space="1" w:color="D9D9E3"/>
        </w:pBdr>
        <w:bidi w:val="0"/>
        <w:jc w:val="start"/>
        <w:rPr/>
      </w:pPr>
      <w:r>
        <w:rPr>
          <w:rStyle w:val="Starkbetont"/>
        </w:rPr>
        <w:t>Weitere Aspekte der Nachhaltigkeitsstrategie:</w:t>
      </w:r>
    </w:p>
    <w:p>
      <w:pPr>
        <w:pStyle w:val="Textkrper"/>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Sustainable Development Goals (SDGs):</w:t>
      </w:r>
    </w:p>
    <w:p>
      <w:pPr>
        <w:pStyle w:val="Textkrper"/>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Beitrag zur Umsetzung der Agenda 2030 für nachhaltige Entwicklung der Vereinten Nationen.</w:t>
      </w:r>
    </w:p>
    <w:p>
      <w:pPr>
        <w:pStyle w:val="Textkrper"/>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ESG-Rahmenwerk:</w:t>
      </w:r>
    </w:p>
    <w:p>
      <w:pPr>
        <w:pStyle w:val="Textkrper"/>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Offenlegung aller wesentlichen Bausteine der Nachhaltigkeitsstrategie.</w:t>
      </w:r>
    </w:p>
    <w:p>
      <w:pPr>
        <w:pStyle w:val="Textkrper"/>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Biodiversität:</w:t>
      </w:r>
    </w:p>
    <w:p>
      <w:pPr>
        <w:pStyle w:val="Textkrper"/>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Engagement für nachhaltige Nutzung und Schutz der weltweiten biologischen Vielfalt.</w:t>
      </w:r>
    </w:p>
    <w:p>
      <w:pPr>
        <w:pStyle w:val="Textkrper"/>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Nachhaltigkeitsberichte:</w:t>
      </w:r>
    </w:p>
    <w:p>
      <w:pPr>
        <w:pStyle w:val="Textkrper"/>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Regelmäßige und umfassende Berichterstattung über Fortschritte in der nachhaltigen Ausrichtung der Bank.</w:t>
      </w:r>
    </w:p>
    <w:p>
      <w:pPr>
        <w:pStyle w:val="Textkrper"/>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Diversity &amp; Inclusion:</w:t>
      </w:r>
    </w:p>
    <w:p>
      <w:pPr>
        <w:pStyle w:val="Textkrper"/>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t>Verpflichtung zur Vielfalt und Inklusion für Mitarbeitende, Kund</w:t>
      </w:r>
      <w:r>
        <w:rPr>
          <w:rStyle w:val="Betont"/>
        </w:rPr>
        <w:t>innen und Geschäftspartner</w:t>
      </w:r>
      <w:r>
        <w:rPr/>
        <w:t>innen.</w:t>
      </w:r>
    </w:p>
    <w:p>
      <w:pPr>
        <w:pStyle w:val="Textkrper"/>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rStyle w:val="Starkbetont"/>
        </w:rPr>
        <w:t>ESG-Dimensionen erklärt:</w:t>
      </w:r>
    </w:p>
    <w:p>
      <w:pPr>
        <w:pStyle w:val="Textkrper"/>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hanging="283"/>
        <w:jc w:val="start"/>
        <w:rPr/>
      </w:pPr>
      <w:r>
        <w:rPr/>
        <w:t>Umwelt (Environmental), Soziales (Social) und Unternehmensführung (Governance) als Kernbereiche der Nachhaltigkeitsverantwortung.</w:t>
      </w:r>
    </w:p>
    <w:p>
      <w:pPr>
        <w:pStyle w:val="Textkrper"/>
        <w:pBdr>
          <w:top w:val="single" w:sz="2" w:space="1" w:color="D9D9E3"/>
          <w:left w:val="single" w:sz="2" w:space="1" w:color="D9D9E3"/>
          <w:bottom w:val="single" w:sz="2" w:space="1" w:color="D9D9E3"/>
          <w:right w:val="single" w:sz="2" w:space="1" w:color="D9D9E3"/>
        </w:pBdr>
        <w:bidi w:val="0"/>
        <w:jc w:val="start"/>
        <w:rPr/>
      </w:pPr>
      <w:r>
        <w:rPr/>
        <w:t>Die Commerzbank betont ihre festen Werte, verbindlichen Verhaltenskodizes und anspruchsvollen Selbstverpflichtungen als Grundlage ihrer Geschäftstätigkeit. Die Strategie zielt darauf ab, eine klimakompatible Entwicklung zu fördern und einen aktiven Beitrag zur globalen Transformation in eine nachhaltige Wirtschaft zu leisten.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de-DE" w:eastAsia="zh-CN" w:bidi="hi-IN"/>
    </w:rPr>
  </w:style>
  <w:style w:type="character" w:styleId="Starkbetont">
    <w:name w:val="Strong"/>
    <w:qFormat/>
    <w:rPr>
      <w:b/>
      <w:bCs/>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Betont">
    <w:name w:val="Emphasis"/>
    <w:qFormat/>
    <w:rPr>
      <w:i/>
      <w:iCs/>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LibreOffice/7.4.2.3$Windows_X86_64 LibreOffice_project/382eef1f22670f7f4118c8c2dd222ec7ad009daf</Application>
  <AppVersion>15.0000</AppVersion>
  <Pages>2</Pages>
  <Words>253</Words>
  <Characters>1864</Characters>
  <CharactersWithSpaces>2064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2023-12-06T09:39:26Z</dcterms:created>
  <dc:creator/>
  <dc:description/>
  <dc:language>de-DE</dc:language>
  <cp:lastModifiedBy/>
  <dcterms:modified xsi:type="dcterms:W3CDTF">2023-12-06T09:39:31Z</dcterms:modified>
  <cp:revision>1</cp:revision>
  <dc:subject/>
  <dc:title/>
</cp:coreProperties>
</file>