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5B6" w:rsidRDefault="00BE25B6" w:rsidP="00BE25B6">
      <w:pPr>
        <w:jc w:val="center"/>
        <w:rPr>
          <w:b/>
          <w:sz w:val="56"/>
          <w:szCs w:val="56"/>
        </w:rPr>
      </w:pPr>
      <w:proofErr w:type="spellStart"/>
      <w:r>
        <w:rPr>
          <w:b/>
          <w:sz w:val="56"/>
          <w:szCs w:val="56"/>
        </w:rPr>
        <w:t>Queensborough</w:t>
      </w:r>
      <w:proofErr w:type="spellEnd"/>
      <w:r>
        <w:rPr>
          <w:b/>
          <w:sz w:val="56"/>
          <w:szCs w:val="56"/>
        </w:rPr>
        <w:t xml:space="preserve"> Community College</w:t>
      </w:r>
    </w:p>
    <w:p w:rsidR="00BE25B6" w:rsidRDefault="00BE25B6" w:rsidP="00BE25B6">
      <w:pPr>
        <w:jc w:val="center"/>
        <w:rPr>
          <w:sz w:val="40"/>
          <w:szCs w:val="40"/>
        </w:rPr>
      </w:pPr>
    </w:p>
    <w:p w:rsidR="00BE25B6" w:rsidRDefault="00BE25B6" w:rsidP="00BE25B6">
      <w:pPr>
        <w:jc w:val="center"/>
        <w:rPr>
          <w:sz w:val="40"/>
          <w:szCs w:val="40"/>
        </w:rPr>
      </w:pPr>
      <w:r>
        <w:rPr>
          <w:sz w:val="40"/>
          <w:szCs w:val="40"/>
        </w:rPr>
        <w:t>The City University of New York</w:t>
      </w:r>
    </w:p>
    <w:p w:rsidR="00BE25B6" w:rsidRDefault="00BE25B6" w:rsidP="00BE25B6">
      <w:pPr>
        <w:jc w:val="center"/>
        <w:rPr>
          <w:b/>
          <w:sz w:val="56"/>
          <w:szCs w:val="56"/>
        </w:rPr>
      </w:pPr>
    </w:p>
    <w:p w:rsidR="00BE25B6" w:rsidRDefault="00BE25B6" w:rsidP="00BE25B6">
      <w:pPr>
        <w:jc w:val="center"/>
        <w:rPr>
          <w:b/>
          <w:sz w:val="56"/>
          <w:szCs w:val="56"/>
        </w:rPr>
      </w:pPr>
      <w:r>
        <w:rPr>
          <w:b/>
          <w:sz w:val="56"/>
          <w:szCs w:val="56"/>
        </w:rPr>
        <w:t>Department of Engineering Technology</w:t>
      </w:r>
    </w:p>
    <w:p w:rsidR="00BE25B6" w:rsidRDefault="00BE25B6" w:rsidP="00BE25B6">
      <w:pPr>
        <w:jc w:val="center"/>
        <w:rPr>
          <w:b/>
          <w:sz w:val="40"/>
          <w:szCs w:val="40"/>
        </w:rPr>
      </w:pPr>
      <w:r>
        <w:rPr>
          <w:b/>
          <w:sz w:val="40"/>
          <w:szCs w:val="40"/>
        </w:rPr>
        <w:t>ET 110 – Introduction to Circuit Analysis Laboratory</w:t>
      </w:r>
    </w:p>
    <w:p w:rsidR="00BE25B6" w:rsidRDefault="00BE25B6" w:rsidP="00BE25B6">
      <w:pPr>
        <w:jc w:val="center"/>
        <w:rPr>
          <w:b/>
          <w:sz w:val="56"/>
          <w:szCs w:val="56"/>
        </w:rPr>
      </w:pPr>
    </w:p>
    <w:p w:rsidR="00BE25B6" w:rsidRDefault="00BE25B6" w:rsidP="00BE25B6">
      <w:pPr>
        <w:jc w:val="center"/>
        <w:rPr>
          <w:b/>
          <w:sz w:val="56"/>
          <w:szCs w:val="56"/>
        </w:rPr>
      </w:pPr>
      <w:r>
        <w:rPr>
          <w:b/>
          <w:sz w:val="56"/>
          <w:szCs w:val="56"/>
        </w:rPr>
        <w:t>Lab#11</w:t>
      </w:r>
    </w:p>
    <w:p w:rsidR="00BE25B6" w:rsidRPr="00226062" w:rsidRDefault="00BE25B6" w:rsidP="00BE25B6">
      <w:pPr>
        <w:jc w:val="center"/>
        <w:rPr>
          <w:sz w:val="48"/>
          <w:szCs w:val="56"/>
        </w:rPr>
      </w:pPr>
      <w:proofErr w:type="spellStart"/>
      <w:r>
        <w:rPr>
          <w:sz w:val="48"/>
          <w:szCs w:val="56"/>
        </w:rPr>
        <w:t>Thevenin’s</w:t>
      </w:r>
      <w:proofErr w:type="spellEnd"/>
      <w:r>
        <w:rPr>
          <w:sz w:val="48"/>
          <w:szCs w:val="56"/>
        </w:rPr>
        <w:t xml:space="preserve"> and Norton’s Theorem</w:t>
      </w:r>
    </w:p>
    <w:p w:rsidR="00BE25B6" w:rsidRDefault="00BE25B6" w:rsidP="00BE25B6">
      <w:pPr>
        <w:jc w:val="center"/>
        <w:rPr>
          <w:b/>
          <w:sz w:val="56"/>
          <w:szCs w:val="56"/>
        </w:rPr>
      </w:pPr>
      <w:r>
        <w:rPr>
          <w:b/>
          <w:sz w:val="56"/>
          <w:szCs w:val="56"/>
        </w:rPr>
        <w:t>Inspector: Prof. Wu</w:t>
      </w:r>
    </w:p>
    <w:p w:rsidR="00BE25B6" w:rsidRDefault="00BE25B6" w:rsidP="00BE25B6">
      <w:pPr>
        <w:jc w:val="center"/>
        <w:rPr>
          <w:b/>
          <w:sz w:val="56"/>
          <w:szCs w:val="56"/>
        </w:rPr>
      </w:pPr>
    </w:p>
    <w:p w:rsidR="00BE25B6" w:rsidRDefault="00BE25B6" w:rsidP="00BE25B6">
      <w:pPr>
        <w:jc w:val="center"/>
        <w:rPr>
          <w:b/>
        </w:rPr>
      </w:pPr>
    </w:p>
    <w:p w:rsidR="00BE25B6" w:rsidRDefault="00BE25B6" w:rsidP="00BE25B6">
      <w:pPr>
        <w:jc w:val="center"/>
        <w:rPr>
          <w:b/>
          <w:sz w:val="52"/>
          <w:szCs w:val="52"/>
        </w:rPr>
      </w:pPr>
      <w:r>
        <w:rPr>
          <w:b/>
          <w:sz w:val="52"/>
          <w:szCs w:val="52"/>
        </w:rPr>
        <w:t>Date 11/11/16</w:t>
      </w:r>
    </w:p>
    <w:p w:rsidR="00BE25B6" w:rsidRDefault="00BE25B6" w:rsidP="00BE25B6">
      <w:pPr>
        <w:jc w:val="center"/>
        <w:rPr>
          <w:b/>
          <w:sz w:val="52"/>
          <w:szCs w:val="52"/>
        </w:rPr>
      </w:pPr>
      <w:r>
        <w:rPr>
          <w:b/>
          <w:sz w:val="52"/>
          <w:szCs w:val="52"/>
        </w:rPr>
        <w:t>Fall 2016</w:t>
      </w:r>
    </w:p>
    <w:p w:rsidR="00BE25B6" w:rsidRDefault="00BE25B6" w:rsidP="00BE25B6">
      <w:pPr>
        <w:jc w:val="center"/>
        <w:rPr>
          <w:b/>
          <w:sz w:val="52"/>
          <w:szCs w:val="52"/>
        </w:rPr>
      </w:pPr>
      <w:r>
        <w:rPr>
          <w:b/>
          <w:sz w:val="52"/>
          <w:szCs w:val="52"/>
        </w:rPr>
        <w:t>Student Name: XIN SHEN</w:t>
      </w:r>
    </w:p>
    <w:p w:rsidR="00C135BE" w:rsidRDefault="00C135BE"/>
    <w:p w:rsidR="000D5973" w:rsidRDefault="000D5973"/>
    <w:p w:rsidR="000D5973" w:rsidRPr="00163AFB" w:rsidRDefault="000D5973" w:rsidP="000D5973">
      <w:pPr>
        <w:pStyle w:val="ListParagraph"/>
        <w:numPr>
          <w:ilvl w:val="0"/>
          <w:numId w:val="1"/>
        </w:numPr>
        <w:rPr>
          <w:sz w:val="28"/>
        </w:rPr>
      </w:pPr>
      <w:r>
        <w:rPr>
          <w:b/>
          <w:sz w:val="28"/>
        </w:rPr>
        <w:lastRenderedPageBreak/>
        <w:t xml:space="preserve">Objective </w:t>
      </w:r>
    </w:p>
    <w:p w:rsidR="000D5973" w:rsidRDefault="000D5973" w:rsidP="000D5973">
      <w:pPr>
        <w:pStyle w:val="ListParagraph"/>
        <w:numPr>
          <w:ilvl w:val="0"/>
          <w:numId w:val="5"/>
        </w:numPr>
        <w:rPr>
          <w:sz w:val="28"/>
        </w:rPr>
      </w:pPr>
      <w:r>
        <w:rPr>
          <w:sz w:val="28"/>
        </w:rPr>
        <w:t xml:space="preserve">Understanding </w:t>
      </w:r>
      <w:proofErr w:type="spellStart"/>
      <w:r>
        <w:rPr>
          <w:sz w:val="28"/>
        </w:rPr>
        <w:t>Thevenin’s</w:t>
      </w:r>
      <w:proofErr w:type="spellEnd"/>
      <w:r>
        <w:rPr>
          <w:sz w:val="28"/>
        </w:rPr>
        <w:t xml:space="preserve"> and </w:t>
      </w:r>
      <w:proofErr w:type="spellStart"/>
      <w:r>
        <w:rPr>
          <w:sz w:val="28"/>
        </w:rPr>
        <w:t>Noton’s</w:t>
      </w:r>
      <w:proofErr w:type="spellEnd"/>
      <w:r>
        <w:rPr>
          <w:sz w:val="28"/>
        </w:rPr>
        <w:t xml:space="preserve"> Theorem</w:t>
      </w:r>
    </w:p>
    <w:p w:rsidR="000D5973" w:rsidRPr="000D5973" w:rsidRDefault="000D5973" w:rsidP="000D5973">
      <w:pPr>
        <w:pStyle w:val="ListParagraph"/>
        <w:rPr>
          <w:sz w:val="28"/>
        </w:rPr>
      </w:pPr>
    </w:p>
    <w:p w:rsidR="000D5973" w:rsidRPr="00163AFB" w:rsidRDefault="000D5973" w:rsidP="000D5973">
      <w:pPr>
        <w:pStyle w:val="ListParagraph"/>
        <w:numPr>
          <w:ilvl w:val="0"/>
          <w:numId w:val="1"/>
        </w:numPr>
        <w:rPr>
          <w:sz w:val="28"/>
        </w:rPr>
      </w:pPr>
      <w:r>
        <w:rPr>
          <w:b/>
          <w:sz w:val="28"/>
        </w:rPr>
        <w:t>Components’ list</w:t>
      </w:r>
    </w:p>
    <w:p w:rsidR="000D5973" w:rsidRDefault="000D5973" w:rsidP="000D5973">
      <w:pPr>
        <w:pStyle w:val="ListParagraph"/>
        <w:numPr>
          <w:ilvl w:val="0"/>
          <w:numId w:val="3"/>
        </w:numPr>
        <w:rPr>
          <w:sz w:val="28"/>
        </w:rPr>
      </w:pPr>
      <w:r>
        <w:rPr>
          <w:sz w:val="28"/>
        </w:rPr>
        <w:t>Power supply</w:t>
      </w:r>
    </w:p>
    <w:p w:rsidR="000D5973" w:rsidRDefault="000D5973" w:rsidP="000D5973">
      <w:pPr>
        <w:pStyle w:val="ListParagraph"/>
        <w:numPr>
          <w:ilvl w:val="0"/>
          <w:numId w:val="3"/>
        </w:numPr>
        <w:rPr>
          <w:sz w:val="28"/>
        </w:rPr>
      </w:pPr>
      <w:r>
        <w:rPr>
          <w:sz w:val="28"/>
        </w:rPr>
        <w:t>DMM</w:t>
      </w:r>
    </w:p>
    <w:p w:rsidR="000D5973" w:rsidRDefault="000D5973" w:rsidP="000D5973">
      <w:pPr>
        <w:pStyle w:val="ListParagraph"/>
        <w:numPr>
          <w:ilvl w:val="0"/>
          <w:numId w:val="3"/>
        </w:numPr>
        <w:rPr>
          <w:sz w:val="28"/>
        </w:rPr>
      </w:pPr>
      <w:r w:rsidRPr="00163AFB">
        <w:rPr>
          <w:noProof/>
          <w:sz w:val="28"/>
        </w:rPr>
        <w:t>Protob</w:t>
      </w:r>
      <w:r>
        <w:rPr>
          <w:noProof/>
          <w:sz w:val="28"/>
        </w:rPr>
        <w:t>oar</w:t>
      </w:r>
      <w:r w:rsidRPr="00163AFB">
        <w:rPr>
          <w:noProof/>
          <w:sz w:val="28"/>
        </w:rPr>
        <w:t>d</w:t>
      </w:r>
    </w:p>
    <w:p w:rsidR="000D5973" w:rsidRDefault="000D5973" w:rsidP="000D5973">
      <w:pPr>
        <w:pStyle w:val="ListParagraph"/>
        <w:numPr>
          <w:ilvl w:val="0"/>
          <w:numId w:val="3"/>
        </w:numPr>
        <w:rPr>
          <w:sz w:val="28"/>
        </w:rPr>
      </w:pPr>
      <w:r>
        <w:rPr>
          <w:sz w:val="28"/>
        </w:rPr>
        <w:t xml:space="preserve">Jump wires </w:t>
      </w:r>
    </w:p>
    <w:p w:rsidR="000D5973" w:rsidRDefault="000D5973" w:rsidP="000D5973">
      <w:pPr>
        <w:pStyle w:val="ListParagraph"/>
        <w:numPr>
          <w:ilvl w:val="0"/>
          <w:numId w:val="3"/>
        </w:numPr>
        <w:rPr>
          <w:sz w:val="28"/>
        </w:rPr>
      </w:pPr>
      <w:r>
        <w:rPr>
          <w:sz w:val="28"/>
        </w:rPr>
        <w:t>Resistors: 100</w:t>
      </w:r>
      <w:r>
        <w:rPr>
          <w:rFonts w:cstheme="minorHAnsi"/>
          <w:sz w:val="28"/>
        </w:rPr>
        <w:t>Ω</w:t>
      </w:r>
      <w:r>
        <w:rPr>
          <w:sz w:val="28"/>
        </w:rPr>
        <w:t>, 330</w:t>
      </w:r>
      <w:r>
        <w:rPr>
          <w:rFonts w:cstheme="minorHAnsi"/>
          <w:sz w:val="28"/>
        </w:rPr>
        <w:t>Ω</w:t>
      </w:r>
      <w:r>
        <w:rPr>
          <w:sz w:val="28"/>
        </w:rPr>
        <w:t xml:space="preserve">, and </w:t>
      </w:r>
      <w:r>
        <w:rPr>
          <w:sz w:val="28"/>
        </w:rPr>
        <w:t xml:space="preserve"> two </w:t>
      </w:r>
      <w:r>
        <w:rPr>
          <w:sz w:val="28"/>
        </w:rPr>
        <w:t>220</w:t>
      </w:r>
      <w:r>
        <w:rPr>
          <w:rFonts w:cstheme="minorHAnsi"/>
          <w:sz w:val="28"/>
        </w:rPr>
        <w:t>Ω</w:t>
      </w:r>
    </w:p>
    <w:p w:rsidR="000D5973" w:rsidRDefault="000D5973" w:rsidP="000D5973">
      <w:pPr>
        <w:rPr>
          <w:sz w:val="28"/>
        </w:rPr>
      </w:pPr>
    </w:p>
    <w:p w:rsidR="000D5973" w:rsidRPr="00163AFB" w:rsidRDefault="000D5973" w:rsidP="000D5973">
      <w:pPr>
        <w:pStyle w:val="ListParagraph"/>
        <w:numPr>
          <w:ilvl w:val="0"/>
          <w:numId w:val="1"/>
        </w:numPr>
        <w:rPr>
          <w:sz w:val="28"/>
        </w:rPr>
      </w:pPr>
      <w:r>
        <w:rPr>
          <w:b/>
          <w:sz w:val="28"/>
        </w:rPr>
        <w:t>Experimental</w:t>
      </w:r>
    </w:p>
    <w:p w:rsidR="000D5973" w:rsidRPr="00634AA1" w:rsidRDefault="000D5973" w:rsidP="000D5973">
      <w:pPr>
        <w:pStyle w:val="ListParagraph"/>
        <w:numPr>
          <w:ilvl w:val="0"/>
          <w:numId w:val="4"/>
        </w:numPr>
        <w:rPr>
          <w:sz w:val="28"/>
        </w:rPr>
      </w:pPr>
      <w:r>
        <w:rPr>
          <w:b/>
          <w:sz w:val="28"/>
        </w:rPr>
        <w:t>Tables</w:t>
      </w:r>
    </w:p>
    <w:tbl>
      <w:tblPr>
        <w:tblStyle w:val="TableGrid"/>
        <w:tblW w:w="0" w:type="auto"/>
        <w:tblLook w:val="04A0" w:firstRow="1" w:lastRow="0" w:firstColumn="1" w:lastColumn="0" w:noHBand="0" w:noVBand="1"/>
      </w:tblPr>
      <w:tblGrid>
        <w:gridCol w:w="2337"/>
        <w:gridCol w:w="2337"/>
        <w:gridCol w:w="2338"/>
        <w:gridCol w:w="2338"/>
      </w:tblGrid>
      <w:tr w:rsidR="000D5973" w:rsidTr="000D5973">
        <w:tc>
          <w:tcPr>
            <w:tcW w:w="2337" w:type="dxa"/>
            <w:shd w:val="clear" w:color="auto" w:fill="BFBFBF" w:themeFill="background1" w:themeFillShade="BF"/>
          </w:tcPr>
          <w:p w:rsidR="000D5973" w:rsidRPr="000D5973" w:rsidRDefault="000D5973" w:rsidP="000D5973">
            <w:pPr>
              <w:jc w:val="center"/>
            </w:pPr>
          </w:p>
        </w:tc>
        <w:tc>
          <w:tcPr>
            <w:tcW w:w="2337" w:type="dxa"/>
            <w:shd w:val="clear" w:color="auto" w:fill="BFBFBF" w:themeFill="background1" w:themeFillShade="BF"/>
          </w:tcPr>
          <w:p w:rsidR="000D5973" w:rsidRPr="000D5973" w:rsidRDefault="000D5973" w:rsidP="000D5973">
            <w:pPr>
              <w:jc w:val="center"/>
              <w:rPr>
                <w:b/>
              </w:rPr>
            </w:pPr>
            <m:oMathPara>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L</m:t>
                    </m:r>
                  </m:sub>
                </m:sSub>
              </m:oMath>
            </m:oMathPara>
          </w:p>
        </w:tc>
        <w:tc>
          <w:tcPr>
            <w:tcW w:w="2338" w:type="dxa"/>
            <w:shd w:val="clear" w:color="auto" w:fill="BFBFBF" w:themeFill="background1" w:themeFillShade="BF"/>
          </w:tcPr>
          <w:p w:rsidR="000D5973" w:rsidRPr="000D5973" w:rsidRDefault="000D5973" w:rsidP="000D5973">
            <w:pPr>
              <w:jc w:val="center"/>
              <w:rPr>
                <w:b/>
              </w:rPr>
            </w:pPr>
            <m:oMathPara>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L</m:t>
                    </m:r>
                  </m:sub>
                </m:sSub>
              </m:oMath>
            </m:oMathPara>
          </w:p>
        </w:tc>
        <w:tc>
          <w:tcPr>
            <w:tcW w:w="2338" w:type="dxa"/>
            <w:shd w:val="clear" w:color="auto" w:fill="BFBFBF" w:themeFill="background1" w:themeFillShade="BF"/>
          </w:tcPr>
          <w:p w:rsidR="000D5973" w:rsidRPr="000D5973" w:rsidRDefault="000D5973" w:rsidP="000D5973">
            <w:pPr>
              <w:jc w:val="center"/>
              <w:rPr>
                <w:b/>
              </w:rPr>
            </w:pPr>
            <m:oMathPara>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L</m:t>
                    </m:r>
                  </m:sub>
                </m:sSub>
              </m:oMath>
            </m:oMathPara>
          </w:p>
        </w:tc>
      </w:tr>
      <w:tr w:rsidR="000D5973" w:rsidTr="000D5973">
        <w:tc>
          <w:tcPr>
            <w:tcW w:w="2337" w:type="dxa"/>
          </w:tcPr>
          <w:p w:rsidR="000D5973" w:rsidRDefault="000D5973" w:rsidP="000D5973">
            <w:pPr>
              <w:jc w:val="center"/>
            </w:pPr>
            <w:r>
              <w:t>Measured</w:t>
            </w:r>
          </w:p>
        </w:tc>
        <w:tc>
          <w:tcPr>
            <w:tcW w:w="2337" w:type="dxa"/>
          </w:tcPr>
          <w:p w:rsidR="000D5973" w:rsidRDefault="000D5973" w:rsidP="000D5973">
            <w:pPr>
              <w:ind w:firstLine="720"/>
            </w:pPr>
            <w:r>
              <w:t>3.49V</w:t>
            </w:r>
          </w:p>
        </w:tc>
        <w:tc>
          <w:tcPr>
            <w:tcW w:w="2338" w:type="dxa"/>
          </w:tcPr>
          <w:p w:rsidR="000D5973" w:rsidRDefault="000D5973" w:rsidP="000D5973">
            <w:pPr>
              <w:jc w:val="center"/>
            </w:pPr>
            <w:r>
              <w:t>15.38mA</w:t>
            </w:r>
          </w:p>
        </w:tc>
        <w:tc>
          <w:tcPr>
            <w:tcW w:w="2338" w:type="dxa"/>
          </w:tcPr>
          <w:p w:rsidR="000D5973" w:rsidRDefault="000D5973" w:rsidP="000D5973">
            <w:pPr>
              <w:jc w:val="center"/>
            </w:pPr>
            <w:r>
              <w:t>53.68mW</w:t>
            </w:r>
          </w:p>
        </w:tc>
      </w:tr>
      <w:tr w:rsidR="000D5973" w:rsidTr="00672567">
        <w:tc>
          <w:tcPr>
            <w:tcW w:w="9350" w:type="dxa"/>
            <w:gridSpan w:val="4"/>
          </w:tcPr>
          <w:p w:rsidR="000D5973" w:rsidRDefault="006A191C" w:rsidP="000D5973">
            <w:pPr>
              <w:jc w:val="center"/>
            </w:pPr>
            <w:r>
              <w:t>Table 11</w:t>
            </w:r>
            <w:r w:rsidR="000D5973">
              <w:t>.1 Original Circuit Measurements</w:t>
            </w:r>
          </w:p>
        </w:tc>
      </w:tr>
    </w:tbl>
    <w:p w:rsidR="000D5973" w:rsidRDefault="000D5973" w:rsidP="000D5973"/>
    <w:p w:rsidR="00CA1F7A" w:rsidRDefault="00CA1F7A" w:rsidP="000D5973"/>
    <w:tbl>
      <w:tblPr>
        <w:tblStyle w:val="TableGrid"/>
        <w:tblW w:w="0" w:type="auto"/>
        <w:tblLook w:val="04A0" w:firstRow="1" w:lastRow="0" w:firstColumn="1" w:lastColumn="0" w:noHBand="0" w:noVBand="1"/>
      </w:tblPr>
      <w:tblGrid>
        <w:gridCol w:w="3116"/>
        <w:gridCol w:w="3117"/>
        <w:gridCol w:w="3117"/>
      </w:tblGrid>
      <w:tr w:rsidR="000D5973" w:rsidTr="000D5973">
        <w:tc>
          <w:tcPr>
            <w:tcW w:w="9350" w:type="dxa"/>
            <w:gridSpan w:val="3"/>
            <w:shd w:val="clear" w:color="auto" w:fill="BFBFBF" w:themeFill="background1" w:themeFillShade="BF"/>
          </w:tcPr>
          <w:p w:rsidR="000D5973" w:rsidRPr="000D5973" w:rsidRDefault="000D5973" w:rsidP="000D5973">
            <w:pPr>
              <w:jc w:val="center"/>
              <w:rPr>
                <w:b/>
              </w:rPr>
            </w:pPr>
            <w:proofErr w:type="spellStart"/>
            <w:r w:rsidRPr="000D5973">
              <w:rPr>
                <w:b/>
              </w:rPr>
              <w:t>Thevenin’s</w:t>
            </w:r>
            <w:proofErr w:type="spellEnd"/>
            <w:r w:rsidRPr="000D5973">
              <w:rPr>
                <w:b/>
              </w:rPr>
              <w:t xml:space="preserve"> Equivalent Circuit Measurements</w:t>
            </w:r>
          </w:p>
        </w:tc>
      </w:tr>
      <w:tr w:rsidR="000D5973" w:rsidTr="000D5973">
        <w:tc>
          <w:tcPr>
            <w:tcW w:w="3116" w:type="dxa"/>
            <w:shd w:val="clear" w:color="auto" w:fill="BFBFBF" w:themeFill="background1" w:themeFillShade="BF"/>
          </w:tcPr>
          <w:p w:rsidR="000D5973" w:rsidRPr="000D5973" w:rsidRDefault="000D5973" w:rsidP="000D5973">
            <w:pPr>
              <w:rPr>
                <w:b/>
              </w:rPr>
            </w:pPr>
          </w:p>
        </w:tc>
        <w:tc>
          <w:tcPr>
            <w:tcW w:w="3117" w:type="dxa"/>
            <w:shd w:val="clear" w:color="auto" w:fill="BFBFBF" w:themeFill="background1" w:themeFillShade="BF"/>
          </w:tcPr>
          <w:p w:rsidR="000D5973" w:rsidRPr="000D5973" w:rsidRDefault="000D5973" w:rsidP="000D5973">
            <w:pPr>
              <w:rPr>
                <w:b/>
              </w:rPr>
            </w:pPr>
            <m:oMathPara>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th</m:t>
                    </m:r>
                  </m:sub>
                </m:sSub>
              </m:oMath>
            </m:oMathPara>
          </w:p>
        </w:tc>
        <w:tc>
          <w:tcPr>
            <w:tcW w:w="3117" w:type="dxa"/>
            <w:shd w:val="clear" w:color="auto" w:fill="BFBFBF" w:themeFill="background1" w:themeFillShade="BF"/>
          </w:tcPr>
          <w:p w:rsidR="000D5973" w:rsidRPr="000D5973" w:rsidRDefault="000D5973" w:rsidP="000D5973">
            <w:pPr>
              <w:rPr>
                <w:b/>
              </w:rPr>
            </w:pPr>
            <m:oMathPara>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th</m:t>
                    </m:r>
                  </m:sub>
                </m:sSub>
              </m:oMath>
            </m:oMathPara>
          </w:p>
        </w:tc>
      </w:tr>
      <w:tr w:rsidR="000D5973" w:rsidTr="000D5973">
        <w:tc>
          <w:tcPr>
            <w:tcW w:w="3116" w:type="dxa"/>
            <w:shd w:val="clear" w:color="auto" w:fill="BFBFBF" w:themeFill="background1" w:themeFillShade="BF"/>
          </w:tcPr>
          <w:p w:rsidR="000D5973" w:rsidRPr="000D5973" w:rsidRDefault="000D5973" w:rsidP="000D5973">
            <w:pPr>
              <w:jc w:val="center"/>
              <w:rPr>
                <w:b/>
              </w:rPr>
            </w:pPr>
            <w:r w:rsidRPr="000D5973">
              <w:rPr>
                <w:b/>
              </w:rPr>
              <w:t>Measurements</w:t>
            </w:r>
          </w:p>
        </w:tc>
        <w:tc>
          <w:tcPr>
            <w:tcW w:w="3117" w:type="dxa"/>
          </w:tcPr>
          <w:p w:rsidR="000D5973" w:rsidRDefault="000D5973" w:rsidP="000D5973">
            <w:pPr>
              <w:jc w:val="center"/>
            </w:pPr>
            <w:r>
              <w:t>7.17V</w:t>
            </w:r>
          </w:p>
        </w:tc>
        <w:tc>
          <w:tcPr>
            <w:tcW w:w="3117" w:type="dxa"/>
          </w:tcPr>
          <w:p w:rsidR="000D5973" w:rsidRDefault="000D5973" w:rsidP="000D5973">
            <w:pPr>
              <w:jc w:val="center"/>
            </w:pPr>
            <w:r>
              <w:t>235.76Ω</w:t>
            </w:r>
          </w:p>
        </w:tc>
      </w:tr>
      <w:tr w:rsidR="000D5973" w:rsidTr="004A77A9">
        <w:tc>
          <w:tcPr>
            <w:tcW w:w="9350" w:type="dxa"/>
            <w:gridSpan w:val="3"/>
          </w:tcPr>
          <w:p w:rsidR="000D5973" w:rsidRDefault="006A191C" w:rsidP="006A191C">
            <w:pPr>
              <w:jc w:val="center"/>
            </w:pPr>
            <w:r>
              <w:t>Table 11</w:t>
            </w:r>
            <w:r w:rsidR="000D5973">
              <w:t xml:space="preserve">.2 – </w:t>
            </w:r>
            <w:proofErr w:type="spellStart"/>
            <w:r w:rsidR="000D5973">
              <w:t>Thevenin</w:t>
            </w:r>
            <w:proofErr w:type="spellEnd"/>
            <w:r w:rsidR="000D5973">
              <w:t xml:space="preserve"> Equivalent Circuit Measurements</w:t>
            </w:r>
          </w:p>
        </w:tc>
      </w:tr>
    </w:tbl>
    <w:p w:rsidR="000D5973" w:rsidRDefault="000D5973" w:rsidP="000D5973"/>
    <w:p w:rsidR="00CA1F7A" w:rsidRDefault="00CA1F7A" w:rsidP="000D5973"/>
    <w:tbl>
      <w:tblPr>
        <w:tblStyle w:val="TableGrid"/>
        <w:tblW w:w="0" w:type="auto"/>
        <w:tblLook w:val="04A0" w:firstRow="1" w:lastRow="0" w:firstColumn="1" w:lastColumn="0" w:noHBand="0" w:noVBand="1"/>
      </w:tblPr>
      <w:tblGrid>
        <w:gridCol w:w="2337"/>
        <w:gridCol w:w="2337"/>
        <w:gridCol w:w="2338"/>
        <w:gridCol w:w="2338"/>
      </w:tblGrid>
      <w:tr w:rsidR="006A191C" w:rsidTr="006A191C">
        <w:tc>
          <w:tcPr>
            <w:tcW w:w="9350" w:type="dxa"/>
            <w:gridSpan w:val="4"/>
            <w:shd w:val="clear" w:color="auto" w:fill="BFBFBF" w:themeFill="background1" w:themeFillShade="BF"/>
          </w:tcPr>
          <w:p w:rsidR="006A191C" w:rsidRPr="006A191C" w:rsidRDefault="006A191C" w:rsidP="006A191C">
            <w:pPr>
              <w:jc w:val="center"/>
              <w:rPr>
                <w:b/>
              </w:rPr>
            </w:pPr>
            <w:r w:rsidRPr="006A191C">
              <w:rPr>
                <w:b/>
              </w:rPr>
              <w:t xml:space="preserve">Load Resistance calculation using the </w:t>
            </w:r>
            <w:proofErr w:type="spellStart"/>
            <w:r w:rsidRPr="006A191C">
              <w:rPr>
                <w:b/>
              </w:rPr>
              <w:t>Thevenin’s</w:t>
            </w:r>
            <w:proofErr w:type="spellEnd"/>
            <w:r w:rsidRPr="006A191C">
              <w:rPr>
                <w:b/>
              </w:rPr>
              <w:t xml:space="preserve"> Equivalent Circuit</w:t>
            </w:r>
          </w:p>
        </w:tc>
      </w:tr>
      <w:tr w:rsidR="006A191C" w:rsidTr="006A191C">
        <w:tc>
          <w:tcPr>
            <w:tcW w:w="2337" w:type="dxa"/>
            <w:shd w:val="clear" w:color="auto" w:fill="BFBFBF" w:themeFill="background1" w:themeFillShade="BF"/>
          </w:tcPr>
          <w:p w:rsidR="006A191C" w:rsidRDefault="006A191C" w:rsidP="000D5973"/>
        </w:tc>
        <w:tc>
          <w:tcPr>
            <w:tcW w:w="2337" w:type="dxa"/>
            <w:shd w:val="clear" w:color="auto" w:fill="BFBFBF" w:themeFill="background1" w:themeFillShade="BF"/>
          </w:tcPr>
          <w:p w:rsidR="006A191C" w:rsidRDefault="006A191C" w:rsidP="000D5973">
            <m:oMathPara>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L</m:t>
                    </m:r>
                  </m:sub>
                </m:sSub>
              </m:oMath>
            </m:oMathPara>
          </w:p>
        </w:tc>
        <w:tc>
          <w:tcPr>
            <w:tcW w:w="2338" w:type="dxa"/>
            <w:shd w:val="clear" w:color="auto" w:fill="BFBFBF" w:themeFill="background1" w:themeFillShade="BF"/>
          </w:tcPr>
          <w:p w:rsidR="006A191C" w:rsidRDefault="006A191C" w:rsidP="000D5973">
            <m:oMathPara>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L</m:t>
                    </m:r>
                  </m:sub>
                </m:sSub>
              </m:oMath>
            </m:oMathPara>
          </w:p>
        </w:tc>
        <w:tc>
          <w:tcPr>
            <w:tcW w:w="2338" w:type="dxa"/>
            <w:shd w:val="clear" w:color="auto" w:fill="BFBFBF" w:themeFill="background1" w:themeFillShade="BF"/>
          </w:tcPr>
          <w:p w:rsidR="006A191C" w:rsidRDefault="006A191C" w:rsidP="000D5973">
            <m:oMathPara>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L</m:t>
                    </m:r>
                  </m:sub>
                </m:sSub>
              </m:oMath>
            </m:oMathPara>
          </w:p>
        </w:tc>
      </w:tr>
      <w:tr w:rsidR="006A191C" w:rsidTr="006A191C">
        <w:tc>
          <w:tcPr>
            <w:tcW w:w="2337" w:type="dxa"/>
            <w:shd w:val="clear" w:color="auto" w:fill="BFBFBF" w:themeFill="background1" w:themeFillShade="BF"/>
          </w:tcPr>
          <w:p w:rsidR="006A191C" w:rsidRPr="006A191C" w:rsidRDefault="006A191C" w:rsidP="000D5973">
            <w:pPr>
              <w:rPr>
                <w:b/>
              </w:rPr>
            </w:pPr>
            <w:r w:rsidRPr="006A191C">
              <w:rPr>
                <w:b/>
              </w:rPr>
              <w:t>Calculations</w:t>
            </w:r>
          </w:p>
        </w:tc>
        <w:tc>
          <w:tcPr>
            <w:tcW w:w="2337" w:type="dxa"/>
          </w:tcPr>
          <w:p w:rsidR="006A191C" w:rsidRDefault="006A191C" w:rsidP="006A191C">
            <w:pPr>
              <w:jc w:val="center"/>
            </w:pPr>
            <w:r>
              <w:t>3.46V</w:t>
            </w:r>
          </w:p>
        </w:tc>
        <w:tc>
          <w:tcPr>
            <w:tcW w:w="2338" w:type="dxa"/>
          </w:tcPr>
          <w:p w:rsidR="006A191C" w:rsidRDefault="006A191C" w:rsidP="006A191C">
            <w:pPr>
              <w:jc w:val="center"/>
            </w:pPr>
            <w:r>
              <w:t>15.73mA</w:t>
            </w:r>
          </w:p>
        </w:tc>
        <w:tc>
          <w:tcPr>
            <w:tcW w:w="2338" w:type="dxa"/>
          </w:tcPr>
          <w:p w:rsidR="006A191C" w:rsidRDefault="006A191C" w:rsidP="006A191C">
            <w:pPr>
              <w:jc w:val="center"/>
            </w:pPr>
            <w:r>
              <w:t>54.43mA</w:t>
            </w:r>
          </w:p>
        </w:tc>
      </w:tr>
      <w:tr w:rsidR="006A191C" w:rsidTr="00FC2E50">
        <w:tc>
          <w:tcPr>
            <w:tcW w:w="9350" w:type="dxa"/>
            <w:gridSpan w:val="4"/>
          </w:tcPr>
          <w:p w:rsidR="006A191C" w:rsidRDefault="006A191C" w:rsidP="006A191C">
            <w:pPr>
              <w:jc w:val="center"/>
            </w:pPr>
            <w:r>
              <w:t xml:space="preserve">Table 11.3 – Load analysis from the </w:t>
            </w:r>
            <w:proofErr w:type="spellStart"/>
            <w:r>
              <w:t>Thevenin’s</w:t>
            </w:r>
            <w:proofErr w:type="spellEnd"/>
            <w:r>
              <w:t xml:space="preserve"> Equivalent Circuit</w:t>
            </w:r>
          </w:p>
        </w:tc>
      </w:tr>
    </w:tbl>
    <w:p w:rsidR="006A191C" w:rsidRDefault="006A191C" w:rsidP="000D5973"/>
    <w:p w:rsidR="00CA1F7A" w:rsidRDefault="00CA1F7A" w:rsidP="000D5973"/>
    <w:tbl>
      <w:tblPr>
        <w:tblStyle w:val="TableGrid"/>
        <w:tblW w:w="0" w:type="auto"/>
        <w:tblLook w:val="04A0" w:firstRow="1" w:lastRow="0" w:firstColumn="1" w:lastColumn="0" w:noHBand="0" w:noVBand="1"/>
      </w:tblPr>
      <w:tblGrid>
        <w:gridCol w:w="2337"/>
        <w:gridCol w:w="2337"/>
        <w:gridCol w:w="2338"/>
        <w:gridCol w:w="2338"/>
      </w:tblGrid>
      <w:tr w:rsidR="006A191C" w:rsidTr="00E554F3">
        <w:tc>
          <w:tcPr>
            <w:tcW w:w="9350" w:type="dxa"/>
            <w:gridSpan w:val="4"/>
            <w:shd w:val="clear" w:color="auto" w:fill="BFBFBF" w:themeFill="background1" w:themeFillShade="BF"/>
          </w:tcPr>
          <w:p w:rsidR="006A191C" w:rsidRPr="006A191C" w:rsidRDefault="006A191C" w:rsidP="006A191C">
            <w:pPr>
              <w:jc w:val="center"/>
              <w:rPr>
                <w:b/>
              </w:rPr>
            </w:pPr>
            <w:r w:rsidRPr="006A191C">
              <w:rPr>
                <w:b/>
              </w:rPr>
              <w:t xml:space="preserve">Load Resistance </w:t>
            </w:r>
            <w:r>
              <w:rPr>
                <w:b/>
              </w:rPr>
              <w:t>Analysis</w:t>
            </w:r>
          </w:p>
        </w:tc>
      </w:tr>
      <w:tr w:rsidR="006A191C" w:rsidTr="00E554F3">
        <w:tc>
          <w:tcPr>
            <w:tcW w:w="2337" w:type="dxa"/>
            <w:shd w:val="clear" w:color="auto" w:fill="BFBFBF" w:themeFill="background1" w:themeFillShade="BF"/>
          </w:tcPr>
          <w:p w:rsidR="006A191C" w:rsidRPr="006A191C" w:rsidRDefault="006A191C" w:rsidP="006A191C">
            <w:pPr>
              <w:jc w:val="center"/>
              <w:rPr>
                <w:b/>
              </w:rPr>
            </w:pPr>
          </w:p>
        </w:tc>
        <w:tc>
          <w:tcPr>
            <w:tcW w:w="2337" w:type="dxa"/>
            <w:shd w:val="clear" w:color="auto" w:fill="BFBFBF" w:themeFill="background1" w:themeFillShade="BF"/>
          </w:tcPr>
          <w:p w:rsidR="006A191C" w:rsidRDefault="006A191C" w:rsidP="00E554F3">
            <m:oMathPara>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L</m:t>
                    </m:r>
                  </m:sub>
                </m:sSub>
              </m:oMath>
            </m:oMathPara>
          </w:p>
        </w:tc>
        <w:tc>
          <w:tcPr>
            <w:tcW w:w="2338" w:type="dxa"/>
            <w:shd w:val="clear" w:color="auto" w:fill="BFBFBF" w:themeFill="background1" w:themeFillShade="BF"/>
          </w:tcPr>
          <w:p w:rsidR="006A191C" w:rsidRDefault="006A191C" w:rsidP="00E554F3">
            <m:oMathPara>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L</m:t>
                    </m:r>
                  </m:sub>
                </m:sSub>
              </m:oMath>
            </m:oMathPara>
          </w:p>
        </w:tc>
        <w:tc>
          <w:tcPr>
            <w:tcW w:w="2338" w:type="dxa"/>
            <w:shd w:val="clear" w:color="auto" w:fill="BFBFBF" w:themeFill="background1" w:themeFillShade="BF"/>
          </w:tcPr>
          <w:p w:rsidR="006A191C" w:rsidRDefault="006A191C" w:rsidP="00E554F3">
            <m:oMathPara>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L</m:t>
                    </m:r>
                  </m:sub>
                </m:sSub>
              </m:oMath>
            </m:oMathPara>
          </w:p>
        </w:tc>
      </w:tr>
      <w:tr w:rsidR="006A191C" w:rsidTr="006A191C">
        <w:tc>
          <w:tcPr>
            <w:tcW w:w="2337" w:type="dxa"/>
            <w:shd w:val="clear" w:color="auto" w:fill="BFBFBF" w:themeFill="background1" w:themeFillShade="BF"/>
          </w:tcPr>
          <w:p w:rsidR="006A191C" w:rsidRPr="006A191C" w:rsidRDefault="006A191C" w:rsidP="006A191C">
            <w:pPr>
              <w:jc w:val="center"/>
              <w:rPr>
                <w:b/>
              </w:rPr>
            </w:pPr>
            <w:r>
              <w:rPr>
                <w:b/>
              </w:rPr>
              <w:t>Original Circuit</w:t>
            </w:r>
          </w:p>
        </w:tc>
        <w:tc>
          <w:tcPr>
            <w:tcW w:w="2337" w:type="dxa"/>
            <w:shd w:val="clear" w:color="auto" w:fill="FFFFFF" w:themeFill="background1"/>
          </w:tcPr>
          <w:p w:rsidR="006A191C" w:rsidRDefault="006A191C" w:rsidP="006A191C">
            <w:pPr>
              <w:ind w:firstLine="720"/>
            </w:pPr>
            <w:r>
              <w:t>3.49V</w:t>
            </w:r>
          </w:p>
        </w:tc>
        <w:tc>
          <w:tcPr>
            <w:tcW w:w="2338" w:type="dxa"/>
            <w:shd w:val="clear" w:color="auto" w:fill="FFFFFF" w:themeFill="background1"/>
          </w:tcPr>
          <w:p w:rsidR="006A191C" w:rsidRDefault="006A191C" w:rsidP="006A191C">
            <w:pPr>
              <w:jc w:val="center"/>
            </w:pPr>
            <w:r>
              <w:t>15.38mA</w:t>
            </w:r>
          </w:p>
        </w:tc>
        <w:tc>
          <w:tcPr>
            <w:tcW w:w="2338" w:type="dxa"/>
            <w:shd w:val="clear" w:color="auto" w:fill="FFFFFF" w:themeFill="background1"/>
          </w:tcPr>
          <w:p w:rsidR="006A191C" w:rsidRDefault="006A191C" w:rsidP="006A191C">
            <w:pPr>
              <w:jc w:val="center"/>
            </w:pPr>
            <w:r>
              <w:t>53.68mW</w:t>
            </w:r>
          </w:p>
        </w:tc>
      </w:tr>
      <w:tr w:rsidR="006A191C" w:rsidTr="00E554F3">
        <w:tc>
          <w:tcPr>
            <w:tcW w:w="2337" w:type="dxa"/>
            <w:shd w:val="clear" w:color="auto" w:fill="BFBFBF" w:themeFill="background1" w:themeFillShade="BF"/>
          </w:tcPr>
          <w:p w:rsidR="006A191C" w:rsidRPr="006A191C" w:rsidRDefault="006A191C" w:rsidP="00E554F3">
            <w:pPr>
              <w:rPr>
                <w:b/>
              </w:rPr>
            </w:pPr>
            <w:proofErr w:type="spellStart"/>
            <w:r>
              <w:rPr>
                <w:b/>
              </w:rPr>
              <w:t>Thevenin’s</w:t>
            </w:r>
            <w:proofErr w:type="spellEnd"/>
            <w:r>
              <w:rPr>
                <w:b/>
              </w:rPr>
              <w:t xml:space="preserve"> Equivalent</w:t>
            </w:r>
          </w:p>
        </w:tc>
        <w:tc>
          <w:tcPr>
            <w:tcW w:w="2337" w:type="dxa"/>
          </w:tcPr>
          <w:p w:rsidR="006A191C" w:rsidRDefault="006A191C" w:rsidP="006A191C">
            <w:pPr>
              <w:jc w:val="center"/>
            </w:pPr>
            <w:r>
              <w:t>3.46V</w:t>
            </w:r>
          </w:p>
        </w:tc>
        <w:tc>
          <w:tcPr>
            <w:tcW w:w="2338" w:type="dxa"/>
          </w:tcPr>
          <w:p w:rsidR="006A191C" w:rsidRDefault="006A191C" w:rsidP="006A191C">
            <w:pPr>
              <w:jc w:val="center"/>
            </w:pPr>
            <w:r>
              <w:t>15.73mA</w:t>
            </w:r>
          </w:p>
        </w:tc>
        <w:tc>
          <w:tcPr>
            <w:tcW w:w="2338" w:type="dxa"/>
          </w:tcPr>
          <w:p w:rsidR="006A191C" w:rsidRDefault="006A191C" w:rsidP="006A191C">
            <w:pPr>
              <w:jc w:val="center"/>
            </w:pPr>
            <w:r>
              <w:t>54.43mA</w:t>
            </w:r>
          </w:p>
        </w:tc>
      </w:tr>
      <w:tr w:rsidR="006A191C" w:rsidTr="00E554F3">
        <w:tc>
          <w:tcPr>
            <w:tcW w:w="2337" w:type="dxa"/>
            <w:shd w:val="clear" w:color="auto" w:fill="BFBFBF" w:themeFill="background1" w:themeFillShade="BF"/>
          </w:tcPr>
          <w:p w:rsidR="006A191C" w:rsidRDefault="006A191C" w:rsidP="00E554F3">
            <w:pPr>
              <w:rPr>
                <w:b/>
              </w:rPr>
            </w:pPr>
            <w:r>
              <w:rPr>
                <w:b/>
              </w:rPr>
              <w:t>Difference %</w:t>
            </w:r>
          </w:p>
        </w:tc>
        <w:tc>
          <w:tcPr>
            <w:tcW w:w="2337" w:type="dxa"/>
          </w:tcPr>
          <w:p w:rsidR="006A191C" w:rsidRDefault="006A191C" w:rsidP="00E554F3">
            <w:pPr>
              <w:jc w:val="center"/>
            </w:pPr>
            <w:r>
              <w:t>0.86%</w:t>
            </w:r>
          </w:p>
        </w:tc>
        <w:tc>
          <w:tcPr>
            <w:tcW w:w="2338" w:type="dxa"/>
          </w:tcPr>
          <w:p w:rsidR="006A191C" w:rsidRDefault="006A191C" w:rsidP="00E554F3">
            <w:pPr>
              <w:jc w:val="center"/>
            </w:pPr>
            <w:r>
              <w:t>-2.26%</w:t>
            </w:r>
          </w:p>
        </w:tc>
        <w:tc>
          <w:tcPr>
            <w:tcW w:w="2338" w:type="dxa"/>
          </w:tcPr>
          <w:p w:rsidR="006A191C" w:rsidRDefault="006A191C" w:rsidP="00E554F3">
            <w:pPr>
              <w:jc w:val="center"/>
            </w:pPr>
            <w:r>
              <w:t>-1.40%</w:t>
            </w:r>
          </w:p>
        </w:tc>
      </w:tr>
      <w:tr w:rsidR="006A191C" w:rsidTr="00E554F3">
        <w:tc>
          <w:tcPr>
            <w:tcW w:w="9350" w:type="dxa"/>
            <w:gridSpan w:val="4"/>
          </w:tcPr>
          <w:p w:rsidR="006A191C" w:rsidRDefault="006A191C" w:rsidP="006A191C">
            <w:pPr>
              <w:jc w:val="center"/>
            </w:pPr>
            <w:r>
              <w:t>Table 11</w:t>
            </w:r>
            <w:r>
              <w:t>.4</w:t>
            </w:r>
            <w:r>
              <w:t xml:space="preserve"> – Load </w:t>
            </w:r>
            <w:r>
              <w:t xml:space="preserve">resistance </w:t>
            </w:r>
            <w:r>
              <w:t xml:space="preserve">analysis </w:t>
            </w:r>
          </w:p>
        </w:tc>
      </w:tr>
    </w:tbl>
    <w:p w:rsidR="00CA1F7A" w:rsidRPr="00CA1F7A" w:rsidRDefault="00CA1F7A" w:rsidP="000D5973">
      <w:pPr>
        <w:rPr>
          <w:b/>
          <w:sz w:val="28"/>
        </w:rPr>
      </w:pPr>
      <w:r w:rsidRPr="00CA1F7A">
        <w:rPr>
          <w:b/>
          <w:sz w:val="28"/>
        </w:rPr>
        <w:lastRenderedPageBreak/>
        <w:t>Questions</w:t>
      </w:r>
    </w:p>
    <w:p w:rsidR="00CA1F7A" w:rsidRPr="007416DE" w:rsidRDefault="00CA1F7A" w:rsidP="00CA1F7A">
      <w:pPr>
        <w:pStyle w:val="ListParagraph"/>
        <w:numPr>
          <w:ilvl w:val="0"/>
          <w:numId w:val="6"/>
        </w:numPr>
      </w:pPr>
      <w:r w:rsidRPr="00CA1F7A">
        <w:t>Yes.</w:t>
      </w:r>
      <w:r w:rsidR="007416DE">
        <w:t xml:space="preserve"> The reason is </w:t>
      </w:r>
      <w:proofErr w:type="spellStart"/>
      <w:r w:rsidR="007416DE" w:rsidRPr="007416DE">
        <w:rPr>
          <w:color w:val="2C3E50"/>
          <w:shd w:val="clear" w:color="auto" w:fill="FFFFFF"/>
        </w:rPr>
        <w:t>Thevenin’s</w:t>
      </w:r>
      <w:proofErr w:type="spellEnd"/>
      <w:r w:rsidR="007416DE" w:rsidRPr="007416DE">
        <w:rPr>
          <w:color w:val="2C3E50"/>
          <w:shd w:val="clear" w:color="auto" w:fill="FFFFFF"/>
        </w:rPr>
        <w:t xml:space="preserve"> Theorem is useful in analyzing power systems and other circuits where one particular resistor in the </w:t>
      </w:r>
      <w:r w:rsidR="002D30FB">
        <w:rPr>
          <w:color w:val="2C3E50"/>
          <w:shd w:val="clear" w:color="auto" w:fill="FFFFFF"/>
        </w:rPr>
        <w:t xml:space="preserve">network </w:t>
      </w:r>
      <w:r w:rsidR="007416DE" w:rsidRPr="007416DE">
        <w:rPr>
          <w:color w:val="2C3E50"/>
          <w:shd w:val="clear" w:color="auto" w:fill="FFFFFF"/>
        </w:rPr>
        <w:t>is subject to change, and re-calculation of the circuit is necessary with each trial value of load resistance, to determine voltage across it and current through it.</w:t>
      </w:r>
      <w:r w:rsidR="007416DE">
        <w:rPr>
          <w:color w:val="2C3E50"/>
          <w:shd w:val="clear" w:color="auto" w:fill="FFFFFF"/>
        </w:rPr>
        <w:t xml:space="preserve"> So you will have the same result as the voltage and current as the original circuit. </w:t>
      </w:r>
      <w:r w:rsidR="002D30FB">
        <w:rPr>
          <w:color w:val="2C3E50"/>
          <w:shd w:val="clear" w:color="auto" w:fill="FFFFFF"/>
        </w:rPr>
        <w:t>In other words, the Power will also be the same.</w:t>
      </w:r>
    </w:p>
    <w:p w:rsidR="007416DE" w:rsidRPr="007416DE" w:rsidRDefault="007416DE" w:rsidP="007416DE">
      <w:pPr>
        <w:rPr>
          <w:b/>
          <w:sz w:val="28"/>
        </w:rPr>
      </w:pPr>
    </w:p>
    <w:p w:rsidR="007416DE" w:rsidRDefault="007416DE" w:rsidP="007416DE">
      <w:pPr>
        <w:rPr>
          <w:b/>
          <w:sz w:val="28"/>
        </w:rPr>
      </w:pPr>
      <w:r w:rsidRPr="007416DE">
        <w:rPr>
          <w:b/>
          <w:sz w:val="28"/>
        </w:rPr>
        <w:t>Conclusion</w:t>
      </w:r>
      <w:r>
        <w:rPr>
          <w:b/>
          <w:sz w:val="28"/>
        </w:rPr>
        <w:t xml:space="preserve"> </w:t>
      </w:r>
    </w:p>
    <w:p w:rsidR="007416DE" w:rsidRPr="007416DE" w:rsidRDefault="007416DE" w:rsidP="007416DE">
      <w:pPr>
        <w:shd w:val="clear" w:color="auto" w:fill="FFFFFF"/>
        <w:spacing w:before="100" w:beforeAutospacing="1" w:after="100" w:afterAutospacing="1" w:line="240" w:lineRule="auto"/>
        <w:jc w:val="both"/>
        <w:rPr>
          <w:rFonts w:eastAsia="Times New Roman" w:cs="Times New Roman"/>
          <w:color w:val="2C3E50"/>
          <w:sz w:val="24"/>
          <w:szCs w:val="24"/>
        </w:rPr>
      </w:pPr>
      <w:r w:rsidRPr="007416DE">
        <w:rPr>
          <w:sz w:val="24"/>
          <w:szCs w:val="24"/>
        </w:rPr>
        <w:t xml:space="preserve">In this lab, </w:t>
      </w:r>
      <w:proofErr w:type="spellStart"/>
      <w:r w:rsidRPr="007416DE">
        <w:rPr>
          <w:color w:val="2C3E50"/>
          <w:sz w:val="24"/>
          <w:szCs w:val="24"/>
          <w:shd w:val="clear" w:color="auto" w:fill="FFFFFF"/>
        </w:rPr>
        <w:t>Thevenin’s</w:t>
      </w:r>
      <w:proofErr w:type="spellEnd"/>
      <w:r w:rsidRPr="007416DE">
        <w:rPr>
          <w:color w:val="2C3E50"/>
          <w:sz w:val="24"/>
          <w:szCs w:val="24"/>
          <w:shd w:val="clear" w:color="auto" w:fill="FFFFFF"/>
        </w:rPr>
        <w:t xml:space="preserve"> Theorem </w:t>
      </w:r>
      <w:r w:rsidR="002D30FB">
        <w:rPr>
          <w:color w:val="2C3E50"/>
          <w:sz w:val="24"/>
          <w:szCs w:val="24"/>
          <w:shd w:val="clear" w:color="auto" w:fill="FFFFFF"/>
        </w:rPr>
        <w:t xml:space="preserve">talks about </w:t>
      </w:r>
      <w:r w:rsidRPr="007416DE">
        <w:rPr>
          <w:color w:val="2C3E50"/>
          <w:sz w:val="24"/>
          <w:szCs w:val="24"/>
          <w:shd w:val="clear" w:color="auto" w:fill="FFFFFF"/>
        </w:rPr>
        <w:t>that it is possible to simplify any linear circuit, no matter how complex, to an equivalent circuit with just a single voltage source and series resistance connected to a load. The qualification of “linear” is identical to that found in the Superposition Theorem, where all the underlying equations must be linear (no exponents or roots). If we’re dealing with passive components (such as resistors</w:t>
      </w:r>
      <w:r w:rsidR="002D30FB">
        <w:rPr>
          <w:color w:val="2C3E50"/>
          <w:sz w:val="24"/>
          <w:szCs w:val="24"/>
          <w:shd w:val="clear" w:color="auto" w:fill="FFFFFF"/>
        </w:rPr>
        <w:t>).</w:t>
      </w:r>
      <w:r w:rsidRPr="007416DE">
        <w:rPr>
          <w:color w:val="2C3E50"/>
          <w:sz w:val="24"/>
          <w:szCs w:val="24"/>
          <w:shd w:val="clear" w:color="auto" w:fill="FFFFFF"/>
        </w:rPr>
        <w:t xml:space="preserve"> The advantage in performing the “</w:t>
      </w:r>
      <w:proofErr w:type="spellStart"/>
      <w:r w:rsidRPr="007416DE">
        <w:rPr>
          <w:color w:val="2C3E50"/>
          <w:sz w:val="24"/>
          <w:szCs w:val="24"/>
          <w:shd w:val="clear" w:color="auto" w:fill="FFFFFF"/>
        </w:rPr>
        <w:t>Thevenin</w:t>
      </w:r>
      <w:proofErr w:type="spellEnd"/>
      <w:r w:rsidRPr="007416DE">
        <w:rPr>
          <w:color w:val="2C3E50"/>
          <w:sz w:val="24"/>
          <w:szCs w:val="24"/>
          <w:shd w:val="clear" w:color="auto" w:fill="FFFFFF"/>
        </w:rPr>
        <w:t xml:space="preserve"> conversion” to the simpler circuit, of course, is that it makes load voltage and load current so much easier to solve than in the original network. Calculating the equivalent </w:t>
      </w:r>
      <w:proofErr w:type="spellStart"/>
      <w:r w:rsidRPr="007416DE">
        <w:rPr>
          <w:color w:val="2C3E50"/>
          <w:sz w:val="24"/>
          <w:szCs w:val="24"/>
          <w:shd w:val="clear" w:color="auto" w:fill="FFFFFF"/>
        </w:rPr>
        <w:t>Thevenin</w:t>
      </w:r>
      <w:proofErr w:type="spellEnd"/>
      <w:r w:rsidRPr="007416DE">
        <w:rPr>
          <w:color w:val="2C3E50"/>
          <w:sz w:val="24"/>
          <w:szCs w:val="24"/>
          <w:shd w:val="clear" w:color="auto" w:fill="FFFFFF"/>
        </w:rPr>
        <w:t xml:space="preserve"> source voltage and series resistance is actually quite easy. First, the chosen load resistor is removed from the original circuit, replaced with a break (open circuit)</w:t>
      </w:r>
      <w:r w:rsidRPr="007416DE">
        <w:rPr>
          <w:color w:val="2C3E50"/>
          <w:sz w:val="24"/>
          <w:szCs w:val="24"/>
          <w:shd w:val="clear" w:color="auto" w:fill="FFFFFF"/>
        </w:rPr>
        <w:t xml:space="preserve">. </w:t>
      </w:r>
      <w:proofErr w:type="spellStart"/>
      <w:r w:rsidRPr="007416DE">
        <w:rPr>
          <w:rFonts w:eastAsia="Times New Roman" w:cs="Times New Roman"/>
          <w:color w:val="2C3E50"/>
          <w:sz w:val="24"/>
          <w:szCs w:val="24"/>
        </w:rPr>
        <w:t>Thevenin’s</w:t>
      </w:r>
      <w:proofErr w:type="spellEnd"/>
      <w:r w:rsidRPr="007416DE">
        <w:rPr>
          <w:rFonts w:eastAsia="Times New Roman" w:cs="Times New Roman"/>
          <w:color w:val="2C3E50"/>
          <w:sz w:val="24"/>
          <w:szCs w:val="24"/>
        </w:rPr>
        <w:t xml:space="preserve"> Theorem is a way to reduce a network to an equivalent circuit composed of a single voltage source, series resistance, and series load.</w:t>
      </w:r>
      <w:r w:rsidR="00951FEC">
        <w:rPr>
          <w:rFonts w:eastAsia="Times New Roman" w:cs="Times New Roman"/>
          <w:color w:val="2C3E50"/>
          <w:sz w:val="24"/>
          <w:szCs w:val="24"/>
        </w:rPr>
        <w:t xml:space="preserve"> As we are doing the lab, we use the nodal analysis or mesh analysis to simplify the original circuit to a series circuit or a parallel circuit to connect with the load resistor. Then we can using ohm’s law, CDR or VDR to get the voltage across and current through that resistor. </w:t>
      </w:r>
    </w:p>
    <w:p w:rsidR="007416DE" w:rsidRPr="007416DE" w:rsidRDefault="007416DE" w:rsidP="007416DE">
      <w:pPr>
        <w:rPr>
          <w:sz w:val="24"/>
          <w:szCs w:val="24"/>
        </w:rPr>
      </w:pPr>
      <w:bookmarkStart w:id="0" w:name="_GoBack"/>
      <w:bookmarkEnd w:id="0"/>
    </w:p>
    <w:sectPr w:rsidR="007416DE" w:rsidRPr="00741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BD0E3B"/>
    <w:multiLevelType w:val="hybridMultilevel"/>
    <w:tmpl w:val="DD8E53E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9EE322E"/>
    <w:multiLevelType w:val="hybridMultilevel"/>
    <w:tmpl w:val="2CFC3C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39D3179"/>
    <w:multiLevelType w:val="hybridMultilevel"/>
    <w:tmpl w:val="8D9C22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76B0ED4"/>
    <w:multiLevelType w:val="hybridMultilevel"/>
    <w:tmpl w:val="FEACC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2B3CB3"/>
    <w:multiLevelType w:val="multilevel"/>
    <w:tmpl w:val="ABF0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FA4151"/>
    <w:multiLevelType w:val="hybridMultilevel"/>
    <w:tmpl w:val="1264D7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237B05"/>
    <w:multiLevelType w:val="hybridMultilevel"/>
    <w:tmpl w:val="AE3C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2"/>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5B6"/>
    <w:rsid w:val="000D5973"/>
    <w:rsid w:val="002D30FB"/>
    <w:rsid w:val="006A191C"/>
    <w:rsid w:val="007416DE"/>
    <w:rsid w:val="00951FEC"/>
    <w:rsid w:val="00BE25B6"/>
    <w:rsid w:val="00C135BE"/>
    <w:rsid w:val="00CA1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812324-7A83-4D2C-AAEE-B55C5D2E7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25B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973"/>
    <w:pPr>
      <w:ind w:left="720"/>
      <w:contextualSpacing/>
    </w:pPr>
  </w:style>
  <w:style w:type="table" w:styleId="TableGrid">
    <w:name w:val="Table Grid"/>
    <w:basedOn w:val="TableNormal"/>
    <w:uiPriority w:val="39"/>
    <w:rsid w:val="000D59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5973"/>
    <w:rPr>
      <w:color w:val="808080"/>
    </w:rPr>
  </w:style>
  <w:style w:type="character" w:customStyle="1" w:styleId="apple-converted-space">
    <w:name w:val="apple-converted-space"/>
    <w:basedOn w:val="DefaultParagraphFont"/>
    <w:rsid w:val="007416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95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cp:revision>
  <dcterms:created xsi:type="dcterms:W3CDTF">2016-11-18T15:25:00Z</dcterms:created>
  <dcterms:modified xsi:type="dcterms:W3CDTF">2016-11-18T16:01:00Z</dcterms:modified>
</cp:coreProperties>
</file>