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8DB" w:rsidRDefault="006C60D1">
      <w:r>
        <w:t>Q1.</w:t>
      </w:r>
    </w:p>
    <w:p w:rsidR="007403F7" w:rsidRDefault="007403F7">
      <w:r>
        <w:t>A</w:t>
      </w:r>
    </w:p>
    <w:p w:rsidR="007403F7" w:rsidRDefault="007403F7" w:rsidP="007403F7">
      <w:pPr>
        <w:jc w:val="both"/>
        <w:rPr>
          <w:rFonts w:cstheme="minorHAnsi"/>
          <w:color w:val="252525"/>
          <w:shd w:val="clear" w:color="auto" w:fill="FFFFFF"/>
        </w:rPr>
      </w:pPr>
      <w:r>
        <w:rPr>
          <w:rFonts w:cstheme="minorHAnsi"/>
          <w:b/>
        </w:rPr>
        <w:t>Long-</w:t>
      </w:r>
      <w:r w:rsidR="006C60D1" w:rsidRPr="007403F7">
        <w:rPr>
          <w:rFonts w:cstheme="minorHAnsi"/>
          <w:b/>
        </w:rPr>
        <w:t>Run Aggregate Supply</w:t>
      </w:r>
      <w:r w:rsidR="006C60D1" w:rsidRPr="007403F7">
        <w:rPr>
          <w:rFonts w:cstheme="minorHAnsi"/>
        </w:rPr>
        <w:t xml:space="preserve"> </w:t>
      </w:r>
      <w:r w:rsidR="006C60D1" w:rsidRPr="007403F7">
        <w:rPr>
          <w:rFonts w:cstheme="minorHAnsi"/>
          <w:b/>
        </w:rPr>
        <w:t>Curve</w:t>
      </w:r>
      <w:r w:rsidR="00F979BC" w:rsidRPr="007403F7">
        <w:rPr>
          <w:rFonts w:cstheme="minorHAnsi"/>
          <w:b/>
        </w:rPr>
        <w:t>:</w:t>
      </w:r>
      <w:r w:rsidR="006C60D1" w:rsidRPr="007403F7">
        <w:rPr>
          <w:rFonts w:cstheme="minorHAnsi"/>
          <w:b/>
        </w:rPr>
        <w:t xml:space="preserve"> </w:t>
      </w:r>
      <w:r w:rsidR="00F979BC" w:rsidRPr="007403F7">
        <w:rPr>
          <w:rFonts w:cstheme="minorHAnsi"/>
          <w:color w:val="252525"/>
          <w:shd w:val="clear" w:color="auto" w:fill="FFFFFF"/>
        </w:rPr>
        <w:t>is shown as perfectly vertical</w:t>
      </w:r>
      <w:r w:rsidRPr="007403F7">
        <w:rPr>
          <w:rFonts w:cstheme="minorHAnsi"/>
          <w:color w:val="252525"/>
          <w:shd w:val="clear" w:color="auto" w:fill="FFFFFF"/>
        </w:rPr>
        <w:t xml:space="preserve"> in the graph, the Real GDP will not be changed. The reason is at this point everything in the economy is assumed to be used optimally.</w:t>
      </w:r>
      <w:r>
        <w:rPr>
          <w:rFonts w:cstheme="minorHAnsi"/>
          <w:color w:val="252525"/>
          <w:shd w:val="clear" w:color="auto" w:fill="FFFFFF"/>
        </w:rPr>
        <w:t xml:space="preserve"> In other words, the </w:t>
      </w:r>
      <w:r w:rsidRPr="007403F7">
        <w:rPr>
          <w:rFonts w:cstheme="minorHAnsi"/>
          <w:noProof/>
          <w:color w:val="252525"/>
          <w:shd w:val="clear" w:color="auto" w:fill="FFFFFF"/>
        </w:rPr>
        <w:t>cost</w:t>
      </w:r>
      <w:r>
        <w:rPr>
          <w:rFonts w:cstheme="minorHAnsi"/>
          <w:color w:val="252525"/>
          <w:shd w:val="clear" w:color="auto" w:fill="FFFFFF"/>
        </w:rPr>
        <w:t xml:space="preserve"> of </w:t>
      </w:r>
      <w:r w:rsidRPr="007403F7">
        <w:rPr>
          <w:rFonts w:cstheme="minorHAnsi"/>
          <w:noProof/>
          <w:color w:val="252525"/>
          <w:shd w:val="clear" w:color="auto" w:fill="FFFFFF"/>
        </w:rPr>
        <w:t>i</w:t>
      </w:r>
      <w:r>
        <w:rPr>
          <w:rFonts w:cstheme="minorHAnsi"/>
          <w:noProof/>
          <w:color w:val="252525"/>
          <w:shd w:val="clear" w:color="auto" w:fill="FFFFFF"/>
        </w:rPr>
        <w:t>n</w:t>
      </w:r>
      <w:r w:rsidRPr="007403F7">
        <w:rPr>
          <w:rFonts w:cstheme="minorHAnsi"/>
          <w:noProof/>
          <w:color w:val="252525"/>
          <w:shd w:val="clear" w:color="auto" w:fill="FFFFFF"/>
        </w:rPr>
        <w:t>puts</w:t>
      </w:r>
      <w:r>
        <w:rPr>
          <w:rFonts w:cstheme="minorHAnsi"/>
          <w:color w:val="252525"/>
          <w:shd w:val="clear" w:color="auto" w:fill="FFFFFF"/>
        </w:rPr>
        <w:t xml:space="preserve"> and price of the output are equal, so the profit will be zero.</w:t>
      </w:r>
    </w:p>
    <w:p w:rsidR="007403F7" w:rsidRPr="007403F7" w:rsidRDefault="00F979BC" w:rsidP="007403F7">
      <w:pPr>
        <w:jc w:val="both"/>
        <w:rPr>
          <w:rFonts w:cstheme="minorHAnsi"/>
        </w:rPr>
      </w:pPr>
      <w:r w:rsidRPr="007403F7">
        <w:rPr>
          <w:b/>
        </w:rPr>
        <w:t>Intermediate Run Aggregate Supply Curve</w:t>
      </w:r>
      <w:r w:rsidR="007403F7" w:rsidRPr="007403F7">
        <w:rPr>
          <w:b/>
        </w:rPr>
        <w:t>:</w:t>
      </w:r>
      <w:r w:rsidRPr="007403F7">
        <w:rPr>
          <w:b/>
        </w:rPr>
        <w:t xml:space="preserve"> </w:t>
      </w:r>
      <w:r w:rsidR="007403F7">
        <w:t xml:space="preserve"> as an </w:t>
      </w:r>
      <w:r w:rsidR="007403F7" w:rsidRPr="007403F7">
        <w:rPr>
          <w:noProof/>
        </w:rPr>
        <w:t>inter</w:t>
      </w:r>
      <w:r w:rsidR="007403F7">
        <w:rPr>
          <w:noProof/>
        </w:rPr>
        <w:t>i</w:t>
      </w:r>
      <w:r w:rsidR="007403F7" w:rsidRPr="007403F7">
        <w:rPr>
          <w:noProof/>
        </w:rPr>
        <w:t xml:space="preserve">m </w:t>
      </w:r>
      <w:r w:rsidR="007403F7">
        <w:rPr>
          <w:noProof/>
        </w:rPr>
        <w:t xml:space="preserve">between LRAS and SRAS, the MRAS reflects that  input prices gradually adjust to </w:t>
      </w:r>
      <w:r w:rsidR="007403F7" w:rsidRPr="007403F7">
        <w:rPr>
          <w:noProof/>
        </w:rPr>
        <w:t>output a</w:t>
      </w:r>
      <w:r w:rsidR="007403F7">
        <w:rPr>
          <w:noProof/>
        </w:rPr>
        <w:t xml:space="preserve"> </w:t>
      </w:r>
      <w:r w:rsidR="007403F7" w:rsidRPr="007403F7">
        <w:rPr>
          <w:noProof/>
        </w:rPr>
        <w:t>price</w:t>
      </w:r>
      <w:r w:rsidR="007403F7">
        <w:rPr>
          <w:noProof/>
        </w:rPr>
        <w:t xml:space="preserve">. There is time-lag between the adjustment of </w:t>
      </w:r>
      <w:r w:rsidR="007403F7" w:rsidRPr="007403F7">
        <w:rPr>
          <w:noProof/>
        </w:rPr>
        <w:t>i</w:t>
      </w:r>
      <w:r w:rsidR="007403F7">
        <w:rPr>
          <w:noProof/>
        </w:rPr>
        <w:t>n</w:t>
      </w:r>
      <w:r w:rsidR="007403F7" w:rsidRPr="007403F7">
        <w:rPr>
          <w:noProof/>
        </w:rPr>
        <w:t>put</w:t>
      </w:r>
      <w:r w:rsidR="007403F7">
        <w:rPr>
          <w:noProof/>
        </w:rPr>
        <w:t xml:space="preserve"> price and output prices.</w:t>
      </w:r>
    </w:p>
    <w:p w:rsidR="007403F7" w:rsidRDefault="007403F7" w:rsidP="007403F7">
      <w:pPr>
        <w:jc w:val="both"/>
      </w:pPr>
      <w:r w:rsidRPr="007403F7">
        <w:rPr>
          <w:b/>
          <w:noProof/>
        </w:rPr>
        <w:t>Short</w:t>
      </w:r>
      <w:r>
        <w:rPr>
          <w:b/>
          <w:noProof/>
        </w:rPr>
        <w:t>-</w:t>
      </w:r>
      <w:r w:rsidRPr="007403F7">
        <w:rPr>
          <w:b/>
          <w:noProof/>
        </w:rPr>
        <w:t>Run</w:t>
      </w:r>
      <w:r w:rsidRPr="007403F7">
        <w:rPr>
          <w:b/>
        </w:rPr>
        <w:t xml:space="preserve"> Aggregate Supply Curve:</w:t>
      </w:r>
      <w:r>
        <w:rPr>
          <w:b/>
        </w:rPr>
        <w:t xml:space="preserve"> </w:t>
      </w:r>
      <w:r>
        <w:t>shows the amount of real GDP supplied increases if the price level rises.</w:t>
      </w:r>
    </w:p>
    <w:p w:rsidR="007403F7" w:rsidRDefault="007403F7" w:rsidP="007403F7">
      <w:pPr>
        <w:jc w:val="both"/>
      </w:pPr>
      <w:r>
        <w:t xml:space="preserve">The classical school of thought </w:t>
      </w:r>
      <w:r w:rsidRPr="007403F7">
        <w:rPr>
          <w:noProof/>
        </w:rPr>
        <w:t>accentuate</w:t>
      </w:r>
      <w:r>
        <w:rPr>
          <w:noProof/>
        </w:rPr>
        <w:t>s</w:t>
      </w:r>
      <w:r>
        <w:t xml:space="preserve"> the supply-side </w:t>
      </w:r>
      <w:proofErr w:type="gramStart"/>
      <w:r>
        <w:t>economy,</w:t>
      </w:r>
      <w:proofErr w:type="gramEnd"/>
      <w:r>
        <w:t xml:space="preserve"> however, the Keynesian school emphasizes the demand-side economy.</w:t>
      </w:r>
    </w:p>
    <w:p w:rsidR="007403F7" w:rsidRDefault="007403F7" w:rsidP="007403F7">
      <w:pPr>
        <w:jc w:val="both"/>
      </w:pPr>
      <w:r>
        <w:t>B</w:t>
      </w:r>
    </w:p>
    <w:p w:rsidR="007403F7" w:rsidRDefault="007403F7" w:rsidP="007403F7">
      <w:pPr>
        <w:jc w:val="both"/>
        <w:rPr>
          <w:noProof/>
        </w:rPr>
      </w:pPr>
      <w:r>
        <w:t xml:space="preserve">Only the non-price level factors can shift/change AS and AD curve. For AD, the factors are </w:t>
      </w:r>
      <w:r w:rsidRPr="007403F7">
        <w:rPr>
          <w:noProof/>
        </w:rPr>
        <w:t>e</w:t>
      </w:r>
      <w:r>
        <w:rPr>
          <w:noProof/>
        </w:rPr>
        <w:t>x</w:t>
      </w:r>
      <w:r w:rsidRPr="007403F7">
        <w:rPr>
          <w:noProof/>
        </w:rPr>
        <w:t>pectations</w:t>
      </w:r>
      <w:r>
        <w:rPr>
          <w:noProof/>
        </w:rPr>
        <w:t xml:space="preserve">, Foreign income and price levels, and fiscal policies. For AS, the factors will be the resource prices, </w:t>
      </w:r>
      <w:r w:rsidRPr="007403F7">
        <w:rPr>
          <w:noProof/>
        </w:rPr>
        <w:t>technology</w:t>
      </w:r>
      <w:r>
        <w:rPr>
          <w:noProof/>
        </w:rPr>
        <w:t>, and expectations.</w:t>
      </w:r>
    </w:p>
    <w:p w:rsidR="007403F7" w:rsidRDefault="007403F7" w:rsidP="007403F7">
      <w:pPr>
        <w:jc w:val="both"/>
        <w:rPr>
          <w:noProof/>
        </w:rPr>
      </w:pPr>
      <w:r>
        <w:rPr>
          <w:noProof/>
        </w:rPr>
        <w:t xml:space="preserve">In the </w:t>
      </w:r>
      <w:r w:rsidRPr="007403F7">
        <w:rPr>
          <w:noProof/>
        </w:rPr>
        <w:t>ma</w:t>
      </w:r>
      <w:r>
        <w:rPr>
          <w:noProof/>
        </w:rPr>
        <w:t>cr</w:t>
      </w:r>
      <w:r w:rsidRPr="007403F7">
        <w:rPr>
          <w:noProof/>
        </w:rPr>
        <w:t>oeconomic</w:t>
      </w:r>
      <w:r>
        <w:rPr>
          <w:noProof/>
        </w:rPr>
        <w:t xml:space="preserve">, the difference between long-run and short-run </w:t>
      </w:r>
      <w:r w:rsidRPr="007403F7">
        <w:rPr>
          <w:noProof/>
        </w:rPr>
        <w:t>equili</w:t>
      </w:r>
      <w:r>
        <w:rPr>
          <w:noProof/>
        </w:rPr>
        <w:t xml:space="preserve">briums are the long-run equilibrium happens when three </w:t>
      </w:r>
      <w:r w:rsidRPr="007403F7">
        <w:rPr>
          <w:noProof/>
        </w:rPr>
        <w:t>curve</w:t>
      </w:r>
      <w:r>
        <w:rPr>
          <w:noProof/>
        </w:rPr>
        <w:t xml:space="preserve">s intersect(SRAS, LRAS, AD). However, the </w:t>
      </w:r>
      <w:r w:rsidRPr="007403F7">
        <w:rPr>
          <w:noProof/>
        </w:rPr>
        <w:t>shor</w:t>
      </w:r>
      <w:r>
        <w:rPr>
          <w:noProof/>
        </w:rPr>
        <w:t xml:space="preserve">t-run equilibrium only </w:t>
      </w:r>
      <w:r w:rsidRPr="007403F7">
        <w:rPr>
          <w:noProof/>
        </w:rPr>
        <w:t>need</w:t>
      </w:r>
      <w:r>
        <w:rPr>
          <w:noProof/>
        </w:rPr>
        <w:t xml:space="preserve">s two curves intersect ( SRAS &amp; AD). </w:t>
      </w:r>
    </w:p>
    <w:p w:rsidR="007403F7" w:rsidRDefault="007403F7" w:rsidP="007403F7">
      <w:pPr>
        <w:jc w:val="both"/>
        <w:rPr>
          <w:noProof/>
        </w:rPr>
      </w:pPr>
      <w:r>
        <w:rPr>
          <w:noProof/>
        </w:rPr>
        <w:t>In the graph, the points B &amp; C reflect the short-run equilibriums, and the points A &amp; D are the long-run equilibriums.</w:t>
      </w:r>
    </w:p>
    <w:p w:rsidR="007403F7" w:rsidRDefault="007403F7" w:rsidP="007403F7">
      <w:pPr>
        <w:jc w:val="both"/>
        <w:rPr>
          <w:noProof/>
        </w:rPr>
      </w:pPr>
    </w:p>
    <w:p w:rsidR="007403F7" w:rsidRDefault="007403F7" w:rsidP="007403F7">
      <w:pPr>
        <w:jc w:val="both"/>
        <w:rPr>
          <w:noProof/>
        </w:rPr>
      </w:pPr>
      <w:r>
        <w:rPr>
          <w:noProof/>
        </w:rPr>
        <w:t>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523"/>
        <w:gridCol w:w="1072"/>
        <w:gridCol w:w="1410"/>
        <w:gridCol w:w="1311"/>
        <w:gridCol w:w="1311"/>
        <w:gridCol w:w="1311"/>
      </w:tblGrid>
      <w:tr w:rsidR="007403F7" w:rsidTr="000F00DF">
        <w:tc>
          <w:tcPr>
            <w:tcW w:w="1412" w:type="dxa"/>
            <w:shd w:val="clear" w:color="auto" w:fill="BFBFBF" w:themeFill="background1" w:themeFillShade="BF"/>
            <w:vAlign w:val="center"/>
          </w:tcPr>
          <w:p w:rsidR="007403F7" w:rsidRPr="000F00DF" w:rsidRDefault="007403F7" w:rsidP="007403F7">
            <w:pPr>
              <w:pStyle w:val="Default"/>
              <w:jc w:val="center"/>
              <w:rPr>
                <w:b/>
                <w:sz w:val="22"/>
              </w:rPr>
            </w:pPr>
            <w:r w:rsidRPr="000F00DF">
              <w:rPr>
                <w:b/>
                <w:sz w:val="22"/>
              </w:rPr>
              <w:t>Disposable Income (</w:t>
            </w:r>
            <w:proofErr w:type="spellStart"/>
            <w:r w:rsidRPr="000F00DF">
              <w:rPr>
                <w:b/>
                <w:sz w:val="22"/>
              </w:rPr>
              <w:t>Yd</w:t>
            </w:r>
            <w:proofErr w:type="spellEnd"/>
            <w:r w:rsidRPr="000F00DF">
              <w:rPr>
                <w:b/>
                <w:sz w:val="22"/>
              </w:rPr>
              <w:t>)</w:t>
            </w:r>
          </w:p>
        </w:tc>
        <w:tc>
          <w:tcPr>
            <w:tcW w:w="1523" w:type="dxa"/>
            <w:shd w:val="clear" w:color="auto" w:fill="BFBFBF" w:themeFill="background1" w:themeFillShade="BF"/>
            <w:vAlign w:val="center"/>
          </w:tcPr>
          <w:p w:rsidR="007403F7" w:rsidRPr="000F00DF" w:rsidRDefault="007403F7" w:rsidP="007403F7">
            <w:pPr>
              <w:pStyle w:val="Default"/>
              <w:jc w:val="center"/>
              <w:rPr>
                <w:b/>
                <w:sz w:val="22"/>
              </w:rPr>
            </w:pPr>
            <w:r w:rsidRPr="000F00DF">
              <w:rPr>
                <w:b/>
                <w:sz w:val="22"/>
              </w:rPr>
              <w:t>Consumption</w:t>
            </w:r>
          </w:p>
        </w:tc>
        <w:tc>
          <w:tcPr>
            <w:tcW w:w="1072" w:type="dxa"/>
            <w:shd w:val="clear" w:color="auto" w:fill="BFBFBF" w:themeFill="background1" w:themeFillShade="BF"/>
            <w:vAlign w:val="center"/>
          </w:tcPr>
          <w:p w:rsidR="007403F7" w:rsidRPr="000F00DF" w:rsidRDefault="007403F7" w:rsidP="007403F7">
            <w:pPr>
              <w:pStyle w:val="Default"/>
              <w:jc w:val="center"/>
              <w:rPr>
                <w:b/>
                <w:sz w:val="22"/>
              </w:rPr>
            </w:pPr>
            <w:r w:rsidRPr="000F00DF">
              <w:rPr>
                <w:b/>
                <w:sz w:val="22"/>
              </w:rPr>
              <w:t>Saving</w:t>
            </w:r>
          </w:p>
        </w:tc>
        <w:tc>
          <w:tcPr>
            <w:tcW w:w="1410" w:type="dxa"/>
            <w:shd w:val="clear" w:color="auto" w:fill="BFBFBF" w:themeFill="background1" w:themeFillShade="BF"/>
            <w:vAlign w:val="center"/>
          </w:tcPr>
          <w:p w:rsidR="007403F7" w:rsidRPr="000F00DF" w:rsidRDefault="007403F7" w:rsidP="007403F7">
            <w:pPr>
              <w:pStyle w:val="Default"/>
              <w:jc w:val="center"/>
              <w:rPr>
                <w:b/>
                <w:sz w:val="22"/>
              </w:rPr>
            </w:pPr>
            <w:r w:rsidRPr="000F00DF">
              <w:rPr>
                <w:b/>
                <w:sz w:val="22"/>
              </w:rPr>
              <w:t>Average propensity to consume</w:t>
            </w:r>
          </w:p>
        </w:tc>
        <w:tc>
          <w:tcPr>
            <w:tcW w:w="1311" w:type="dxa"/>
            <w:shd w:val="clear" w:color="auto" w:fill="BFBFBF" w:themeFill="background1" w:themeFillShade="BF"/>
            <w:vAlign w:val="center"/>
          </w:tcPr>
          <w:p w:rsidR="007403F7" w:rsidRPr="000F00DF" w:rsidRDefault="007403F7" w:rsidP="007403F7">
            <w:pPr>
              <w:pStyle w:val="Default"/>
              <w:jc w:val="center"/>
              <w:rPr>
                <w:b/>
                <w:sz w:val="22"/>
              </w:rPr>
            </w:pPr>
            <w:r w:rsidRPr="000F00DF">
              <w:rPr>
                <w:b/>
                <w:sz w:val="22"/>
              </w:rPr>
              <w:t>Average propensity to save</w:t>
            </w:r>
          </w:p>
        </w:tc>
        <w:tc>
          <w:tcPr>
            <w:tcW w:w="1311" w:type="dxa"/>
            <w:shd w:val="clear" w:color="auto" w:fill="BFBFBF" w:themeFill="background1" w:themeFillShade="BF"/>
            <w:vAlign w:val="center"/>
          </w:tcPr>
          <w:p w:rsidR="007403F7" w:rsidRPr="000F00DF" w:rsidRDefault="007403F7" w:rsidP="007403F7">
            <w:pPr>
              <w:pStyle w:val="Default"/>
              <w:jc w:val="center"/>
              <w:rPr>
                <w:b/>
                <w:sz w:val="22"/>
              </w:rPr>
            </w:pPr>
            <w:r w:rsidRPr="000F00DF">
              <w:rPr>
                <w:b/>
                <w:sz w:val="22"/>
              </w:rPr>
              <w:t>Marginal propensity to consume</w:t>
            </w:r>
          </w:p>
        </w:tc>
        <w:tc>
          <w:tcPr>
            <w:tcW w:w="1311" w:type="dxa"/>
            <w:shd w:val="clear" w:color="auto" w:fill="BFBFBF" w:themeFill="background1" w:themeFillShade="BF"/>
            <w:vAlign w:val="center"/>
          </w:tcPr>
          <w:p w:rsidR="007403F7" w:rsidRPr="000F00DF" w:rsidRDefault="007403F7" w:rsidP="007403F7">
            <w:pPr>
              <w:pStyle w:val="Default"/>
              <w:jc w:val="center"/>
              <w:rPr>
                <w:b/>
                <w:sz w:val="22"/>
              </w:rPr>
            </w:pPr>
            <w:r w:rsidRPr="000F00DF">
              <w:rPr>
                <w:b/>
                <w:sz w:val="22"/>
              </w:rPr>
              <w:t>Marginal propensity to save</w:t>
            </w:r>
          </w:p>
        </w:tc>
      </w:tr>
      <w:tr w:rsidR="007403F7" w:rsidTr="000F00DF">
        <w:tc>
          <w:tcPr>
            <w:tcW w:w="1412" w:type="dxa"/>
            <w:shd w:val="clear" w:color="auto" w:fill="BFBFBF" w:themeFill="background1" w:themeFillShade="BF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$0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$50</w:t>
            </w:r>
          </w:p>
        </w:tc>
        <w:tc>
          <w:tcPr>
            <w:tcW w:w="1072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-$50</w:t>
            </w:r>
          </w:p>
        </w:tc>
        <w:tc>
          <w:tcPr>
            <w:tcW w:w="1410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7403F7" w:rsidTr="000F00DF">
        <w:tc>
          <w:tcPr>
            <w:tcW w:w="1412" w:type="dxa"/>
            <w:shd w:val="clear" w:color="auto" w:fill="BFBFBF" w:themeFill="background1" w:themeFillShade="BF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$100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$125</w:t>
            </w:r>
          </w:p>
        </w:tc>
        <w:tc>
          <w:tcPr>
            <w:tcW w:w="1072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-$25</w:t>
            </w:r>
          </w:p>
        </w:tc>
        <w:tc>
          <w:tcPr>
            <w:tcW w:w="1410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1.25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-0.25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0.75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0.25</w:t>
            </w:r>
          </w:p>
        </w:tc>
      </w:tr>
      <w:tr w:rsidR="007403F7" w:rsidTr="000F00DF">
        <w:tc>
          <w:tcPr>
            <w:tcW w:w="1412" w:type="dxa"/>
            <w:shd w:val="clear" w:color="auto" w:fill="BFBFBF" w:themeFill="background1" w:themeFillShade="BF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$200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$200</w:t>
            </w:r>
          </w:p>
        </w:tc>
        <w:tc>
          <w:tcPr>
            <w:tcW w:w="1072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$0</w:t>
            </w:r>
          </w:p>
        </w:tc>
        <w:tc>
          <w:tcPr>
            <w:tcW w:w="1410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0.75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0.25</w:t>
            </w:r>
          </w:p>
        </w:tc>
      </w:tr>
      <w:tr w:rsidR="007403F7" w:rsidTr="000F00DF">
        <w:tc>
          <w:tcPr>
            <w:tcW w:w="1412" w:type="dxa"/>
            <w:shd w:val="clear" w:color="auto" w:fill="BFBFBF" w:themeFill="background1" w:themeFillShade="BF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$300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$275</w:t>
            </w:r>
          </w:p>
        </w:tc>
        <w:tc>
          <w:tcPr>
            <w:tcW w:w="1072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$25</w:t>
            </w:r>
          </w:p>
        </w:tc>
        <w:tc>
          <w:tcPr>
            <w:tcW w:w="1410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0.92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0.08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0.75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0.25</w:t>
            </w:r>
          </w:p>
        </w:tc>
      </w:tr>
      <w:tr w:rsidR="007403F7" w:rsidTr="000F00DF">
        <w:tc>
          <w:tcPr>
            <w:tcW w:w="1412" w:type="dxa"/>
            <w:shd w:val="clear" w:color="auto" w:fill="BFBFBF" w:themeFill="background1" w:themeFillShade="BF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$400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$350</w:t>
            </w:r>
          </w:p>
        </w:tc>
        <w:tc>
          <w:tcPr>
            <w:tcW w:w="1072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$50</w:t>
            </w:r>
          </w:p>
        </w:tc>
        <w:tc>
          <w:tcPr>
            <w:tcW w:w="1410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0.875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0.125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0.75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0.25</w:t>
            </w:r>
          </w:p>
        </w:tc>
      </w:tr>
      <w:tr w:rsidR="007403F7" w:rsidTr="000F00DF">
        <w:tc>
          <w:tcPr>
            <w:tcW w:w="1412" w:type="dxa"/>
            <w:shd w:val="clear" w:color="auto" w:fill="BFBFBF" w:themeFill="background1" w:themeFillShade="BF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$500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$425</w:t>
            </w:r>
          </w:p>
        </w:tc>
        <w:tc>
          <w:tcPr>
            <w:tcW w:w="1072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$75</w:t>
            </w:r>
          </w:p>
        </w:tc>
        <w:tc>
          <w:tcPr>
            <w:tcW w:w="1410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0.85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0.15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0.75</w:t>
            </w:r>
          </w:p>
        </w:tc>
        <w:tc>
          <w:tcPr>
            <w:tcW w:w="1311" w:type="dxa"/>
          </w:tcPr>
          <w:p w:rsidR="007403F7" w:rsidRDefault="007403F7" w:rsidP="007403F7">
            <w:pPr>
              <w:jc w:val="center"/>
              <w:rPr>
                <w:noProof/>
              </w:rPr>
            </w:pPr>
            <w:r>
              <w:rPr>
                <w:noProof/>
              </w:rPr>
              <w:t>0.25</w:t>
            </w:r>
          </w:p>
        </w:tc>
      </w:tr>
    </w:tbl>
    <w:p w:rsidR="007403F7" w:rsidRDefault="007403F7" w:rsidP="007403F7">
      <w:pPr>
        <w:jc w:val="center"/>
        <w:rPr>
          <w:noProof/>
        </w:rPr>
      </w:pPr>
    </w:p>
    <w:p w:rsidR="007403F7" w:rsidRDefault="0033599D" w:rsidP="007403F7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0F00DF" w:rsidRDefault="000F00DF" w:rsidP="007403F7">
      <w:pPr>
        <w:jc w:val="both"/>
        <w:rPr>
          <w:noProof/>
        </w:rPr>
      </w:pPr>
    </w:p>
    <w:p w:rsidR="000F00DF" w:rsidRDefault="000F00DF" w:rsidP="007403F7">
      <w:pPr>
        <w:jc w:val="both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439"/>
        <w:gridCol w:w="1256"/>
        <w:gridCol w:w="1370"/>
        <w:gridCol w:w="1158"/>
        <w:gridCol w:w="1332"/>
        <w:gridCol w:w="1606"/>
      </w:tblGrid>
      <w:tr w:rsidR="000F00DF" w:rsidTr="000F00DF">
        <w:tc>
          <w:tcPr>
            <w:tcW w:w="1207" w:type="dxa"/>
            <w:shd w:val="clear" w:color="auto" w:fill="BFBFBF" w:themeFill="background1" w:themeFillShade="BF"/>
            <w:vAlign w:val="center"/>
          </w:tcPr>
          <w:p w:rsidR="000F00DF" w:rsidRPr="000F00DF" w:rsidRDefault="000F00DF" w:rsidP="000F00DF">
            <w:pPr>
              <w:pStyle w:val="Default"/>
              <w:jc w:val="center"/>
              <w:rPr>
                <w:b/>
                <w:sz w:val="22"/>
              </w:rPr>
            </w:pPr>
            <w:proofErr w:type="gramStart"/>
            <w:r w:rsidRPr="000F00DF">
              <w:rPr>
                <w:b/>
                <w:sz w:val="22"/>
              </w:rPr>
              <w:t>Y(</w:t>
            </w:r>
            <w:proofErr w:type="gramEnd"/>
            <w:r w:rsidRPr="000F00DF">
              <w:rPr>
                <w:b/>
                <w:sz w:val="22"/>
              </w:rPr>
              <w:t>Real GDP)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0F00DF" w:rsidRPr="000F00DF" w:rsidRDefault="000F00DF" w:rsidP="00BA550C">
            <w:pPr>
              <w:pStyle w:val="Default"/>
              <w:jc w:val="center"/>
              <w:rPr>
                <w:b/>
                <w:sz w:val="22"/>
              </w:rPr>
            </w:pPr>
            <w:r w:rsidRPr="000F00DF">
              <w:rPr>
                <w:b/>
                <w:sz w:val="22"/>
              </w:rPr>
              <w:t>Consumption</w:t>
            </w:r>
          </w:p>
        </w:tc>
        <w:tc>
          <w:tcPr>
            <w:tcW w:w="1244" w:type="dxa"/>
            <w:shd w:val="clear" w:color="auto" w:fill="BFBFBF" w:themeFill="background1" w:themeFillShade="BF"/>
            <w:vAlign w:val="center"/>
          </w:tcPr>
          <w:p w:rsidR="000F00DF" w:rsidRPr="000F00DF" w:rsidRDefault="000F00DF" w:rsidP="00BA550C">
            <w:pPr>
              <w:pStyle w:val="Default"/>
              <w:jc w:val="center"/>
              <w:rPr>
                <w:b/>
                <w:sz w:val="22"/>
              </w:rPr>
            </w:pPr>
            <w:r w:rsidRPr="000F00DF">
              <w:rPr>
                <w:b/>
                <w:sz w:val="22"/>
              </w:rPr>
              <w:t>Investment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:rsidR="000F00DF" w:rsidRPr="000F00DF" w:rsidRDefault="000F00DF" w:rsidP="00BA550C">
            <w:pPr>
              <w:pStyle w:val="Default"/>
              <w:jc w:val="center"/>
              <w:rPr>
                <w:b/>
                <w:sz w:val="22"/>
              </w:rPr>
            </w:pPr>
            <w:r w:rsidRPr="000F00DF">
              <w:rPr>
                <w:b/>
                <w:sz w:val="22"/>
              </w:rPr>
              <w:t>Government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0F00DF" w:rsidRPr="000F00DF" w:rsidRDefault="000F00DF" w:rsidP="00BA550C">
            <w:pPr>
              <w:pStyle w:val="Default"/>
              <w:jc w:val="center"/>
              <w:rPr>
                <w:b/>
                <w:sz w:val="22"/>
              </w:rPr>
            </w:pPr>
            <w:r w:rsidRPr="000F00DF">
              <w:rPr>
                <w:b/>
                <w:sz w:val="22"/>
              </w:rPr>
              <w:t>Exports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:rsidR="000F00DF" w:rsidRPr="000F00DF" w:rsidRDefault="000F00DF" w:rsidP="00BA550C">
            <w:pPr>
              <w:pStyle w:val="Default"/>
              <w:jc w:val="center"/>
              <w:rPr>
                <w:b/>
                <w:sz w:val="22"/>
              </w:rPr>
            </w:pPr>
            <w:r w:rsidRPr="000F00DF">
              <w:rPr>
                <w:b/>
                <w:sz w:val="22"/>
              </w:rPr>
              <w:t>Imports</w:t>
            </w:r>
          </w:p>
        </w:tc>
        <w:tc>
          <w:tcPr>
            <w:tcW w:w="1615" w:type="dxa"/>
            <w:shd w:val="clear" w:color="auto" w:fill="BFBFBF" w:themeFill="background1" w:themeFillShade="BF"/>
            <w:vAlign w:val="center"/>
          </w:tcPr>
          <w:p w:rsidR="000F00DF" w:rsidRPr="000F00DF" w:rsidRDefault="000F00DF" w:rsidP="00BA550C">
            <w:pPr>
              <w:pStyle w:val="Default"/>
              <w:jc w:val="center"/>
              <w:rPr>
                <w:b/>
                <w:sz w:val="22"/>
              </w:rPr>
            </w:pPr>
            <w:r w:rsidRPr="000F00DF">
              <w:rPr>
                <w:b/>
                <w:sz w:val="22"/>
              </w:rPr>
              <w:t>Aggregate Expenditures (AE)</w:t>
            </w:r>
          </w:p>
        </w:tc>
      </w:tr>
      <w:tr w:rsidR="000F00DF" w:rsidTr="000F00DF">
        <w:tc>
          <w:tcPr>
            <w:tcW w:w="1207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$0</w:t>
            </w:r>
          </w:p>
        </w:tc>
        <w:tc>
          <w:tcPr>
            <w:tcW w:w="1414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$70</w:t>
            </w:r>
          </w:p>
        </w:tc>
        <w:tc>
          <w:tcPr>
            <w:tcW w:w="1244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$40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$50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$45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$0</w:t>
            </w:r>
          </w:p>
        </w:tc>
        <w:tc>
          <w:tcPr>
            <w:tcW w:w="1615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$205</w:t>
            </w:r>
          </w:p>
        </w:tc>
      </w:tr>
      <w:tr w:rsidR="000F00DF" w:rsidTr="000F00DF">
        <w:tc>
          <w:tcPr>
            <w:tcW w:w="1207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$100</w:t>
            </w:r>
          </w:p>
        </w:tc>
        <w:tc>
          <w:tcPr>
            <w:tcW w:w="1414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$150</w:t>
            </w:r>
          </w:p>
        </w:tc>
        <w:tc>
          <w:tcPr>
            <w:tcW w:w="1244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$40</w:t>
            </w:r>
          </w:p>
        </w:tc>
        <w:tc>
          <w:tcPr>
            <w:tcW w:w="1350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$50</w:t>
            </w:r>
          </w:p>
        </w:tc>
        <w:tc>
          <w:tcPr>
            <w:tcW w:w="1170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$45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$10</w:t>
            </w:r>
          </w:p>
        </w:tc>
        <w:tc>
          <w:tcPr>
            <w:tcW w:w="1615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$275</w:t>
            </w:r>
          </w:p>
        </w:tc>
      </w:tr>
      <w:tr w:rsidR="000F00DF" w:rsidTr="000F00DF">
        <w:tc>
          <w:tcPr>
            <w:tcW w:w="1207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$200</w:t>
            </w:r>
          </w:p>
        </w:tc>
        <w:tc>
          <w:tcPr>
            <w:tcW w:w="1414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$230</w:t>
            </w:r>
          </w:p>
        </w:tc>
        <w:tc>
          <w:tcPr>
            <w:tcW w:w="1244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$40</w:t>
            </w:r>
          </w:p>
        </w:tc>
        <w:tc>
          <w:tcPr>
            <w:tcW w:w="1350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$50</w:t>
            </w:r>
          </w:p>
        </w:tc>
        <w:tc>
          <w:tcPr>
            <w:tcW w:w="1170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$45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$20</w:t>
            </w:r>
          </w:p>
        </w:tc>
        <w:tc>
          <w:tcPr>
            <w:tcW w:w="1615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$345</w:t>
            </w:r>
          </w:p>
        </w:tc>
      </w:tr>
      <w:tr w:rsidR="000F00DF" w:rsidTr="000F00DF">
        <w:tc>
          <w:tcPr>
            <w:tcW w:w="1207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$300</w:t>
            </w:r>
          </w:p>
        </w:tc>
        <w:tc>
          <w:tcPr>
            <w:tcW w:w="1414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$310</w:t>
            </w:r>
          </w:p>
        </w:tc>
        <w:tc>
          <w:tcPr>
            <w:tcW w:w="1244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$40</w:t>
            </w:r>
          </w:p>
        </w:tc>
        <w:tc>
          <w:tcPr>
            <w:tcW w:w="1350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$50</w:t>
            </w:r>
          </w:p>
        </w:tc>
        <w:tc>
          <w:tcPr>
            <w:tcW w:w="1170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$45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$30</w:t>
            </w:r>
          </w:p>
        </w:tc>
        <w:tc>
          <w:tcPr>
            <w:tcW w:w="1615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$415</w:t>
            </w:r>
          </w:p>
        </w:tc>
      </w:tr>
      <w:tr w:rsidR="000F00DF" w:rsidTr="000F00DF">
        <w:tc>
          <w:tcPr>
            <w:tcW w:w="1207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$400</w:t>
            </w:r>
          </w:p>
        </w:tc>
        <w:tc>
          <w:tcPr>
            <w:tcW w:w="1414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$390</w:t>
            </w:r>
          </w:p>
        </w:tc>
        <w:tc>
          <w:tcPr>
            <w:tcW w:w="1244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$40</w:t>
            </w:r>
          </w:p>
        </w:tc>
        <w:tc>
          <w:tcPr>
            <w:tcW w:w="1350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$50</w:t>
            </w:r>
          </w:p>
        </w:tc>
        <w:tc>
          <w:tcPr>
            <w:tcW w:w="1170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$45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$40</w:t>
            </w:r>
          </w:p>
        </w:tc>
        <w:tc>
          <w:tcPr>
            <w:tcW w:w="1615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$485</w:t>
            </w:r>
          </w:p>
        </w:tc>
      </w:tr>
      <w:tr w:rsidR="000F00DF" w:rsidTr="000F00DF">
        <w:tc>
          <w:tcPr>
            <w:tcW w:w="1207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$500</w:t>
            </w:r>
          </w:p>
        </w:tc>
        <w:tc>
          <w:tcPr>
            <w:tcW w:w="1414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$470</w:t>
            </w:r>
          </w:p>
        </w:tc>
        <w:tc>
          <w:tcPr>
            <w:tcW w:w="1244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$40</w:t>
            </w:r>
          </w:p>
        </w:tc>
        <w:tc>
          <w:tcPr>
            <w:tcW w:w="1350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$50</w:t>
            </w:r>
          </w:p>
        </w:tc>
        <w:tc>
          <w:tcPr>
            <w:tcW w:w="1170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$45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$50</w:t>
            </w:r>
          </w:p>
        </w:tc>
        <w:tc>
          <w:tcPr>
            <w:tcW w:w="1615" w:type="dxa"/>
          </w:tcPr>
          <w:p w:rsidR="000F00DF" w:rsidRDefault="000F00DF" w:rsidP="00BA550C">
            <w:pPr>
              <w:jc w:val="center"/>
              <w:rPr>
                <w:noProof/>
              </w:rPr>
            </w:pPr>
            <w:r>
              <w:rPr>
                <w:noProof/>
              </w:rPr>
              <w:t>$555</w:t>
            </w:r>
          </w:p>
        </w:tc>
      </w:tr>
    </w:tbl>
    <w:p w:rsidR="000F00DF" w:rsidRPr="007403F7" w:rsidRDefault="000F00DF" w:rsidP="007403F7">
      <w:pPr>
        <w:jc w:val="both"/>
        <w:rPr>
          <w:noProof/>
        </w:rPr>
      </w:pPr>
    </w:p>
    <w:sectPr w:rsidR="000F00DF" w:rsidRPr="007403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0D1" w:rsidRDefault="006C60D1" w:rsidP="006C60D1">
      <w:pPr>
        <w:spacing w:after="0" w:line="240" w:lineRule="auto"/>
      </w:pPr>
      <w:r>
        <w:separator/>
      </w:r>
    </w:p>
  </w:endnote>
  <w:endnote w:type="continuationSeparator" w:id="0">
    <w:p w:rsidR="006C60D1" w:rsidRDefault="006C60D1" w:rsidP="006C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0D1" w:rsidRDefault="006C60D1" w:rsidP="006C60D1">
      <w:pPr>
        <w:spacing w:after="0" w:line="240" w:lineRule="auto"/>
      </w:pPr>
      <w:r>
        <w:separator/>
      </w:r>
    </w:p>
  </w:footnote>
  <w:footnote w:type="continuationSeparator" w:id="0">
    <w:p w:rsidR="006C60D1" w:rsidRDefault="006C60D1" w:rsidP="006C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D1" w:rsidRDefault="006C60D1">
    <w:pPr>
      <w:pStyle w:val="Header"/>
    </w:pPr>
    <w:r>
      <w:t>Econ-101</w:t>
    </w:r>
    <w:r>
      <w:tab/>
    </w:r>
    <w:r>
      <w:ptab w:relativeTo="margin" w:alignment="center" w:leader="none"/>
    </w:r>
    <w:r>
      <w:t>Xin Shen</w:t>
    </w:r>
    <w:r>
      <w:ptab w:relativeTo="margin" w:alignment="right" w:leader="none"/>
    </w:r>
    <w:r>
      <w:t>HW#7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xNzQzM7I0tQCxlXSUglOLizPz80AKjGoBYVIq6SwAAAA="/>
  </w:docVars>
  <w:rsids>
    <w:rsidRoot w:val="006C60D1"/>
    <w:rsid w:val="000F00DF"/>
    <w:rsid w:val="0033599D"/>
    <w:rsid w:val="005F6F0E"/>
    <w:rsid w:val="006C60D1"/>
    <w:rsid w:val="007403F7"/>
    <w:rsid w:val="007958DB"/>
    <w:rsid w:val="00C02762"/>
    <w:rsid w:val="00F9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E7787-EF73-4DE3-89F5-C5A3CD21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D1"/>
  </w:style>
  <w:style w:type="paragraph" w:styleId="Footer">
    <w:name w:val="footer"/>
    <w:basedOn w:val="Normal"/>
    <w:link w:val="FooterChar"/>
    <w:uiPriority w:val="99"/>
    <w:unhideWhenUsed/>
    <w:rsid w:val="006C6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D1"/>
  </w:style>
  <w:style w:type="paragraph" w:customStyle="1" w:styleId="Default">
    <w:name w:val="Default"/>
    <w:rsid w:val="00F979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79BC"/>
  </w:style>
  <w:style w:type="table" w:styleId="TableGrid">
    <w:name w:val="Table Grid"/>
    <w:basedOn w:val="TableNormal"/>
    <w:uiPriority w:val="39"/>
    <w:rsid w:val="0074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CF and SF </a:t>
            </a:r>
          </a:p>
        </c:rich>
      </c:tx>
      <c:layout>
        <c:manualLayout>
          <c:xMode val="edge"/>
          <c:yMode val="edge"/>
          <c:x val="0.45330435258092738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"$"#,##0_);[Red]\("$"#,##0\)</c:formatCode>
                <c:ptCount val="6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</c:numCache>
            </c:numRef>
          </c:xVal>
          <c:yVal>
            <c:numRef>
              <c:f>Sheet1!$B$2:$B$7</c:f>
              <c:numCache>
                <c:formatCode>"$"#,##0_);[Red]\("$"#,##0\)</c:formatCode>
                <c:ptCount val="6"/>
                <c:pt idx="0">
                  <c:v>50</c:v>
                </c:pt>
                <c:pt idx="1">
                  <c:v>125</c:v>
                </c:pt>
                <c:pt idx="2">
                  <c:v>200</c:v>
                </c:pt>
                <c:pt idx="3">
                  <c:v>275</c:v>
                </c:pt>
                <c:pt idx="4">
                  <c:v>350</c:v>
                </c:pt>
                <c:pt idx="5">
                  <c:v>425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D4-4411-8B40-49F015FC989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saving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"$"#,##0_);[Red]\("$"#,##0\)</c:formatCode>
                <c:ptCount val="6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</c:numCache>
            </c:numRef>
          </c:xVal>
          <c:yVal>
            <c:numRef>
              <c:f>Sheet1!$C$2:$C$7</c:f>
              <c:numCache>
                <c:formatCode>"$"#,##0_);[Red]\("$"#,##0\)</c:formatCode>
                <c:ptCount val="6"/>
                <c:pt idx="0">
                  <c:v>-50</c:v>
                </c:pt>
                <c:pt idx="1">
                  <c:v>-25</c:v>
                </c:pt>
                <c:pt idx="2">
                  <c:v>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ED4-4411-8B40-49F015FC989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C=Yd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"$"#,##0_);[Red]\("$"#,##0\)</c:formatCode>
                <c:ptCount val="6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</c:numCache>
            </c:numRef>
          </c:xVal>
          <c:yVal>
            <c:numRef>
              <c:f>Sheet1!$D$2:$D$7</c:f>
              <c:numCache>
                <c:formatCode>"$"#,##0_);[Red]\("$"#,##0\)</c:formatCode>
                <c:ptCount val="6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ED4-4411-8B40-49F015FC9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246872"/>
        <c:axId val="160249824"/>
      </c:scatterChart>
      <c:valAx>
        <c:axId val="160246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Disposable income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_);[Red]\(&quot;$&quot;#,##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49824"/>
        <c:crosses val="autoZero"/>
        <c:crossBetween val="midCat"/>
      </c:valAx>
      <c:valAx>
        <c:axId val="16024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consumption and saving ($)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318829208848893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_);[Red]\(&quot;$&quot;#,##0\)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46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shen</dc:creator>
  <cp:keywords/>
  <dc:description/>
  <cp:lastModifiedBy>xin shen</cp:lastModifiedBy>
  <cp:revision>5</cp:revision>
  <dcterms:created xsi:type="dcterms:W3CDTF">2016-11-24T14:34:00Z</dcterms:created>
  <dcterms:modified xsi:type="dcterms:W3CDTF">2016-11-24T16:27:00Z</dcterms:modified>
</cp:coreProperties>
</file>