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5A1B" w14:textId="1965E79C" w:rsidR="004F5D00" w:rsidRDefault="004F5D00" w:rsidP="004F5D00">
      <w:pPr>
        <w:jc w:val="center"/>
        <w:rPr>
          <w:rFonts w:ascii="楷体" w:eastAsia="楷体" w:hAnsi="楷体"/>
          <w:sz w:val="30"/>
          <w:szCs w:val="30"/>
        </w:rPr>
      </w:pPr>
      <w:r>
        <w:rPr>
          <w:rFonts w:ascii="楷体" w:eastAsia="楷体" w:hAnsi="楷体" w:hint="eastAsia"/>
          <w:sz w:val="30"/>
          <w:szCs w:val="30"/>
        </w:rPr>
        <w:t>材料的</w:t>
      </w:r>
      <w:r>
        <w:rPr>
          <w:rFonts w:ascii="楷体" w:eastAsia="楷体" w:hAnsi="楷体" w:hint="eastAsia"/>
          <w:sz w:val="30"/>
          <w:szCs w:val="30"/>
        </w:rPr>
        <w:t>磁学</w:t>
      </w:r>
      <w:r>
        <w:rPr>
          <w:rFonts w:ascii="楷体" w:eastAsia="楷体" w:hAnsi="楷体" w:hint="eastAsia"/>
          <w:sz w:val="30"/>
          <w:szCs w:val="30"/>
        </w:rPr>
        <w:t>性质</w:t>
      </w:r>
      <w:r>
        <w:rPr>
          <w:rFonts w:ascii="楷体" w:eastAsia="楷体" w:hAnsi="楷体"/>
          <w:sz w:val="30"/>
          <w:szCs w:val="30"/>
        </w:rPr>
        <w:t>1</w:t>
      </w:r>
      <w:r>
        <w:rPr>
          <w:rFonts w:ascii="楷体" w:eastAsia="楷体" w:hAnsi="楷体" w:hint="eastAsia"/>
          <w:sz w:val="30"/>
          <w:szCs w:val="30"/>
        </w:rPr>
        <w:t>（笔记）</w:t>
      </w:r>
    </w:p>
    <w:p w14:paraId="09D56FA6" w14:textId="5C28F58A" w:rsidR="004D1A19" w:rsidRPr="004D1A19" w:rsidRDefault="004D1A19">
      <w:pPr>
        <w:rPr>
          <w:rFonts w:ascii="楷体" w:eastAsia="楷体" w:hAnsi="楷体" w:hint="eastAsia"/>
          <w:sz w:val="28"/>
          <w:szCs w:val="28"/>
        </w:rPr>
      </w:pPr>
      <w:r w:rsidRPr="004D1A19">
        <w:rPr>
          <w:rFonts w:ascii="楷体" w:eastAsia="楷体" w:hAnsi="楷体" w:hint="eastAsia"/>
          <w:sz w:val="28"/>
          <w:szCs w:val="28"/>
        </w:rPr>
        <w:t>弱局域化效应：</w:t>
      </w:r>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弱反局域化效应：</w:t>
      </w:r>
    </w:p>
    <w:p w14:paraId="0A7970F5" w14:textId="77777777" w:rsidR="004D1A19" w:rsidRDefault="004D1A19" w:rsidP="004D1A19">
      <w:pPr>
        <w:ind w:firstLineChars="1200" w:firstLine="2520"/>
        <w:rPr>
          <w:rFonts w:ascii="楷体" w:eastAsia="楷体" w:hAnsi="楷体"/>
        </w:rPr>
      </w:pPr>
      <w:r w:rsidRPr="004D1A19">
        <w:rPr>
          <w:rFonts w:ascii="楷体" w:eastAsia="楷体" w:hAnsi="楷体"/>
        </w:rPr>
        <w:drawing>
          <wp:anchor distT="0" distB="0" distL="114300" distR="114300" simplePos="0" relativeHeight="251658240" behindDoc="1" locked="0" layoutInCell="1" allowOverlap="1" wp14:anchorId="0EBAFE6B" wp14:editId="10479F29">
            <wp:simplePos x="0" y="0"/>
            <wp:positionH relativeFrom="margin">
              <wp:align>left</wp:align>
            </wp:positionH>
            <wp:positionV relativeFrom="paragraph">
              <wp:posOffset>41910</wp:posOffset>
            </wp:positionV>
            <wp:extent cx="1343660" cy="999490"/>
            <wp:effectExtent l="0" t="0" r="8890" b="0"/>
            <wp:wrapTight wrapText="bothSides">
              <wp:wrapPolygon edited="0">
                <wp:start x="0" y="0"/>
                <wp:lineTo x="0" y="20996"/>
                <wp:lineTo x="21437" y="20996"/>
                <wp:lineTo x="2143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3660" cy="999490"/>
                    </a:xfrm>
                    <a:prstGeom prst="rect">
                      <a:avLst/>
                    </a:prstGeom>
                  </pic:spPr>
                </pic:pic>
              </a:graphicData>
            </a:graphic>
            <wp14:sizeRelH relativeFrom="margin">
              <wp14:pctWidth>0</wp14:pctWidth>
            </wp14:sizeRelH>
            <wp14:sizeRelV relativeFrom="margin">
              <wp14:pctHeight>0</wp14:pctHeight>
            </wp14:sizeRelV>
          </wp:anchor>
        </w:drawing>
      </w:r>
      <w:r w:rsidRPr="004D1A19">
        <w:rPr>
          <w:rFonts w:ascii="楷体" w:eastAsia="楷体" w:hAnsi="楷体"/>
        </w:rPr>
        <w:drawing>
          <wp:anchor distT="0" distB="0" distL="114300" distR="114300" simplePos="0" relativeHeight="251659264" behindDoc="1" locked="0" layoutInCell="1" allowOverlap="1" wp14:anchorId="7AFEFB57" wp14:editId="37D7B574">
            <wp:simplePos x="0" y="0"/>
            <wp:positionH relativeFrom="column">
              <wp:posOffset>3429000</wp:posOffset>
            </wp:positionH>
            <wp:positionV relativeFrom="paragraph">
              <wp:posOffset>18415</wp:posOffset>
            </wp:positionV>
            <wp:extent cx="1176655" cy="1147445"/>
            <wp:effectExtent l="0" t="0" r="4445" b="0"/>
            <wp:wrapTight wrapText="bothSides">
              <wp:wrapPolygon edited="0">
                <wp:start x="0" y="0"/>
                <wp:lineTo x="0" y="21158"/>
                <wp:lineTo x="21332" y="21158"/>
                <wp:lineTo x="213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76655" cy="1147445"/>
                    </a:xfrm>
                    <a:prstGeom prst="rect">
                      <a:avLst/>
                    </a:prstGeom>
                  </pic:spPr>
                </pic:pic>
              </a:graphicData>
            </a:graphic>
          </wp:anchor>
        </w:drawing>
      </w:r>
      <w:r>
        <w:rPr>
          <w:rFonts w:ascii="楷体" w:eastAsia="楷体" w:hAnsi="楷体" w:hint="eastAsia"/>
        </w:rPr>
        <w:t xml:space="preserve"> </w:t>
      </w:r>
      <w:r>
        <w:rPr>
          <w:rFonts w:ascii="楷体" w:eastAsia="楷体" w:hAnsi="楷体"/>
        </w:rPr>
        <w:t xml:space="preserve">                            </w:t>
      </w:r>
    </w:p>
    <w:p w14:paraId="1355F8BC" w14:textId="77777777" w:rsidR="004D1A19" w:rsidRDefault="004D1A19" w:rsidP="004D1A19">
      <w:pPr>
        <w:ind w:firstLineChars="1200" w:firstLine="2520"/>
        <w:rPr>
          <w:rFonts w:ascii="楷体" w:eastAsia="楷体" w:hAnsi="楷体"/>
        </w:rPr>
      </w:pPr>
      <w:r>
        <w:rPr>
          <w:rFonts w:ascii="楷体" w:eastAsia="楷体" w:hAnsi="楷体"/>
        </w:rPr>
        <w:t xml:space="preserve">                            </w:t>
      </w:r>
    </w:p>
    <w:p w14:paraId="6AECBFB1" w14:textId="6433F034" w:rsidR="00821098" w:rsidRDefault="004D1A19" w:rsidP="004D1A19">
      <w:pPr>
        <w:ind w:firstLineChars="1200" w:firstLine="2520"/>
        <w:rPr>
          <w:rFonts w:ascii="楷体" w:eastAsia="楷体" w:hAnsi="楷体"/>
        </w:rPr>
      </w:pPr>
      <w:r>
        <w:rPr>
          <w:rFonts w:ascii="楷体" w:eastAsia="楷体" w:hAnsi="楷体"/>
        </w:rPr>
        <w:t xml:space="preserve">                    </w:t>
      </w:r>
    </w:p>
    <w:p w14:paraId="3792E5AA" w14:textId="19817E61" w:rsidR="004D1A19" w:rsidRDefault="004D1A19" w:rsidP="004D1A19">
      <w:pPr>
        <w:ind w:firstLineChars="1200" w:firstLine="2520"/>
        <w:rPr>
          <w:rFonts w:ascii="楷体" w:eastAsia="楷体" w:hAnsi="楷体"/>
        </w:rPr>
      </w:pPr>
    </w:p>
    <w:p w14:paraId="17DA1DFE" w14:textId="7A72BF6D" w:rsidR="004D1A19" w:rsidRDefault="004D1A19" w:rsidP="004D1A19">
      <w:pPr>
        <w:ind w:firstLineChars="1200" w:firstLine="2520"/>
        <w:rPr>
          <w:rFonts w:ascii="楷体" w:eastAsia="楷体" w:hAnsi="楷体"/>
        </w:rPr>
      </w:pPr>
    </w:p>
    <w:p w14:paraId="1F269FED" w14:textId="27D20D28" w:rsidR="004D1A19" w:rsidRDefault="004D1A19" w:rsidP="004D1A19">
      <w:pPr>
        <w:ind w:firstLineChars="1200" w:firstLine="2520"/>
        <w:rPr>
          <w:rFonts w:ascii="楷体" w:eastAsia="楷体" w:hAnsi="楷体"/>
        </w:rPr>
      </w:pPr>
    </w:p>
    <w:p w14:paraId="291E8B5F" w14:textId="0990B99B" w:rsidR="004D1A19" w:rsidRDefault="004D1A19" w:rsidP="004D1A19">
      <w:pPr>
        <w:rPr>
          <w:rFonts w:ascii="楷体" w:eastAsia="楷体" w:hAnsi="楷体"/>
        </w:rPr>
      </w:pPr>
    </w:p>
    <w:p w14:paraId="1DA234EC" w14:textId="380E8FC8" w:rsidR="004D1A19" w:rsidRDefault="00211306" w:rsidP="004D1A19">
      <w:pPr>
        <w:rPr>
          <w:rFonts w:ascii="楷体" w:eastAsia="楷体" w:hAnsi="楷体"/>
        </w:rPr>
      </w:pPr>
      <w:r>
        <w:rPr>
          <w:rFonts w:ascii="楷体" w:eastAsia="楷体" w:hAnsi="楷体" w:hint="eastAsia"/>
        </w:rPr>
        <w:t>A</w:t>
      </w:r>
      <w:r>
        <w:rPr>
          <w:rFonts w:ascii="楷体" w:eastAsia="楷体" w:hAnsi="楷体"/>
        </w:rPr>
        <w:t>B</w:t>
      </w:r>
      <w:r>
        <w:rPr>
          <w:rFonts w:ascii="楷体" w:eastAsia="楷体" w:hAnsi="楷体" w:hint="eastAsia"/>
        </w:rPr>
        <w:t>效应：</w:t>
      </w:r>
      <w:r w:rsidRPr="00211306">
        <w:rPr>
          <w:rFonts w:ascii="楷体" w:eastAsia="楷体" w:hAnsi="楷体"/>
        </w:rPr>
        <w:t>电子将感受到与磁通量相联系的矢势存在，波函数将附加一与矢势A有关，依赖于路径的相位。</w:t>
      </w:r>
      <w:r w:rsidR="0067483E">
        <w:rPr>
          <w:rFonts w:ascii="楷体" w:eastAsia="楷体" w:hAnsi="楷体" w:hint="eastAsia"/>
        </w:rPr>
        <w:t>（相位相干长度与磁通量子）</w:t>
      </w:r>
      <w:r w:rsidR="0067483E" w:rsidRPr="0067483E">
        <w:rPr>
          <w:rFonts w:ascii="楷体" w:eastAsia="楷体" w:hAnsi="楷体"/>
        </w:rPr>
        <w:t>在单个金环上观察到电阻随着磁场的增加而呈周期的振荡</w:t>
      </w:r>
      <w:r w:rsidR="0067483E">
        <w:rPr>
          <w:rFonts w:ascii="楷体" w:eastAsia="楷体" w:hAnsi="楷体" w:hint="eastAsia"/>
        </w:rPr>
        <w:t>。</w:t>
      </w:r>
    </w:p>
    <w:p w14:paraId="21AEB1CB" w14:textId="7978AF33" w:rsidR="00A92149" w:rsidRPr="00A92149" w:rsidRDefault="00A92149" w:rsidP="004D1A19">
      <w:pPr>
        <w:rPr>
          <w:rFonts w:ascii="楷体" w:eastAsia="楷体" w:hAnsi="楷体" w:hint="eastAsia"/>
        </w:rPr>
      </w:pPr>
      <w:r>
        <w:rPr>
          <w:rFonts w:ascii="楷体" w:eastAsia="楷体" w:hAnsi="楷体" w:hint="eastAsia"/>
        </w:rPr>
        <w:t>普适电导涨落（U</w:t>
      </w:r>
      <w:r>
        <w:rPr>
          <w:rFonts w:ascii="楷体" w:eastAsia="楷体" w:hAnsi="楷体"/>
        </w:rPr>
        <w:t>CF</w:t>
      </w:r>
      <w:r>
        <w:rPr>
          <w:rFonts w:ascii="楷体" w:eastAsia="楷体" w:hAnsi="楷体" w:hint="eastAsia"/>
        </w:rPr>
        <w:t>）：1</w:t>
      </w:r>
      <w:r>
        <w:rPr>
          <w:rFonts w:ascii="楷体" w:eastAsia="楷体" w:hAnsi="楷体"/>
        </w:rPr>
        <w:t>.</w:t>
      </w:r>
      <w:r w:rsidRPr="00A92149">
        <w:rPr>
          <w:rFonts w:ascii="楷体" w:eastAsia="楷体" w:hAnsi="楷体"/>
        </w:rPr>
        <w:t>与时间无关的非周期涨落</w:t>
      </w:r>
      <w:r>
        <w:rPr>
          <w:rFonts w:ascii="楷体" w:eastAsia="楷体" w:hAnsi="楷体" w:hint="eastAsia"/>
        </w:rPr>
        <w:t>，</w:t>
      </w:r>
      <w:r w:rsidRPr="00A92149">
        <w:rPr>
          <w:rFonts w:ascii="楷体" w:eastAsia="楷体" w:hAnsi="楷体"/>
        </w:rPr>
        <w:t>不是热噪声(和时间有关)</w:t>
      </w:r>
      <w:r>
        <w:rPr>
          <w:rFonts w:ascii="楷体" w:eastAsia="楷体" w:hAnsi="楷体" w:hint="eastAsia"/>
        </w:rPr>
        <w:t>；2</w:t>
      </w:r>
      <w:r>
        <w:rPr>
          <w:rFonts w:ascii="楷体" w:eastAsia="楷体" w:hAnsi="楷体"/>
        </w:rPr>
        <w:t>.</w:t>
      </w:r>
      <w:r w:rsidRPr="00A92149">
        <w:t xml:space="preserve"> </w:t>
      </w:r>
      <w:r w:rsidRPr="00A92149">
        <w:rPr>
          <w:rFonts w:ascii="楷体" w:eastAsia="楷体" w:hAnsi="楷体"/>
        </w:rPr>
        <w:t>这种涨落是样品特有的,涨落花样可重复</w:t>
      </w:r>
      <w:r>
        <w:rPr>
          <w:rFonts w:ascii="楷体" w:eastAsia="楷体" w:hAnsi="楷体" w:hint="eastAsia"/>
        </w:rPr>
        <w:t>；3</w:t>
      </w:r>
      <w:r>
        <w:rPr>
          <w:rFonts w:ascii="楷体" w:eastAsia="楷体" w:hAnsi="楷体"/>
        </w:rPr>
        <w:t>.</w:t>
      </w:r>
      <w:r w:rsidRPr="00A92149">
        <w:t xml:space="preserve"> </w:t>
      </w:r>
      <w:r w:rsidRPr="00A92149">
        <w:rPr>
          <w:rFonts w:ascii="楷体" w:eastAsia="楷体" w:hAnsi="楷体"/>
        </w:rPr>
        <w:t>涨落大小是</w:t>
      </w:r>
      <m:oMath>
        <m:f>
          <m:fPr>
            <m:type m:val="skw"/>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2</m:t>
                </m:r>
              </m:sup>
            </m:sSup>
          </m:num>
          <m:den>
            <m:r>
              <w:rPr>
                <w:rFonts w:ascii="Cambria Math" w:eastAsia="MS Gothic" w:hAnsi="Cambria Math" w:cs="MS Gothic"/>
              </w:rPr>
              <m:t>h</m:t>
            </m:r>
          </m:den>
        </m:f>
      </m:oMath>
      <w:r w:rsidRPr="00A92149">
        <w:rPr>
          <w:rFonts w:ascii="楷体" w:eastAsia="楷体" w:hAnsi="楷体"/>
        </w:rPr>
        <w:t>量级与样品的材料、尺寸、无序程度无关，与样品的形状和空间维度只有微弱的关系，只要求样品具有介观尺度，并处于金属区：</w:t>
      </w:r>
      <m:oMath>
        <m:sSub>
          <m:sSubPr>
            <m:ctrlPr>
              <w:rPr>
                <w:rFonts w:ascii="Cambria Math" w:eastAsia="楷体" w:hAnsi="Cambria Math"/>
                <w:i/>
              </w:rPr>
            </m:ctrlPr>
          </m:sSubPr>
          <m:e>
            <m:r>
              <w:rPr>
                <w:rFonts w:ascii="Cambria Math" w:eastAsia="楷体" w:hAnsi="Cambria Math"/>
              </w:rPr>
              <m:t>λ</m:t>
            </m:r>
          </m:e>
          <m:sub>
            <m:r>
              <w:rPr>
                <w:rFonts w:ascii="Cambria Math" w:eastAsia="楷体" w:hAnsi="Cambria Math"/>
              </w:rPr>
              <m:t>F</m:t>
            </m:r>
          </m:sub>
        </m:sSub>
        <m:r>
          <w:rPr>
            <w:rFonts w:ascii="Cambria Math" w:eastAsia="楷体" w:hAnsi="Cambria Math"/>
          </w:rPr>
          <m:t>&lt;&lt;l&lt;&lt;L&lt;&lt;ξ</m:t>
        </m:r>
      </m:oMath>
      <w:r w:rsidR="00262BD7">
        <w:rPr>
          <w:rFonts w:ascii="楷体" w:eastAsia="楷体" w:hAnsi="楷体" w:hint="eastAsia"/>
        </w:rPr>
        <w:t>。（物理解释：</w:t>
      </w:r>
      <w:r w:rsidR="00262BD7" w:rsidRPr="00262BD7">
        <w:rPr>
          <w:rFonts w:ascii="楷体" w:eastAsia="楷体" w:hAnsi="楷体"/>
        </w:rPr>
        <w:t>从样品一边到另一边的透射几率幅是许多通过样品的费曼路径相应的几率幅之和。在金属区电子通过样品时经历多次 与杂质的散射，其费曼路径是无规行走式的准经典“轨道”，不同的费曼路径之间的相位差是不规则的</w:t>
      </w:r>
      <w:r w:rsidR="00262BD7">
        <w:rPr>
          <w:rFonts w:ascii="楷体" w:eastAsia="楷体" w:hAnsi="楷体" w:hint="eastAsia"/>
        </w:rPr>
        <w:t>-</w:t>
      </w:r>
      <w:r w:rsidR="00262BD7">
        <w:rPr>
          <w:rFonts w:ascii="楷体" w:eastAsia="楷体" w:hAnsi="楷体"/>
        </w:rPr>
        <w:t>&gt;</w:t>
      </w:r>
      <w:r w:rsidR="00262BD7" w:rsidRPr="00262BD7">
        <w:rPr>
          <w:rFonts w:ascii="楷体" w:eastAsia="楷体" w:hAnsi="楷体"/>
        </w:rPr>
        <w:t>随机干涉效应，使电导呈现非周期的不规则涨落。</w:t>
      </w:r>
      <w:r w:rsidR="00262BD7">
        <w:rPr>
          <w:rFonts w:ascii="楷体" w:eastAsia="楷体" w:hAnsi="楷体" w:hint="eastAsia"/>
        </w:rPr>
        <w:t>）（非定域效应）</w:t>
      </w:r>
    </w:p>
    <w:p w14:paraId="69A959C2" w14:textId="20E54AFC" w:rsidR="004D1A19" w:rsidRDefault="004D1A19" w:rsidP="00262BD7">
      <w:pPr>
        <w:rPr>
          <w:rFonts w:ascii="楷体" w:eastAsia="楷体" w:hAnsi="楷体" w:hint="eastAsia"/>
        </w:rPr>
      </w:pPr>
    </w:p>
    <w:p w14:paraId="60E63456" w14:textId="65700B90" w:rsidR="004D1A19" w:rsidRDefault="002D78A2" w:rsidP="00262BD7">
      <w:pPr>
        <w:jc w:val="left"/>
        <w:rPr>
          <w:rFonts w:ascii="楷体" w:eastAsia="楷体" w:hAnsi="楷体"/>
        </w:rPr>
      </w:pPr>
      <w:r>
        <w:rPr>
          <w:rFonts w:ascii="楷体" w:eastAsia="楷体" w:hAnsi="楷体" w:hint="eastAsia"/>
        </w:rPr>
        <w:t>磁矩的来源：电子运动（轨道磁矩）+电子自旋（自旋磁矩）</w:t>
      </w:r>
    </w:p>
    <w:p w14:paraId="16788B80" w14:textId="69137F21" w:rsidR="002D78A2" w:rsidRPr="002D78A2" w:rsidRDefault="002D78A2" w:rsidP="00262BD7">
      <w:pPr>
        <w:jc w:val="left"/>
        <w:rPr>
          <w:rFonts w:ascii="楷体" w:eastAsia="楷体" w:hAnsi="楷体"/>
        </w:rPr>
      </w:pPr>
      <m:oMathPara>
        <m:oMathParaPr>
          <m:jc m:val="center"/>
        </m:oMathParaPr>
        <m:oMath>
          <m:sSub>
            <m:sSubPr>
              <m:ctrlPr>
                <w:rPr>
                  <w:rFonts w:ascii="Cambria Math" w:eastAsia="楷体" w:hAnsi="Cambria Math"/>
                  <w:i/>
                </w:rPr>
              </m:ctrlPr>
            </m:sSubPr>
            <m:e>
              <m:r>
                <w:rPr>
                  <w:rFonts w:ascii="Cambria Math" w:eastAsia="楷体" w:hAnsi="Cambria Math"/>
                </w:rPr>
                <m:t>μ</m:t>
              </m:r>
            </m:e>
            <m:sub>
              <m:r>
                <w:rPr>
                  <w:rFonts w:ascii="Cambria Math" w:eastAsia="楷体" w:hAnsi="Cambria Math"/>
                </w:rPr>
                <m:t>orb</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e</m:t>
              </m:r>
            </m:num>
            <m:den>
              <m:r>
                <w:rPr>
                  <w:rFonts w:ascii="Cambria Math" w:eastAsia="楷体" w:hAnsi="Cambria Math"/>
                </w:rPr>
                <m:t>2m</m:t>
              </m:r>
            </m:den>
          </m:f>
          <m:r>
            <w:rPr>
              <w:rFonts w:ascii="Cambria Math" w:eastAsia="楷体" w:hAnsi="Cambria Math"/>
            </w:rPr>
            <m:t xml:space="preserve">L                   </m:t>
          </m:r>
          <m:sSub>
            <m:sSubPr>
              <m:ctrlPr>
                <w:rPr>
                  <w:rFonts w:ascii="Cambria Math" w:eastAsia="楷体" w:hAnsi="Cambria Math"/>
                  <w:i/>
                </w:rPr>
              </m:ctrlPr>
            </m:sSubPr>
            <m:e>
              <m:r>
                <w:rPr>
                  <w:rFonts w:ascii="Cambria Math" w:eastAsia="楷体" w:hAnsi="Cambria Math"/>
                </w:rPr>
                <m:t>μ</m:t>
              </m:r>
            </m:e>
            <m:sub>
              <m:r>
                <w:rPr>
                  <w:rFonts w:ascii="Cambria Math" w:eastAsia="楷体" w:hAnsi="Cambria Math"/>
                </w:rPr>
                <m:t>spin</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e</m:t>
              </m:r>
            </m:num>
            <m:den>
              <m:r>
                <w:rPr>
                  <w:rFonts w:ascii="Cambria Math" w:eastAsia="楷体" w:hAnsi="Cambria Math"/>
                </w:rPr>
                <m:t>m</m:t>
              </m:r>
            </m:den>
          </m:f>
          <m:r>
            <w:rPr>
              <w:rFonts w:ascii="Cambria Math" w:eastAsia="楷体" w:hAnsi="Cambria Math"/>
            </w:rPr>
            <m:t>S</m:t>
          </m:r>
        </m:oMath>
      </m:oMathPara>
    </w:p>
    <w:p w14:paraId="2C011724" w14:textId="0A68883E" w:rsidR="002D78A2" w:rsidRDefault="002D78A2" w:rsidP="00262BD7">
      <w:pPr>
        <w:jc w:val="left"/>
        <w:rPr>
          <w:rFonts w:ascii="楷体" w:eastAsia="楷体" w:hAnsi="楷体"/>
        </w:rPr>
      </w:pPr>
      <w:r>
        <w:rPr>
          <w:rFonts w:ascii="楷体" w:eastAsia="楷体" w:hAnsi="楷体" w:hint="eastAsia"/>
        </w:rPr>
        <w:t>玻尔磁子：</w:t>
      </w:r>
      <m:oMath>
        <m:sSub>
          <m:sSubPr>
            <m:ctrlPr>
              <w:rPr>
                <w:rFonts w:ascii="Cambria Math" w:eastAsia="楷体" w:hAnsi="Cambria Math"/>
                <w:i/>
              </w:rPr>
            </m:ctrlPr>
          </m:sSubPr>
          <m:e>
            <m:r>
              <w:rPr>
                <w:rFonts w:ascii="Cambria Math" w:eastAsia="楷体" w:hAnsi="Cambria Math"/>
              </w:rPr>
              <m:t>μ</m:t>
            </m:r>
          </m:e>
          <m:sub>
            <m:r>
              <w:rPr>
                <w:rFonts w:ascii="Cambria Math" w:eastAsia="楷体" w:hAnsi="Cambria Math"/>
              </w:rPr>
              <m:t>B</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eℏ</m:t>
            </m:r>
          </m:num>
          <m:den>
            <m:r>
              <w:rPr>
                <w:rFonts w:ascii="Cambria Math" w:eastAsia="楷体" w:hAnsi="Cambria Math"/>
              </w:rPr>
              <m:t>2m</m:t>
            </m:r>
          </m:den>
        </m:f>
        <m:r>
          <w:rPr>
            <w:rFonts w:ascii="Cambria Math" w:eastAsia="楷体" w:hAnsi="Cambria Math" w:hint="eastAsia"/>
          </w:rPr>
          <m:t>=</m:t>
        </m:r>
        <m:r>
          <w:rPr>
            <w:rFonts w:ascii="Cambria Math" w:eastAsia="楷体" w:hAnsi="Cambria Math"/>
          </w:rPr>
          <m:t>5.8×</m:t>
        </m:r>
        <m:sSup>
          <m:sSupPr>
            <m:ctrlPr>
              <w:rPr>
                <w:rFonts w:ascii="Cambria Math" w:eastAsia="楷体" w:hAnsi="Cambria Math"/>
                <w:i/>
              </w:rPr>
            </m:ctrlPr>
          </m:sSupPr>
          <m:e>
            <m:r>
              <w:rPr>
                <w:rFonts w:ascii="Cambria Math" w:eastAsia="楷体" w:hAnsi="Cambria Math"/>
              </w:rPr>
              <m:t>10</m:t>
            </m:r>
          </m:e>
          <m:sup>
            <m:r>
              <w:rPr>
                <w:rFonts w:ascii="Cambria Math" w:eastAsia="楷体" w:hAnsi="Cambria Math"/>
              </w:rPr>
              <m:t>-5</m:t>
            </m:r>
          </m:sup>
        </m:sSup>
        <m:r>
          <w:rPr>
            <w:rFonts w:ascii="Cambria Math" w:eastAsia="楷体" w:hAnsi="Cambria Math"/>
          </w:rPr>
          <m:t>eV/T</m:t>
        </m:r>
      </m:oMath>
    </w:p>
    <w:p w14:paraId="288ACD89" w14:textId="3230ADD0" w:rsidR="00DB619D" w:rsidRDefault="00DB619D" w:rsidP="00262BD7">
      <w:pPr>
        <w:jc w:val="left"/>
        <w:rPr>
          <w:rFonts w:ascii="楷体" w:eastAsia="楷体" w:hAnsi="楷体"/>
        </w:rPr>
      </w:pPr>
      <w:r>
        <w:rPr>
          <w:rFonts w:ascii="楷体" w:eastAsia="楷体" w:hAnsi="楷体" w:hint="eastAsia"/>
        </w:rPr>
        <w:t>抗磁性：</w:t>
      </w:r>
      <w:r w:rsidRPr="00DB619D">
        <w:rPr>
          <w:rFonts w:ascii="楷体" w:eastAsia="楷体" w:hAnsi="楷体"/>
        </w:rPr>
        <w:t>磁化强度与磁场强度方向相反</w:t>
      </w:r>
      <w:r>
        <w:rPr>
          <w:rFonts w:ascii="楷体" w:eastAsia="楷体" w:hAnsi="楷体" w:hint="eastAsia"/>
        </w:rPr>
        <w:t>，</w:t>
      </w:r>
      <w:r w:rsidRPr="00DB619D">
        <w:rPr>
          <w:rFonts w:ascii="楷体" w:eastAsia="楷体" w:hAnsi="楷体"/>
        </w:rPr>
        <w:t>在抗磁性物质中，分子内各电子的磁矩互相</w:t>
      </w:r>
      <w:r>
        <w:rPr>
          <w:rFonts w:ascii="楷体" w:eastAsia="楷体" w:hAnsi="楷体" w:hint="eastAsia"/>
        </w:rPr>
        <w:t>抵</w:t>
      </w:r>
      <w:r w:rsidRPr="00DB619D">
        <w:rPr>
          <w:rFonts w:ascii="楷体" w:eastAsia="楷体" w:hAnsi="楷体"/>
        </w:rPr>
        <w:t>消，整个分子不具有固有磁矩</w:t>
      </w:r>
      <w:r>
        <w:rPr>
          <w:rFonts w:ascii="楷体" w:eastAsia="楷体" w:hAnsi="楷体" w:hint="eastAsia"/>
        </w:rPr>
        <w:t>，</w:t>
      </w:r>
      <w:r w:rsidRPr="00DB619D">
        <w:rPr>
          <w:rFonts w:ascii="楷体" w:eastAsia="楷体" w:hAnsi="楷体"/>
        </w:rPr>
        <w:t>抗磁效应在顺磁质分子中同样存在，不过顺磁效应比抗磁效应强得多，抗磁性被掩盖了。</w:t>
      </w:r>
      <w:r w:rsidR="004D6825">
        <w:rPr>
          <w:rFonts w:ascii="楷体" w:eastAsia="楷体" w:hAnsi="楷体" w:hint="eastAsia"/>
        </w:rPr>
        <w:t>（水分子有抗磁性）</w:t>
      </w:r>
    </w:p>
    <w:p w14:paraId="13B26FB8" w14:textId="6943A0B0" w:rsidR="003059E0" w:rsidRDefault="003059E0" w:rsidP="003059E0">
      <w:pPr>
        <w:jc w:val="center"/>
        <w:rPr>
          <w:rFonts w:ascii="楷体" w:eastAsia="楷体" w:hAnsi="楷体"/>
        </w:rPr>
      </w:pPr>
      <w:r w:rsidRPr="003059E0">
        <w:rPr>
          <w:rFonts w:ascii="楷体" w:eastAsia="楷体" w:hAnsi="楷体"/>
        </w:rPr>
        <w:drawing>
          <wp:inline distT="0" distB="0" distL="0" distR="0" wp14:anchorId="2F027FC9" wp14:editId="7BD9B00B">
            <wp:extent cx="3395207" cy="15835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344" cy="1585954"/>
                    </a:xfrm>
                    <a:prstGeom prst="rect">
                      <a:avLst/>
                    </a:prstGeom>
                  </pic:spPr>
                </pic:pic>
              </a:graphicData>
            </a:graphic>
          </wp:inline>
        </w:drawing>
      </w:r>
    </w:p>
    <w:p w14:paraId="6278622B" w14:textId="673F60AD" w:rsidR="003059E0" w:rsidRDefault="00F76CC5" w:rsidP="003059E0">
      <w:pPr>
        <w:rPr>
          <w:rFonts w:ascii="楷体" w:eastAsia="楷体" w:hAnsi="楷体"/>
        </w:rPr>
      </w:pPr>
      <w:r>
        <w:rPr>
          <w:rFonts w:ascii="楷体" w:eastAsia="楷体" w:hAnsi="楷体" w:hint="eastAsia"/>
        </w:rPr>
        <w:t>顺磁性：</w:t>
      </w:r>
      <w:r w:rsidRPr="00F76CC5">
        <w:rPr>
          <w:rFonts w:ascii="楷体" w:eastAsia="楷体" w:hAnsi="楷体"/>
        </w:rPr>
        <w:t>无外磁场时，由于热运动，各分子磁矩的取向无规，介质处于未磁化状态</w:t>
      </w:r>
      <w:r>
        <w:rPr>
          <w:rFonts w:ascii="楷体" w:eastAsia="楷体" w:hAnsi="楷体" w:hint="eastAsia"/>
        </w:rPr>
        <w:t>，</w:t>
      </w:r>
      <w:r w:rsidRPr="00F76CC5">
        <w:rPr>
          <w:rFonts w:ascii="楷体" w:eastAsia="楷体" w:hAnsi="楷体"/>
        </w:rPr>
        <w:t>在外磁场中，每个分子磁矩受到一个力矩，使分子磁矩转到外磁场方向上去，各分子磁矩在一定程度上沿外场排列起来</w:t>
      </w:r>
      <w:r>
        <w:rPr>
          <w:rFonts w:ascii="楷体" w:eastAsia="楷体" w:hAnsi="楷体" w:hint="eastAsia"/>
        </w:rPr>
        <w:t>。（</w:t>
      </w:r>
      <w:r w:rsidRPr="00F76CC5">
        <w:rPr>
          <w:rFonts w:ascii="楷体" w:eastAsia="楷体" w:hAnsi="楷体"/>
        </w:rPr>
        <w:t>热运动对磁矩的排列起干扰作用，所以温度越高，顺磁效应越弱</w:t>
      </w:r>
      <w:r>
        <w:rPr>
          <w:rFonts w:ascii="楷体" w:eastAsia="楷体" w:hAnsi="楷体" w:hint="eastAsia"/>
        </w:rPr>
        <w:t>）</w:t>
      </w:r>
    </w:p>
    <w:p w14:paraId="056CC8DC" w14:textId="4A331DF8" w:rsidR="005C1C7B" w:rsidRDefault="005C1C7B" w:rsidP="003059E0">
      <w:pPr>
        <w:rPr>
          <w:rFonts w:ascii="楷体" w:eastAsia="楷体" w:hAnsi="楷体"/>
        </w:rPr>
      </w:pPr>
      <w:r>
        <w:rPr>
          <w:rFonts w:ascii="楷体" w:eastAsia="楷体" w:hAnsi="楷体" w:hint="eastAsia"/>
        </w:rPr>
        <w:t>顺磁共振：对于有未配对电子的物质，可以得到分子原子及周围环境方面的信息，得到结构与化学键之间的信息。</w:t>
      </w:r>
    </w:p>
    <w:p w14:paraId="2611837E" w14:textId="4C8A19CA" w:rsidR="005C1C7B" w:rsidRDefault="005C1C7B" w:rsidP="003059E0">
      <w:pPr>
        <w:rPr>
          <w:rFonts w:ascii="楷体" w:eastAsia="楷体" w:hAnsi="楷体"/>
        </w:rPr>
      </w:pPr>
      <w:r>
        <w:rPr>
          <w:rFonts w:ascii="楷体" w:eastAsia="楷体" w:hAnsi="楷体" w:hint="eastAsia"/>
        </w:rPr>
        <w:lastRenderedPageBreak/>
        <w:t>铁磁物质：主要来源于电子自旋磁矩</w:t>
      </w:r>
      <w:r w:rsidR="00CB13EA">
        <w:rPr>
          <w:rFonts w:ascii="楷体" w:eastAsia="楷体" w:hAnsi="楷体" w:hint="eastAsia"/>
        </w:rPr>
        <w:t>，</w:t>
      </w:r>
      <w:r w:rsidR="00CB13EA" w:rsidRPr="00CB13EA">
        <w:rPr>
          <w:rFonts w:ascii="楷体" w:eastAsia="楷体" w:hAnsi="楷体"/>
        </w:rPr>
        <w:t>在没有外磁场的条件下，铁磁质中电子自旋磁矩可以在小范围内自发排列起来，形成一个个“自发磁化区”，叫做“磁畴”</w:t>
      </w:r>
      <w:r w:rsidR="00CB13EA">
        <w:rPr>
          <w:rFonts w:ascii="楷体" w:eastAsia="楷体" w:hAnsi="楷体" w:hint="eastAsia"/>
        </w:rPr>
        <w:t>。</w:t>
      </w:r>
    </w:p>
    <w:p w14:paraId="690C466D" w14:textId="03AF9746" w:rsidR="00415450" w:rsidRDefault="00415450" w:rsidP="003059E0">
      <w:pPr>
        <w:rPr>
          <w:rFonts w:ascii="楷体" w:eastAsia="楷体" w:hAnsi="楷体"/>
        </w:rPr>
      </w:pPr>
      <w:r>
        <w:rPr>
          <w:rFonts w:ascii="楷体" w:eastAsia="楷体" w:hAnsi="楷体" w:hint="eastAsia"/>
        </w:rPr>
        <w:t>对于电子排列满足泡利不相容原理以及能量最低原理。</w:t>
      </w:r>
      <w:r w:rsidR="000A33D6">
        <w:rPr>
          <w:rFonts w:ascii="楷体" w:eastAsia="楷体" w:hAnsi="楷体" w:hint="eastAsia"/>
        </w:rPr>
        <w:t>费米子满足波函数反对称情况。</w:t>
      </w:r>
    </w:p>
    <w:p w14:paraId="024AF8CE" w14:textId="29930E5D" w:rsidR="000A33D6" w:rsidRPr="002D78A2" w:rsidRDefault="000A33D6" w:rsidP="003059E0">
      <w:pPr>
        <w:rPr>
          <w:rFonts w:ascii="楷体" w:eastAsia="楷体" w:hAnsi="楷体" w:hint="eastAsia"/>
        </w:rPr>
      </w:pPr>
      <w:r>
        <w:rPr>
          <w:rFonts w:ascii="楷体" w:eastAsia="楷体" w:hAnsi="楷体" w:hint="eastAsia"/>
        </w:rPr>
        <w:t>S</w:t>
      </w:r>
      <w:r>
        <w:rPr>
          <w:rFonts w:ascii="楷体" w:eastAsia="楷体" w:hAnsi="楷体"/>
        </w:rPr>
        <w:t>=0</w:t>
      </w:r>
      <w:r>
        <w:rPr>
          <w:rFonts w:ascii="楷体" w:eastAsia="楷体" w:hAnsi="楷体" w:hint="eastAsia"/>
        </w:rPr>
        <w:t>情况为自旋单态，S</w:t>
      </w:r>
      <w:r>
        <w:rPr>
          <w:rFonts w:ascii="楷体" w:eastAsia="楷体" w:hAnsi="楷体"/>
        </w:rPr>
        <w:t>=1</w:t>
      </w:r>
      <w:r>
        <w:rPr>
          <w:rFonts w:ascii="楷体" w:eastAsia="楷体" w:hAnsi="楷体" w:hint="eastAsia"/>
        </w:rPr>
        <w:t>为自旋三态。</w:t>
      </w:r>
    </w:p>
    <w:sectPr w:rsidR="000A33D6" w:rsidRPr="002D78A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98"/>
    <w:rsid w:val="000A33D6"/>
    <w:rsid w:val="00211306"/>
    <w:rsid w:val="00262BD7"/>
    <w:rsid w:val="002D78A2"/>
    <w:rsid w:val="003059E0"/>
    <w:rsid w:val="00415450"/>
    <w:rsid w:val="004D1A19"/>
    <w:rsid w:val="004D6825"/>
    <w:rsid w:val="004F5D00"/>
    <w:rsid w:val="005C1C7B"/>
    <w:rsid w:val="0067483E"/>
    <w:rsid w:val="00821098"/>
    <w:rsid w:val="00832D65"/>
    <w:rsid w:val="00A92149"/>
    <w:rsid w:val="00CB13EA"/>
    <w:rsid w:val="00DB619D"/>
    <w:rsid w:val="00F76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F9DF"/>
  <w15:chartTrackingRefBased/>
  <w15:docId w15:val="{BB28CC9D-8583-4FD8-9EAF-42961887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5D0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2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7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11</cp:revision>
  <dcterms:created xsi:type="dcterms:W3CDTF">2021-11-17T04:50:00Z</dcterms:created>
  <dcterms:modified xsi:type="dcterms:W3CDTF">2021-11-17T06:49:00Z</dcterms:modified>
</cp:coreProperties>
</file>