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8D9D9" w:sz="6" w:space="0"/>
          <w:right w:val="none" w:color="auto" w:sz="0" w:space="0"/>
        </w:pBdr>
        <w:spacing w:before="150" w:beforeAutospacing="0" w:after="0" w:afterAutospacing="0" w:line="630" w:lineRule="atLeast"/>
        <w:ind w:left="0" w:right="0"/>
        <w:jc w:val="center"/>
        <w:rPr>
          <w:b/>
          <w:color w:val="000000"/>
          <w:sz w:val="33"/>
          <w:szCs w:val="33"/>
        </w:rPr>
      </w:pPr>
      <w:r>
        <w:rPr>
          <w:b/>
          <w:i w:val="0"/>
          <w:caps w:val="0"/>
          <w:color w:val="000000"/>
          <w:spacing w:val="0"/>
          <w:sz w:val="33"/>
          <w:szCs w:val="33"/>
          <w:shd w:val="clear" w:fill="F8F8F8"/>
        </w:rPr>
        <w:t>限制Nagios报警次数技巧（Escalations）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line="540" w:lineRule="atLeast"/>
        <w:ind w:left="0" w:firstLine="0"/>
        <w:jc w:val="center"/>
        <w:rPr>
          <w:rFonts w:hint="eastAsia" w:ascii="宋体" w:hAnsi="宋体" w:eastAsia="宋体" w:cs="宋体"/>
          <w:b w:val="0"/>
          <w:i w:val="0"/>
          <w:caps w:val="0"/>
          <w:color w:val="696969"/>
          <w:spacing w:val="0"/>
          <w:sz w:val="18"/>
          <w:szCs w:val="18"/>
        </w:rPr>
      </w:pPr>
      <w:r>
        <w:rPr>
          <w:rFonts w:hint="eastAsia" w:ascii="宋体" w:hAnsi="宋体" w:eastAsia="宋体" w:cs="宋体"/>
          <w:b w:val="0"/>
          <w:i w:val="0"/>
          <w:caps w:val="0"/>
          <w:color w:val="696969"/>
          <w:spacing w:val="0"/>
          <w:kern w:val="0"/>
          <w:sz w:val="18"/>
          <w:szCs w:val="18"/>
          <w:shd w:val="clear" w:fill="F8F8F8"/>
          <w:lang w:val="en-US" w:eastAsia="zh-CN" w:bidi="ar"/>
        </w:rPr>
        <w:t>2011-03-21 15:44 佚名 javaeye </w:t>
      </w: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begin"/>
      </w:r>
      <w:r>
        <w:rPr>
          <w:rFonts w:hint="eastAsia" w:ascii="宋体" w:hAnsi="宋体" w:eastAsia="宋体" w:cs="宋体"/>
          <w:b w:val="0"/>
          <w:i w:val="0"/>
          <w:caps w:val="0"/>
          <w:color w:val="004276"/>
          <w:spacing w:val="0"/>
          <w:kern w:val="0"/>
          <w:sz w:val="18"/>
          <w:szCs w:val="18"/>
          <w:u w:val="none"/>
          <w:shd w:val="clear" w:fill="F8F8F8"/>
          <w:lang w:val="en-US" w:eastAsia="zh-CN" w:bidi="ar"/>
        </w:rPr>
        <w:instrText xml:space="preserve"> HYPERLINK "http://os.51cto.com/art/201103/250021.htm" \l "commment" \t "http://os.51cto.com/art/201103/_self" </w:instrText>
      </w: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separate"/>
      </w: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end"/>
      </w:r>
      <w:r>
        <w:rPr>
          <w:rFonts w:hint="eastAsia" w:ascii="宋体" w:hAnsi="宋体" w:eastAsia="宋体" w:cs="宋体"/>
          <w:b w:val="0"/>
          <w:i w:val="0"/>
          <w:caps w:val="0"/>
          <w:color w:val="696969"/>
          <w:spacing w:val="0"/>
          <w:kern w:val="0"/>
          <w:sz w:val="18"/>
          <w:szCs w:val="18"/>
          <w:shd w:val="clear" w:fill="F8F8F8"/>
          <w:lang w:val="en-US" w:eastAsia="zh-CN" w:bidi="ar"/>
        </w:rPr>
        <w:t>字号：</w:t>
      </w:r>
      <w:r>
        <w:rPr>
          <w:rFonts w:ascii="Arial" w:hAnsi="Arial" w:eastAsia="宋体" w:cs="Arial"/>
          <w:b/>
          <w:i w:val="0"/>
          <w:caps w:val="0"/>
          <w:color w:val="004276"/>
          <w:spacing w:val="0"/>
          <w:kern w:val="0"/>
          <w:sz w:val="21"/>
          <w:szCs w:val="21"/>
          <w:u w:val="none"/>
          <w:shd w:val="clear" w:fill="F8F8F8"/>
          <w:lang w:val="en-US" w:eastAsia="zh-CN" w:bidi="ar"/>
        </w:rPr>
        <w:fldChar w:fldCharType="begin"/>
      </w:r>
      <w:r>
        <w:rPr>
          <w:rFonts w:ascii="Arial" w:hAnsi="Arial" w:eastAsia="宋体" w:cs="Arial"/>
          <w:b/>
          <w:i w:val="0"/>
          <w:caps w:val="0"/>
          <w:color w:val="004276"/>
          <w:spacing w:val="0"/>
          <w:kern w:val="0"/>
          <w:sz w:val="21"/>
          <w:szCs w:val="21"/>
          <w:u w:val="none"/>
          <w:shd w:val="clear" w:fill="F8F8F8"/>
          <w:lang w:val="en-US" w:eastAsia="zh-CN" w:bidi="ar"/>
        </w:rPr>
        <w:instrText xml:space="preserve"> HYPERLINK "http://os.51cto.com/art/201103/javascript:setfont(12);" \t "http://os.51cto.com/art/201103/_self" </w:instrText>
      </w:r>
      <w:r>
        <w:rPr>
          <w:rFonts w:ascii="Arial" w:hAnsi="Arial" w:eastAsia="宋体" w:cs="Arial"/>
          <w:b/>
          <w:i w:val="0"/>
          <w:caps w:val="0"/>
          <w:color w:val="004276"/>
          <w:spacing w:val="0"/>
          <w:kern w:val="0"/>
          <w:sz w:val="21"/>
          <w:szCs w:val="21"/>
          <w:u w:val="none"/>
          <w:shd w:val="clear" w:fill="F8F8F8"/>
          <w:lang w:val="en-US" w:eastAsia="zh-CN" w:bidi="ar"/>
        </w:rPr>
        <w:fldChar w:fldCharType="separate"/>
      </w:r>
      <w:r>
        <w:rPr>
          <w:rStyle w:val="9"/>
          <w:rFonts w:hint="default" w:ascii="Arial" w:hAnsi="Arial" w:eastAsia="宋体" w:cs="Arial"/>
          <w:b/>
          <w:i w:val="0"/>
          <w:caps w:val="0"/>
          <w:color w:val="004276"/>
          <w:spacing w:val="0"/>
          <w:sz w:val="21"/>
          <w:szCs w:val="21"/>
          <w:u w:val="none"/>
          <w:shd w:val="clear" w:fill="F8F8F8"/>
        </w:rPr>
        <w:t>T</w:t>
      </w:r>
      <w:r>
        <w:rPr>
          <w:rFonts w:hint="default" w:ascii="Arial" w:hAnsi="Arial" w:eastAsia="宋体" w:cs="Arial"/>
          <w:b/>
          <w:i w:val="0"/>
          <w:caps w:val="0"/>
          <w:color w:val="004276"/>
          <w:spacing w:val="0"/>
          <w:kern w:val="0"/>
          <w:sz w:val="21"/>
          <w:szCs w:val="21"/>
          <w:u w:val="none"/>
          <w:shd w:val="clear" w:fill="F8F8F8"/>
          <w:lang w:val="en-US" w:eastAsia="zh-CN" w:bidi="ar"/>
        </w:rPr>
        <w:fldChar w:fldCharType="end"/>
      </w:r>
      <w:r>
        <w:rPr>
          <w:rFonts w:hint="eastAsia" w:ascii="宋体" w:hAnsi="宋体" w:eastAsia="宋体" w:cs="宋体"/>
          <w:b w:val="0"/>
          <w:i w:val="0"/>
          <w:caps w:val="0"/>
          <w:color w:val="696969"/>
          <w:spacing w:val="0"/>
          <w:kern w:val="0"/>
          <w:sz w:val="18"/>
          <w:szCs w:val="18"/>
          <w:shd w:val="clear" w:fill="F8F8F8"/>
          <w:lang w:val="en-US" w:eastAsia="zh-CN" w:bidi="ar"/>
        </w:rPr>
        <w:t> | </w:t>
      </w:r>
      <w:r>
        <w:rPr>
          <w:rFonts w:hint="default" w:ascii="Arial" w:hAnsi="Arial" w:eastAsia="宋体" w:cs="Arial"/>
          <w:b/>
          <w:i w:val="0"/>
          <w:caps w:val="0"/>
          <w:color w:val="004276"/>
          <w:spacing w:val="0"/>
          <w:kern w:val="0"/>
          <w:sz w:val="24"/>
          <w:szCs w:val="24"/>
          <w:u w:val="none"/>
          <w:shd w:val="clear" w:fill="F8F8F8"/>
          <w:lang w:val="en-US" w:eastAsia="zh-CN" w:bidi="ar"/>
        </w:rPr>
        <w:fldChar w:fldCharType="begin"/>
      </w:r>
      <w:r>
        <w:rPr>
          <w:rFonts w:hint="default" w:ascii="Arial" w:hAnsi="Arial" w:eastAsia="宋体" w:cs="Arial"/>
          <w:b/>
          <w:i w:val="0"/>
          <w:caps w:val="0"/>
          <w:color w:val="004276"/>
          <w:spacing w:val="0"/>
          <w:kern w:val="0"/>
          <w:sz w:val="24"/>
          <w:szCs w:val="24"/>
          <w:u w:val="none"/>
          <w:shd w:val="clear" w:fill="F8F8F8"/>
          <w:lang w:val="en-US" w:eastAsia="zh-CN" w:bidi="ar"/>
        </w:rPr>
        <w:instrText xml:space="preserve"> HYPERLINK "http://os.51cto.com/art/201103/javascript:setfont(16);" \t "http://os.51cto.com/art/201103/_self" </w:instrText>
      </w:r>
      <w:r>
        <w:rPr>
          <w:rFonts w:hint="default" w:ascii="Arial" w:hAnsi="Arial" w:eastAsia="宋体" w:cs="Arial"/>
          <w:b/>
          <w:i w:val="0"/>
          <w:caps w:val="0"/>
          <w:color w:val="004276"/>
          <w:spacing w:val="0"/>
          <w:kern w:val="0"/>
          <w:sz w:val="24"/>
          <w:szCs w:val="24"/>
          <w:u w:val="none"/>
          <w:shd w:val="clear" w:fill="F8F8F8"/>
          <w:lang w:val="en-US" w:eastAsia="zh-CN" w:bidi="ar"/>
        </w:rPr>
        <w:fldChar w:fldCharType="separate"/>
      </w:r>
      <w:r>
        <w:rPr>
          <w:rStyle w:val="9"/>
          <w:rFonts w:hint="default" w:ascii="Arial" w:hAnsi="Arial" w:eastAsia="宋体" w:cs="Arial"/>
          <w:b/>
          <w:i w:val="0"/>
          <w:caps w:val="0"/>
          <w:color w:val="004276"/>
          <w:spacing w:val="0"/>
          <w:sz w:val="24"/>
          <w:szCs w:val="24"/>
          <w:u w:val="none"/>
          <w:shd w:val="clear" w:fill="F8F8F8"/>
        </w:rPr>
        <w:t>T</w:t>
      </w:r>
      <w:r>
        <w:rPr>
          <w:rFonts w:hint="default" w:ascii="Arial" w:hAnsi="Arial" w:eastAsia="宋体" w:cs="Arial"/>
          <w:b/>
          <w:i w:val="0"/>
          <w:caps w:val="0"/>
          <w:color w:val="004276"/>
          <w:spacing w:val="0"/>
          <w:kern w:val="0"/>
          <w:sz w:val="24"/>
          <w:szCs w:val="24"/>
          <w:u w:val="none"/>
          <w:shd w:val="clear" w:fill="F8F8F8"/>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line="540" w:lineRule="atLeast"/>
        <w:ind w:left="0" w:firstLine="0"/>
        <w:jc w:val="center"/>
        <w:rPr>
          <w:rFonts w:hint="eastAsia" w:ascii="宋体" w:hAnsi="宋体" w:eastAsia="宋体" w:cs="宋体"/>
          <w:b w:val="0"/>
          <w:i w:val="0"/>
          <w:caps w:val="0"/>
          <w:color w:val="696969"/>
          <w:spacing w:val="0"/>
          <w:sz w:val="18"/>
          <w:szCs w:val="18"/>
        </w:rPr>
      </w:pP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begin"/>
      </w:r>
      <w:r>
        <w:rPr>
          <w:rFonts w:hint="eastAsia" w:ascii="宋体" w:hAnsi="宋体" w:eastAsia="宋体" w:cs="宋体"/>
          <w:b w:val="0"/>
          <w:i w:val="0"/>
          <w:caps w:val="0"/>
          <w:color w:val="004276"/>
          <w:spacing w:val="0"/>
          <w:kern w:val="0"/>
          <w:sz w:val="18"/>
          <w:szCs w:val="18"/>
          <w:u w:val="none"/>
          <w:shd w:val="clear" w:fill="F8F8F8"/>
          <w:lang w:val="en-US" w:eastAsia="zh-CN" w:bidi="ar"/>
        </w:rPr>
        <w:instrText xml:space="preserve"> HYPERLINK "http://os.51cto.com/art/201103/javascript:favorBox('open');" \o "一键收藏，随时查看，分享好友！" \t "http://os.51cto.com/art/201103/_self" </w:instrText>
      </w: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separate"/>
      </w:r>
      <w:r>
        <w:rPr>
          <w:rStyle w:val="9"/>
          <w:rFonts w:hint="eastAsia" w:ascii="宋体" w:hAnsi="宋体" w:eastAsia="宋体" w:cs="宋体"/>
          <w:b w:val="0"/>
          <w:i w:val="0"/>
          <w:caps w:val="0"/>
          <w:color w:val="004276"/>
          <w:spacing w:val="0"/>
          <w:sz w:val="18"/>
          <w:szCs w:val="18"/>
          <w:u w:val="none"/>
          <w:shd w:val="clear" w:fill="F8F8F8"/>
        </w:rPr>
        <w:fldChar w:fldCharType="begin"/>
      </w:r>
      <w:r>
        <w:rPr>
          <w:rStyle w:val="9"/>
          <w:rFonts w:hint="eastAsia" w:ascii="宋体" w:hAnsi="宋体" w:eastAsia="宋体" w:cs="宋体"/>
          <w:b w:val="0"/>
          <w:i w:val="0"/>
          <w:caps w:val="0"/>
          <w:color w:val="004276"/>
          <w:spacing w:val="0"/>
          <w:sz w:val="18"/>
          <w:szCs w:val="18"/>
          <w:u w:val="none"/>
          <w:shd w:val="clear" w:fill="F8F8F8"/>
        </w:rPr>
        <w:instrText xml:space="preserve">INCLUDEPICTURE \d "http://images.51cto.com/images/art/newart1012/images/Fav.gif" \* MERGEFORMATINET </w:instrText>
      </w:r>
      <w:r>
        <w:rPr>
          <w:rStyle w:val="9"/>
          <w:rFonts w:hint="eastAsia" w:ascii="宋体" w:hAnsi="宋体" w:eastAsia="宋体" w:cs="宋体"/>
          <w:b w:val="0"/>
          <w:i w:val="0"/>
          <w:caps w:val="0"/>
          <w:color w:val="004276"/>
          <w:spacing w:val="0"/>
          <w:sz w:val="18"/>
          <w:szCs w:val="18"/>
          <w:u w:val="none"/>
          <w:shd w:val="clear" w:fill="F8F8F8"/>
        </w:rPr>
        <w:fldChar w:fldCharType="separate"/>
      </w:r>
      <w:r>
        <w:rPr>
          <w:rStyle w:val="9"/>
          <w:rFonts w:hint="eastAsia" w:ascii="宋体" w:hAnsi="宋体" w:eastAsia="宋体" w:cs="宋体"/>
          <w:b w:val="0"/>
          <w:i w:val="0"/>
          <w:caps w:val="0"/>
          <w:color w:val="004276"/>
          <w:spacing w:val="0"/>
          <w:sz w:val="18"/>
          <w:szCs w:val="18"/>
          <w:u w:val="none"/>
          <w:shd w:val="clear" w:fill="F8F8F8"/>
        </w:rPr>
        <w:drawing>
          <wp:inline distT="0" distB="0" distL="114300" distR="114300">
            <wp:extent cx="466725" cy="171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6725" cy="171450"/>
                    </a:xfrm>
                    <a:prstGeom prst="rect">
                      <a:avLst/>
                    </a:prstGeom>
                    <a:noFill/>
                    <a:ln w="9525">
                      <a:noFill/>
                    </a:ln>
                  </pic:spPr>
                </pic:pic>
              </a:graphicData>
            </a:graphic>
          </wp:inline>
        </w:drawing>
      </w:r>
      <w:r>
        <w:rPr>
          <w:rStyle w:val="9"/>
          <w:rFonts w:hint="eastAsia" w:ascii="宋体" w:hAnsi="宋体" w:eastAsia="宋体" w:cs="宋体"/>
          <w:b w:val="0"/>
          <w:i w:val="0"/>
          <w:caps w:val="0"/>
          <w:color w:val="004276"/>
          <w:spacing w:val="0"/>
          <w:sz w:val="18"/>
          <w:szCs w:val="18"/>
          <w:u w:val="none"/>
          <w:shd w:val="clear" w:fill="F8F8F8"/>
        </w:rPr>
        <w:fldChar w:fldCharType="end"/>
      </w:r>
      <w:r>
        <w:rPr>
          <w:rFonts w:hint="eastAsia" w:ascii="宋体" w:hAnsi="宋体" w:eastAsia="宋体" w:cs="宋体"/>
          <w:b w:val="0"/>
          <w:i w:val="0"/>
          <w:caps w:val="0"/>
          <w:color w:val="004276"/>
          <w:spacing w:val="0"/>
          <w:kern w:val="0"/>
          <w:sz w:val="18"/>
          <w:szCs w:val="18"/>
          <w:u w:val="none"/>
          <w:shd w:val="clear" w:fill="F8F8F8"/>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color w:val="006600"/>
          <w:sz w:val="21"/>
          <w:szCs w:val="21"/>
        </w:rPr>
      </w:pPr>
      <w:r>
        <w:rPr>
          <w:rFonts w:hint="eastAsia" w:ascii="宋体" w:hAnsi="宋体" w:eastAsia="宋体" w:cs="宋体"/>
          <w:b w:val="0"/>
          <w:i w:val="0"/>
          <w:caps w:val="0"/>
          <w:color w:val="006600"/>
          <w:spacing w:val="0"/>
          <w:sz w:val="21"/>
          <w:szCs w:val="21"/>
          <w:shd w:val="clear" w:fill="FFFFFF"/>
        </w:rPr>
        <w:t>用Escalations限制Nagios报警次数：Nagios是一款强大的监控工具，特别是他的报警功能，但是如果服务器出现故障未及时解决，那么Nagio就不断得发送消息。该通过怎么样的方式限制Nagios报警次数呢？本文讲述的是限制Nagios报警次数技巧（Escal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right"/>
        <w:rPr>
          <w:color w:val="333333"/>
        </w:rPr>
      </w:pPr>
      <w:r>
        <w:rPr>
          <w:rFonts w:hint="eastAsia" w:ascii="宋体" w:hAnsi="宋体" w:eastAsia="宋体" w:cs="宋体"/>
          <w:b w:val="0"/>
          <w:i w:val="0"/>
          <w:caps w:val="0"/>
          <w:color w:val="333333"/>
          <w:spacing w:val="0"/>
          <w:sz w:val="18"/>
          <w:szCs w:val="18"/>
          <w:shd w:val="clear" w:fill="FFFFFF"/>
        </w:rPr>
        <w:t>AD：</w:t>
      </w:r>
      <w:r>
        <w:rPr>
          <w:rFonts w:hint="eastAsia" w:ascii="宋体" w:hAnsi="宋体" w:eastAsia="宋体" w:cs="宋体"/>
          <w:b w:val="0"/>
          <w:i w:val="0"/>
          <w:caps w:val="0"/>
          <w:color w:val="FF0000"/>
          <w:spacing w:val="0"/>
          <w:sz w:val="18"/>
          <w:szCs w:val="18"/>
          <w:u w:val="none"/>
          <w:shd w:val="clear" w:fill="FFFFFF"/>
        </w:rPr>
        <w:fldChar w:fldCharType="begin"/>
      </w:r>
      <w:r>
        <w:rPr>
          <w:rFonts w:hint="eastAsia" w:ascii="宋体" w:hAnsi="宋体" w:eastAsia="宋体" w:cs="宋体"/>
          <w:b w:val="0"/>
          <w:i w:val="0"/>
          <w:caps w:val="0"/>
          <w:color w:val="FF0000"/>
          <w:spacing w:val="0"/>
          <w:sz w:val="18"/>
          <w:szCs w:val="18"/>
          <w:u w:val="none"/>
          <w:shd w:val="clear" w:fill="FFFFFF"/>
        </w:rPr>
        <w:instrText xml:space="preserve"> HYPERLINK "http://mobile.51cto.com/mobile/mdsa12/" \t "http://os.51cto.com/art/201103/_blank" </w:instrText>
      </w:r>
      <w:r>
        <w:rPr>
          <w:rFonts w:hint="eastAsia" w:ascii="宋体" w:hAnsi="宋体" w:eastAsia="宋体" w:cs="宋体"/>
          <w:b w:val="0"/>
          <w:i w:val="0"/>
          <w:caps w:val="0"/>
          <w:color w:val="FF0000"/>
          <w:spacing w:val="0"/>
          <w:sz w:val="18"/>
          <w:szCs w:val="18"/>
          <w:u w:val="none"/>
          <w:shd w:val="clear" w:fill="FFFFFF"/>
        </w:rPr>
        <w:fldChar w:fldCharType="separate"/>
      </w:r>
      <w:r>
        <w:rPr>
          <w:rStyle w:val="9"/>
          <w:rFonts w:hint="eastAsia" w:ascii="宋体" w:hAnsi="宋体" w:eastAsia="宋体" w:cs="宋体"/>
          <w:b w:val="0"/>
          <w:i w:val="0"/>
          <w:caps w:val="0"/>
          <w:color w:val="FF0000"/>
          <w:spacing w:val="0"/>
          <w:sz w:val="18"/>
          <w:szCs w:val="18"/>
          <w:u w:val="none"/>
          <w:shd w:val="clear" w:fill="FFFFFF"/>
        </w:rPr>
        <w:t>51CTO 网+ 第十二期沙龙：大话数据之美_如何用数据驱动用户体验</w:t>
      </w:r>
      <w:r>
        <w:rPr>
          <w:rFonts w:hint="eastAsia" w:ascii="宋体" w:hAnsi="宋体" w:eastAsia="宋体" w:cs="宋体"/>
          <w:b w:val="0"/>
          <w:i w:val="0"/>
          <w:caps w:val="0"/>
          <w:color w:val="FF0000"/>
          <w:spacing w:val="0"/>
          <w:sz w:val="18"/>
          <w:szCs w:val="18"/>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巧用</w:t>
      </w:r>
      <w:r>
        <w:rPr>
          <w:rStyle w:val="8"/>
          <w:rFonts w:hint="eastAsia" w:ascii="宋体" w:hAnsi="宋体" w:eastAsia="宋体" w:cs="宋体"/>
          <w:b/>
          <w:i w:val="0"/>
          <w:caps w:val="0"/>
          <w:color w:val="333333"/>
          <w:spacing w:val="0"/>
          <w:sz w:val="21"/>
          <w:szCs w:val="21"/>
          <w:shd w:val="clear" w:fill="F8F8F8"/>
        </w:rPr>
        <w:t>escalations</w:t>
      </w:r>
      <w:r>
        <w:rPr>
          <w:rFonts w:hint="eastAsia" w:ascii="宋体" w:hAnsi="宋体" w:eastAsia="宋体" w:cs="宋体"/>
          <w:b w:val="0"/>
          <w:i w:val="0"/>
          <w:caps w:val="0"/>
          <w:color w:val="333333"/>
          <w:spacing w:val="0"/>
          <w:sz w:val="21"/>
          <w:szCs w:val="21"/>
          <w:shd w:val="clear" w:fill="F8F8F8"/>
        </w:rPr>
        <w:t>限制</w:t>
      </w:r>
      <w:r>
        <w:rPr>
          <w:rStyle w:val="8"/>
          <w:rFonts w:hint="eastAsia" w:ascii="宋体" w:hAnsi="宋体" w:eastAsia="宋体" w:cs="宋体"/>
          <w:b/>
          <w:i w:val="0"/>
          <w:caps w:val="0"/>
          <w:color w:val="333333"/>
          <w:spacing w:val="0"/>
          <w:sz w:val="21"/>
          <w:szCs w:val="21"/>
          <w:shd w:val="clear" w:fill="F8F8F8"/>
        </w:rPr>
        <w:t>Nagios</w:t>
      </w:r>
      <w:r>
        <w:rPr>
          <w:rFonts w:hint="eastAsia" w:ascii="宋体" w:hAnsi="宋体" w:eastAsia="宋体" w:cs="宋体"/>
          <w:b w:val="0"/>
          <w:i w:val="0"/>
          <w:caps w:val="0"/>
          <w:color w:val="333333"/>
          <w:spacing w:val="0"/>
          <w:sz w:val="21"/>
          <w:szCs w:val="21"/>
          <w:shd w:val="clear" w:fill="F8F8F8"/>
        </w:rPr>
        <w:t>报警次数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Nagios是非常强大的一款监控工具，尤其是它的告警功能，现在网上实现的形式多种多样如结合移动139邮箱、Fetion、MSN等，但是如果服务器出现故障而未能及时的解决，Nagios就会不断的发送告警信息，实在令人头疼。现在用如下方法可以解决Nagios的告警次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系统环境：CentOS 5.2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Nagios版本：3.0.6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Nagios安装路径：/usr/local/nagios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配置文件内容定义：#基本的配置就不再进行注释了。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ascii="Courier New" w:hAnsi="Courier New" w:cs="Courier New"/>
          <w:b w:val="0"/>
          <w:i w:val="0"/>
          <w:caps w:val="0"/>
          <w:color w:val="000000"/>
          <w:spacing w:val="0"/>
          <w:sz w:val="18"/>
          <w:szCs w:val="18"/>
          <w:shd w:val="clear" w:fill="F7F7F7"/>
        </w:rPr>
        <w:t>hosts.cfg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host{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host_name WWW-Server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alias WWW-Server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address 193.1.16.100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check_command check-host-alive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max_check_attempts 5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notification_interval 10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notification_options d,u,r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notifications_enabled 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contact_groups chengnan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Services.cfg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service{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host_name WWW-Server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service_description Check_HTTP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check_command check_http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max_check_attempts 10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normal_check_interval 3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retry_check_interval 2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notification_interval 5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notification_options w,u,c,r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contact_groups admin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service{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host_name WWW-Server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service_description Check_Jetty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check_command check_tcp!8080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max_check_attempts 10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normal_check_interval 3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retry_check_interval 2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check_period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notification_interval 5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notification_options w,u,c,r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contact_groups admin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Contacts.cfg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contact{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contact_name chengnan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alias chengnan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host_notification_period 24x7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service_notification_options w,u,c,r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host_notification_options d,u,r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service_notification_commands notify-service-by-email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host_notification_commands notify-host-by-email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email chengnan@139.com //手机邮箱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contactgroup{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contactgroup_name chengnan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alias Nagios Administrators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members chengnan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除此之外再定义一个联系人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contact{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contact_name chengnan_cor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alias chengnan_cor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service_notification_period 24x7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host_notification_period 24x7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service_notification_options w,u,c,r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host_notification_options d,u,r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service_notification_commands notify-service-by-email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host_notification_commands notify-host-by-email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email chengnan@company.com //公司邮箱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contactgroup{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contactgroup_name sysadmin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alias sysadmin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members chengnan_cor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然后创建一个配置文件：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vi escalations.cfg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escalations有自动调整;不断增加; 逐步上升等意思，本身配置文件的功能是当服务在某一告警次数前没有恢复，告警频率周期将会缩短，同时将告警信息发送至指定联系人。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其内容为：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hostescalation{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host_name WWW-Server //被监控主机名称，与Hosts.cfg中一致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first_notification 4 // 第n条信息起，改变频率间隔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last_notification 0 // 第n条信息起，恢复频率间隔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notification_interval 30 // 通知间隔(分)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contact_groups sysadmin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说明：从第4条告警信息起至服务器恢复前，告警信息发送至sysadmin组下的联系人，告警间隔为30分钟1条信息。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define serviceescalation{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host_name WWW-Server //被监控主机名称，与Hosts.cfg中一致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service_description Check_HTTP,Check_Jetty //被监控服务名称，与Services.cfg中一致  </w:t>
      </w:r>
      <w:r>
        <w:rPr>
          <w:rFonts w:hint="eastAsia" w:ascii="Courier New" w:hAnsi="Courier New" w:cs="Courier New"/>
          <w:b w:val="0"/>
          <w:i w:val="0"/>
          <w:caps w:val="0"/>
          <w:color w:val="000000"/>
          <w:spacing w:val="0"/>
          <w:sz w:val="18"/>
          <w:szCs w:val="18"/>
          <w:shd w:val="clear" w:fill="F7F7F7"/>
          <w:lang w:eastAsia="zh-CN"/>
        </w:rPr>
        <w:t>，多个服务用逗号间隔</w:t>
      </w:r>
      <w:bookmarkStart w:id="0" w:name="_GoBack"/>
      <w:bookmarkEnd w:id="0"/>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first_notification 4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last_notification 0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notification_interval 30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contact_groups sysadmin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保存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修改nagios.cfg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vi nagios.cfg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添加：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FF0000"/>
          <w:spacing w:val="0"/>
          <w:sz w:val="18"/>
          <w:szCs w:val="18"/>
          <w:shd w:val="clear" w:fill="F7F7F7"/>
        </w:rPr>
        <w:t>cfg_file</w:t>
      </w:r>
      <w:r>
        <w:rPr>
          <w:rFonts w:hint="default" w:ascii="Courier New" w:hAnsi="Courier New" w:cs="Courier New"/>
          <w:b w:val="0"/>
          <w:i w:val="0"/>
          <w:caps w:val="0"/>
          <w:color w:val="000000"/>
          <w:spacing w:val="0"/>
          <w:sz w:val="18"/>
          <w:szCs w:val="18"/>
          <w:shd w:val="clear" w:fill="F7F7F7"/>
        </w:rPr>
        <w:t>=/usr/local/nagios/etc/objects/escalations.cfg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检查nagios配置文件是否正确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/usr/local/nagios/bin/nagios -v /usr/local/nagios/etc/nagios.cfg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Style w:val="8"/>
          <w:rFonts w:hint="eastAsia" w:ascii="宋体" w:hAnsi="宋体" w:eastAsia="宋体" w:cs="宋体"/>
          <w:b/>
          <w:i w:val="0"/>
          <w:caps w:val="0"/>
          <w:color w:val="333333"/>
          <w:spacing w:val="0"/>
          <w:sz w:val="21"/>
          <w:szCs w:val="21"/>
          <w:shd w:val="clear" w:fill="F8F8F8"/>
        </w:rPr>
        <w:t>重新启动nagios服务: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pPr>
      <w:r>
        <w:rPr>
          <w:rFonts w:hint="default" w:ascii="Courier New" w:hAnsi="Courier New" w:cs="Courier New"/>
          <w:b w:val="0"/>
          <w:i w:val="0"/>
          <w:caps w:val="0"/>
          <w:color w:val="000000"/>
          <w:spacing w:val="0"/>
          <w:sz w:val="18"/>
          <w:szCs w:val="18"/>
          <w:shd w:val="clear" w:fill="F7F7F7"/>
        </w:rPr>
        <w:t>service nagios restart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hanging="360"/>
        <w:rPr>
          <w:color w:val="5C5C5C"/>
        </w:rPr>
      </w:pPr>
      <w:r>
        <w:rPr>
          <w:rFonts w:hint="default" w:ascii="Courier New" w:hAnsi="Courier New" w:cs="Courier New"/>
          <w:b w:val="0"/>
          <w:i w:val="0"/>
          <w:caps w:val="0"/>
          <w:color w:val="000000"/>
          <w:spacing w:val="0"/>
          <w:sz w:val="18"/>
          <w:szCs w:val="18"/>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Style w:val="8"/>
          <w:rFonts w:hint="eastAsia" w:ascii="宋体" w:hAnsi="宋体" w:eastAsia="宋体" w:cs="宋体"/>
          <w:b/>
          <w:i w:val="0"/>
          <w:caps w:val="0"/>
          <w:color w:val="333333"/>
          <w:spacing w:val="0"/>
          <w:sz w:val="21"/>
          <w:szCs w:val="21"/>
          <w:shd w:val="clear" w:fill="F8F8F8"/>
        </w:rPr>
        <w:t>测试</w:t>
      </w:r>
      <w:r>
        <w:rPr>
          <w:rFonts w:hint="eastAsia" w:ascii="宋体" w:hAnsi="宋体" w:eastAsia="宋体" w:cs="宋体"/>
          <w:b w:val="0"/>
          <w:i w:val="0"/>
          <w:caps w:val="0"/>
          <w:color w:val="333333"/>
          <w:spacing w:val="0"/>
          <w:sz w:val="21"/>
          <w:szCs w:val="21"/>
          <w:shd w:val="clear" w:fill="F8F8F8"/>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服务器启动后停掉被监控测试机的相应服务，确认告警信息是否按照设置发送至不同信箱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Style w:val="8"/>
          <w:rFonts w:hint="eastAsia" w:ascii="宋体" w:hAnsi="宋体" w:eastAsia="宋体" w:cs="宋体"/>
          <w:b/>
          <w:i w:val="0"/>
          <w:caps w:val="0"/>
          <w:color w:val="333333"/>
          <w:spacing w:val="0"/>
          <w:sz w:val="21"/>
          <w:szCs w:val="21"/>
          <w:shd w:val="clear" w:fill="F8F8F8"/>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420" w:lineRule="atLeast"/>
        <w:ind w:left="0" w:right="0" w:firstLine="420"/>
        <w:rPr>
          <w:color w:val="333333"/>
        </w:rPr>
      </w:pPr>
      <w:r>
        <w:rPr>
          <w:rFonts w:hint="eastAsia" w:ascii="宋体" w:hAnsi="宋体" w:eastAsia="宋体" w:cs="宋体"/>
          <w:b w:val="0"/>
          <w:i w:val="0"/>
          <w:caps w:val="0"/>
          <w:color w:val="333333"/>
          <w:spacing w:val="0"/>
          <w:sz w:val="21"/>
          <w:szCs w:val="21"/>
          <w:shd w:val="clear" w:fill="F8F8F8"/>
        </w:rPr>
        <w:t>escalations这个功能官方给的定义是notification的扩充，使notification变得更加灵活，方便。文中我使用的方法算是耍了个小聪明，将第四条告警信息后的所有信息全部发送至我公司邮箱直至服务器恢复(recovery的信息还是会发送至手机的)，从而实现限制告警信息发送至手机的条数。这样，用Escalations限制Nagios报警次数的功能就成功实现了。</w:t>
      </w:r>
    </w:p>
    <w:p/>
    <w:p>
      <w:pPr>
        <w:pStyle w:val="2"/>
        <w:rPr>
          <w:rFonts w:hint="eastAsia"/>
          <w:lang w:eastAsia="zh-CN"/>
        </w:rPr>
      </w:pPr>
      <w:r>
        <w:rPr>
          <w:rFonts w:hint="eastAsia"/>
          <w:lang w:eastAsia="zh-CN"/>
        </w:rPr>
        <w:t>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E73A0"/>
          <w:sz w:val="27"/>
          <w:szCs w:val="27"/>
        </w:rPr>
      </w:pPr>
      <w:r>
        <w:rPr>
          <w:rFonts w:hint="eastAsia" w:ascii="微软雅黑" w:hAnsi="微软雅黑" w:eastAsia="微软雅黑" w:cs="微软雅黑"/>
          <w:i w:val="0"/>
          <w:caps w:val="0"/>
          <w:color w:val="3E73A0"/>
          <w:spacing w:val="0"/>
          <w:sz w:val="27"/>
          <w:szCs w:val="27"/>
          <w:bdr w:val="none" w:color="auto" w:sz="0" w:space="0"/>
          <w:shd w:val="clear" w:fill="BCD3E5"/>
        </w:rPr>
        <w:t>nagios报警的次数限制的参数</w:t>
      </w:r>
    </w:p>
    <w:p>
      <w:pPr>
        <w:keepNext w:val="0"/>
        <w:keepLines w:val="0"/>
        <w:widowControl/>
        <w:suppressLineNumbers w:val="0"/>
        <w:pBdr>
          <w:bottom w:val="none" w:color="auto" w:sz="0" w:space="0"/>
        </w:pBdr>
        <w:shd w:val="clear" w:fill="BCD3E5"/>
        <w:spacing w:line="300" w:lineRule="atLeast"/>
        <w:ind w:left="0" w:firstLine="0"/>
        <w:jc w:val="left"/>
        <w:rPr>
          <w:rFonts w:hint="eastAsia" w:ascii="Verdana" w:hAnsi="Verdana" w:cs="Verdana"/>
          <w:b w:val="0"/>
          <w:i w:val="0"/>
          <w:caps w:val="0"/>
          <w:color w:val="464646"/>
          <w:spacing w:val="0"/>
          <w:sz w:val="18"/>
          <w:szCs w:val="18"/>
        </w:rPr>
      </w:pPr>
      <w:r>
        <w:rPr>
          <w:rFonts w:hint="default" w:ascii="Verdana" w:hAnsi="Verdana" w:eastAsia="宋体" w:cs="Verdana"/>
          <w:b w:val="0"/>
          <w:i w:val="0"/>
          <w:caps w:val="0"/>
          <w:color w:val="464646"/>
          <w:spacing w:val="0"/>
          <w:kern w:val="0"/>
          <w:sz w:val="18"/>
          <w:szCs w:val="18"/>
          <w:shd w:val="clear" w:fill="BCD3E5"/>
          <w:lang w:val="en-US" w:eastAsia="zh-CN" w:bidi="ar"/>
        </w:rPr>
        <w:t> </w:t>
      </w:r>
      <w:r>
        <w:rPr>
          <w:rFonts w:ascii="Arial" w:hAnsi="Arial" w:eastAsia="宋体" w:cs="Arial"/>
          <w:b w:val="0"/>
          <w:i w:val="0"/>
          <w:caps w:val="0"/>
          <w:color w:val="747474"/>
          <w:spacing w:val="0"/>
          <w:kern w:val="0"/>
          <w:sz w:val="15"/>
          <w:szCs w:val="15"/>
          <w:shd w:val="clear" w:fill="BCD3E5"/>
          <w:lang w:val="en-US" w:eastAsia="zh-CN" w:bidi="ar"/>
        </w:rPr>
        <w:t>(2012-06-01 17:53:33)</w:t>
      </w:r>
    </w:p>
    <w:p>
      <w:pPr>
        <w:keepNext w:val="0"/>
        <w:keepLines w:val="0"/>
        <w:widowControl/>
        <w:suppressLineNumbers w:val="0"/>
        <w:pBdr>
          <w:bottom w:val="none" w:color="auto" w:sz="0" w:space="0"/>
        </w:pBdr>
        <w:shd w:val="clear" w:fill="BCD3E5"/>
        <w:spacing w:line="300" w:lineRule="atLeast"/>
        <w:ind w:left="0" w:firstLine="0"/>
        <w:jc w:val="left"/>
        <w:rPr>
          <w:rFonts w:hint="default" w:ascii="Verdana" w:hAnsi="Verdana" w:cs="Verdana"/>
          <w:b w:val="0"/>
          <w:i w:val="0"/>
          <w:caps w:val="0"/>
          <w:color w:val="464646"/>
          <w:spacing w:val="0"/>
          <w:sz w:val="18"/>
          <w:szCs w:val="18"/>
        </w:rPr>
      </w:pPr>
      <w:r>
        <w:rPr>
          <w:rFonts w:hint="default" w:ascii="Verdana" w:hAnsi="Verdana" w:eastAsia="宋体" w:cs="Verdana"/>
          <w:b w:val="0"/>
          <w:i w:val="0"/>
          <w:caps w:val="0"/>
          <w:color w:val="333333"/>
          <w:spacing w:val="75"/>
          <w:kern w:val="0"/>
          <w:sz w:val="18"/>
          <w:szCs w:val="18"/>
          <w:u w:val="none"/>
          <w:bdr w:val="none" w:color="auto" w:sz="0" w:space="0"/>
          <w:shd w:val="clear" w:fill="BCD3E5"/>
          <w:lang w:val="en-US" w:eastAsia="zh-CN" w:bidi="ar"/>
        </w:rPr>
        <w:fldChar w:fldCharType="begin"/>
      </w:r>
      <w:r>
        <w:rPr>
          <w:rFonts w:hint="default" w:ascii="Verdana" w:hAnsi="Verdana" w:eastAsia="宋体" w:cs="Verdana"/>
          <w:b w:val="0"/>
          <w:i w:val="0"/>
          <w:caps w:val="0"/>
          <w:color w:val="333333"/>
          <w:spacing w:val="75"/>
          <w:kern w:val="0"/>
          <w:sz w:val="18"/>
          <w:szCs w:val="18"/>
          <w:u w:val="none"/>
          <w:bdr w:val="none" w:color="auto" w:sz="0" w:space="0"/>
          <w:shd w:val="clear" w:fill="BCD3E5"/>
          <w:lang w:val="en-US" w:eastAsia="zh-CN" w:bidi="ar"/>
        </w:rPr>
        <w:instrText xml:space="preserve"> HYPERLINK "http://blog.sina.com.cn/s/javascript:;" </w:instrText>
      </w:r>
      <w:r>
        <w:rPr>
          <w:rFonts w:hint="default" w:ascii="Verdana" w:hAnsi="Verdana" w:eastAsia="宋体" w:cs="Verdana"/>
          <w:b w:val="0"/>
          <w:i w:val="0"/>
          <w:caps w:val="0"/>
          <w:color w:val="333333"/>
          <w:spacing w:val="75"/>
          <w:kern w:val="0"/>
          <w:sz w:val="18"/>
          <w:szCs w:val="18"/>
          <w:u w:val="none"/>
          <w:bdr w:val="none" w:color="auto" w:sz="0" w:space="0"/>
          <w:shd w:val="clear" w:fill="BCD3E5"/>
          <w:lang w:val="en-US" w:eastAsia="zh-CN" w:bidi="ar"/>
        </w:rPr>
        <w:fldChar w:fldCharType="separate"/>
      </w:r>
      <w:r>
        <w:rPr>
          <w:rStyle w:val="9"/>
          <w:rFonts w:hint="default" w:ascii="Verdana" w:hAnsi="Verdana" w:eastAsia="宋体" w:cs="Verdana"/>
          <w:b w:val="0"/>
          <w:i w:val="0"/>
          <w:caps w:val="0"/>
          <w:color w:val="333333"/>
          <w:spacing w:val="75"/>
          <w:sz w:val="18"/>
          <w:szCs w:val="18"/>
          <w:u w:val="none"/>
          <w:bdr w:val="none" w:color="auto" w:sz="0" w:space="0"/>
          <w:shd w:val="clear" w:fill="BCD3E5"/>
        </w:rPr>
        <w:fldChar w:fldCharType="begin"/>
      </w:r>
      <w:r>
        <w:rPr>
          <w:rStyle w:val="9"/>
          <w:rFonts w:hint="default" w:ascii="Verdana" w:hAnsi="Verdana" w:eastAsia="宋体" w:cs="Verdana"/>
          <w:b w:val="0"/>
          <w:i w:val="0"/>
          <w:caps w:val="0"/>
          <w:color w:val="333333"/>
          <w:spacing w:val="75"/>
          <w:sz w:val="18"/>
          <w:szCs w:val="18"/>
          <w:u w:val="none"/>
          <w:bdr w:val="none" w:color="auto" w:sz="0" w:space="0"/>
          <w:shd w:val="clear" w:fill="BCD3E5"/>
        </w:rPr>
        <w:instrText xml:space="preserve">INCLUDEPICTURE \d "http://simg.sinajs.cn/blog7style/images/common/sg_trans.gif" \* MERGEFORMATINET </w:instrText>
      </w:r>
      <w:r>
        <w:rPr>
          <w:rStyle w:val="9"/>
          <w:rFonts w:hint="default" w:ascii="Verdana" w:hAnsi="Verdana" w:eastAsia="宋体" w:cs="Verdana"/>
          <w:b w:val="0"/>
          <w:i w:val="0"/>
          <w:caps w:val="0"/>
          <w:color w:val="333333"/>
          <w:spacing w:val="75"/>
          <w:sz w:val="18"/>
          <w:szCs w:val="18"/>
          <w:u w:val="none"/>
          <w:bdr w:val="none" w:color="auto" w:sz="0" w:space="0"/>
          <w:shd w:val="clear" w:fill="BCD3E5"/>
        </w:rPr>
        <w:fldChar w:fldCharType="separate"/>
      </w:r>
      <w:r>
        <w:rPr>
          <w:rStyle w:val="9"/>
          <w:rFonts w:hint="default" w:ascii="Verdana" w:hAnsi="Verdana" w:eastAsia="宋体" w:cs="Verdana"/>
          <w:b w:val="0"/>
          <w:i w:val="0"/>
          <w:caps w:val="0"/>
          <w:color w:val="333333"/>
          <w:spacing w:val="75"/>
          <w:sz w:val="18"/>
          <w:szCs w:val="18"/>
          <w:u w:val="none"/>
          <w:bdr w:val="none" w:color="auto" w:sz="0" w:space="0"/>
          <w:shd w:val="clear" w:fill="BCD3E5"/>
        </w:rPr>
        <w:drawing>
          <wp:inline distT="0" distB="0" distL="114300" distR="114300">
            <wp:extent cx="142875" cy="1428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r>
        <w:rPr>
          <w:rStyle w:val="9"/>
          <w:rFonts w:hint="default" w:ascii="Verdana" w:hAnsi="Verdana" w:eastAsia="宋体" w:cs="Verdana"/>
          <w:b w:val="0"/>
          <w:i w:val="0"/>
          <w:caps w:val="0"/>
          <w:color w:val="333333"/>
          <w:spacing w:val="75"/>
          <w:sz w:val="18"/>
          <w:szCs w:val="18"/>
          <w:u w:val="none"/>
          <w:bdr w:val="none" w:color="auto" w:sz="0" w:space="0"/>
          <w:shd w:val="clear" w:fill="BCD3E5"/>
        </w:rPr>
        <w:fldChar w:fldCharType="end"/>
      </w:r>
      <w:r>
        <w:rPr>
          <w:rStyle w:val="9"/>
          <w:rFonts w:hint="default" w:ascii="Verdana" w:hAnsi="Verdana" w:eastAsia="宋体" w:cs="Verdana"/>
          <w:b w:val="0"/>
          <w:i w:val="0"/>
          <w:caps w:val="0"/>
          <w:color w:val="333333"/>
          <w:spacing w:val="75"/>
          <w:sz w:val="18"/>
          <w:szCs w:val="18"/>
          <w:u w:val="none"/>
          <w:bdr w:val="none" w:color="auto" w:sz="0" w:space="0"/>
          <w:shd w:val="clear" w:fill="BCD3E5"/>
        </w:rPr>
        <w:t>转载▼</w:t>
      </w:r>
      <w:r>
        <w:rPr>
          <w:rFonts w:hint="default" w:ascii="Verdana" w:hAnsi="Verdana" w:eastAsia="宋体" w:cs="Verdana"/>
          <w:b w:val="0"/>
          <w:i w:val="0"/>
          <w:caps w:val="0"/>
          <w:color w:val="333333"/>
          <w:spacing w:val="75"/>
          <w:kern w:val="0"/>
          <w:sz w:val="18"/>
          <w:szCs w:val="18"/>
          <w:u w:val="none"/>
          <w:bdr w:val="none" w:color="auto" w:sz="0" w:space="0"/>
          <w:shd w:val="clear" w:fill="BCD3E5"/>
          <w:lang w:val="en-US" w:eastAsia="zh-CN" w:bidi="ar"/>
        </w:rPr>
        <w:fldChar w:fldCharType="end"/>
      </w:r>
    </w:p>
    <w:tbl>
      <w:tblPr>
        <w:tblW w:w="42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17"/>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872" w:type="dxa"/>
            <w:shd w:val="clear"/>
            <w:tcMar>
              <w:right w:w="150" w:type="dxa"/>
            </w:tcM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bdr w:val="none" w:color="auto" w:sz="0" w:space="0"/>
                <w:lang w:val="en-US" w:eastAsia="zh-CN" w:bidi="ar"/>
              </w:rPr>
              <w:t>标签：</w:t>
            </w:r>
            <w:r>
              <w:rPr>
                <w:rFonts w:hint="eastAsia" w:ascii="宋体" w:hAnsi="宋体" w:eastAsia="宋体" w:cs="宋体"/>
                <w:kern w:val="0"/>
                <w:sz w:val="18"/>
                <w:szCs w:val="18"/>
                <w:bdr w:val="none" w:color="auto" w:sz="0" w:space="0"/>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75"/>
              <w:rPr>
                <w:b w:val="0"/>
                <w:sz w:val="18"/>
                <w:szCs w:val="18"/>
              </w:rPr>
            </w:pPr>
            <w:r>
              <w:rPr>
                <w:rFonts w:hint="eastAsia" w:ascii="宋体" w:hAnsi="宋体" w:eastAsia="宋体" w:cs="宋体"/>
                <w:b w:val="0"/>
                <w:color w:val="3E73A0"/>
                <w:sz w:val="18"/>
                <w:szCs w:val="18"/>
                <w:u w:val="none"/>
                <w:bdr w:val="none" w:color="auto" w:sz="0" w:space="0"/>
              </w:rPr>
              <w:fldChar w:fldCharType="begin"/>
            </w:r>
            <w:r>
              <w:rPr>
                <w:rFonts w:hint="eastAsia" w:ascii="宋体" w:hAnsi="宋体" w:eastAsia="宋体" w:cs="宋体"/>
                <w:b w:val="0"/>
                <w:color w:val="3E73A0"/>
                <w:sz w:val="18"/>
                <w:szCs w:val="18"/>
                <w:u w:val="none"/>
                <w:bdr w:val="none" w:color="auto" w:sz="0" w:space="0"/>
              </w:rPr>
              <w:instrText xml:space="preserve"> HYPERLINK "http://search.sina.com.cn/?c=blog&amp;q=%D4%D3%CC%B8&amp;by=tag" \t "http://blog.sina.com.cn/s/_blank" </w:instrText>
            </w:r>
            <w:r>
              <w:rPr>
                <w:rFonts w:hint="eastAsia" w:ascii="宋体" w:hAnsi="宋体" w:eastAsia="宋体" w:cs="宋体"/>
                <w:b w:val="0"/>
                <w:color w:val="3E73A0"/>
                <w:sz w:val="18"/>
                <w:szCs w:val="18"/>
                <w:u w:val="none"/>
                <w:bdr w:val="none" w:color="auto" w:sz="0" w:space="0"/>
              </w:rPr>
              <w:fldChar w:fldCharType="separate"/>
            </w:r>
            <w:r>
              <w:rPr>
                <w:rStyle w:val="9"/>
                <w:rFonts w:hint="eastAsia" w:ascii="宋体" w:hAnsi="宋体" w:eastAsia="宋体" w:cs="宋体"/>
                <w:b w:val="0"/>
                <w:color w:val="3E73A0"/>
                <w:sz w:val="18"/>
                <w:szCs w:val="18"/>
                <w:u w:val="none"/>
                <w:bdr w:val="none" w:color="auto" w:sz="0" w:space="0"/>
              </w:rPr>
              <w:t>杂谈</w:t>
            </w:r>
            <w:r>
              <w:rPr>
                <w:rFonts w:hint="eastAsia" w:ascii="宋体" w:hAnsi="宋体" w:eastAsia="宋体" w:cs="宋体"/>
                <w:b w:val="0"/>
                <w:color w:val="3E73A0"/>
                <w:sz w:val="18"/>
                <w:szCs w:val="18"/>
                <w:u w:val="none"/>
                <w:bdr w:val="none" w:color="auto" w:sz="0" w:space="0"/>
              </w:rPr>
              <w:fldChar w:fldCharType="end"/>
            </w:r>
          </w:p>
        </w:tc>
        <w:tc>
          <w:tcPr>
            <w:tcW w:w="3300" w:type="dxa"/>
            <w:shd w:val="cle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bdr w:val="none" w:color="auto" w:sz="0" w:space="0"/>
                <w:lang w:val="en-US" w:eastAsia="zh-CN" w:bidi="ar"/>
              </w:rPr>
              <w:t>分类：</w:t>
            </w:r>
            <w:r>
              <w:rPr>
                <w:rFonts w:hint="eastAsia" w:ascii="宋体" w:hAnsi="宋体" w:eastAsia="宋体" w:cs="宋体"/>
                <w:kern w:val="0"/>
                <w:sz w:val="18"/>
                <w:szCs w:val="18"/>
                <w:bdr w:val="none" w:color="auto" w:sz="0" w:space="0"/>
                <w:lang w:val="en-US" w:eastAsia="zh-CN" w:bidi="ar"/>
              </w:rPr>
              <w:t> </w:t>
            </w:r>
            <w:r>
              <w:rPr>
                <w:rFonts w:hint="eastAsia" w:ascii="宋体" w:hAnsi="宋体" w:eastAsia="宋体" w:cs="宋体"/>
                <w:color w:val="3E73A0"/>
                <w:kern w:val="0"/>
                <w:sz w:val="18"/>
                <w:szCs w:val="18"/>
                <w:u w:val="none"/>
                <w:bdr w:val="none" w:color="auto" w:sz="0" w:space="0"/>
                <w:lang w:val="en-US" w:eastAsia="zh-CN" w:bidi="ar"/>
              </w:rPr>
              <w:fldChar w:fldCharType="begin"/>
            </w:r>
            <w:r>
              <w:rPr>
                <w:rFonts w:hint="eastAsia" w:ascii="宋体" w:hAnsi="宋体" w:eastAsia="宋体" w:cs="宋体"/>
                <w:color w:val="3E73A0"/>
                <w:kern w:val="0"/>
                <w:sz w:val="18"/>
                <w:szCs w:val="18"/>
                <w:u w:val="none"/>
                <w:bdr w:val="none" w:color="auto" w:sz="0" w:space="0"/>
                <w:lang w:val="en-US" w:eastAsia="zh-CN" w:bidi="ar"/>
              </w:rPr>
              <w:instrText xml:space="preserve"> HYPERLINK "http://blog.sina.com.cn/s/articlelist_1874398931_13_1.html" \t "http://blog.sina.com.cn/s/_blank" </w:instrText>
            </w:r>
            <w:r>
              <w:rPr>
                <w:rFonts w:hint="eastAsia" w:ascii="宋体" w:hAnsi="宋体" w:eastAsia="宋体" w:cs="宋体"/>
                <w:color w:val="3E73A0"/>
                <w:kern w:val="0"/>
                <w:sz w:val="18"/>
                <w:szCs w:val="18"/>
                <w:u w:val="none"/>
                <w:bdr w:val="none" w:color="auto" w:sz="0" w:space="0"/>
                <w:lang w:val="en-US" w:eastAsia="zh-CN" w:bidi="ar"/>
              </w:rPr>
              <w:fldChar w:fldCharType="separate"/>
            </w:r>
            <w:r>
              <w:rPr>
                <w:rStyle w:val="9"/>
                <w:rFonts w:hint="eastAsia" w:ascii="宋体" w:hAnsi="宋体" w:eastAsia="宋体" w:cs="宋体"/>
                <w:color w:val="3E73A0"/>
                <w:sz w:val="18"/>
                <w:szCs w:val="18"/>
                <w:u w:val="none"/>
                <w:bdr w:val="none" w:color="auto" w:sz="0" w:space="0"/>
              </w:rPr>
              <w:t>nagois</w:t>
            </w:r>
            <w:r>
              <w:rPr>
                <w:rFonts w:hint="eastAsia" w:ascii="宋体" w:hAnsi="宋体" w:eastAsia="宋体" w:cs="宋体"/>
                <w:color w:val="3E73A0"/>
                <w:kern w:val="0"/>
                <w:sz w:val="18"/>
                <w:szCs w:val="18"/>
                <w:u w:val="none"/>
                <w:bdr w:val="none" w:color="auto" w:sz="0" w:space="0"/>
                <w:lang w:val="en-US" w:eastAsia="zh-CN" w:bidi="ar"/>
              </w:rPr>
              <w:fldChar w:fldCharType="end"/>
            </w:r>
          </w:p>
        </w:tc>
      </w:tr>
    </w:tbl>
    <w:p>
      <w:pPr>
        <w:keepNext w:val="0"/>
        <w:keepLines w:val="0"/>
        <w:widowControl/>
        <w:suppressLineNumbers w:val="0"/>
        <w:pBdr>
          <w:top w:val="none" w:color="auto" w:sz="0" w:space="0"/>
          <w:bottom w:val="none" w:color="auto" w:sz="0" w:space="0"/>
        </w:pBdr>
        <w:shd w:val="clear" w:fill="BCD3E5"/>
        <w:wordWrap/>
        <w:spacing w:line="315" w:lineRule="atLeast"/>
        <w:ind w:lef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kern w:val="0"/>
          <w:sz w:val="21"/>
          <w:szCs w:val="21"/>
          <w:shd w:val="clear" w:fill="BCD3E5"/>
          <w:lang w:val="en-US" w:eastAsia="zh-CN" w:bidi="ar"/>
        </w:rPr>
        <w:t>再看这个：</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http://nagios-cn.sourceforge.net/nagios-cn/advance.html#plugins</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我理解得有些偏颇，需要试验证明.</w:t>
      </w:r>
      <w:r>
        <w:rPr>
          <w:rFonts w:hint="eastAsia" w:ascii="宋体" w:hAnsi="宋体" w:eastAsia="宋体" w:cs="宋体"/>
          <w:b w:val="0"/>
          <w:i w:val="0"/>
          <w:caps w:val="0"/>
          <w:color w:val="464646"/>
          <w:spacing w:val="0"/>
          <w:kern w:val="0"/>
          <w:sz w:val="21"/>
          <w:szCs w:val="21"/>
          <w:shd w:val="clear" w:fill="BCD3E5"/>
          <w:lang w:val="en-US" w:eastAsia="zh-CN" w:bidi="ar"/>
        </w:rPr>
        <w:br w:type="textWrapping"/>
      </w:r>
      <w:r>
        <w:rPr>
          <w:rFonts w:hint="eastAsia" w:ascii="宋体" w:hAnsi="宋体" w:eastAsia="宋体" w:cs="宋体"/>
          <w:b w:val="0"/>
          <w:i w:val="0"/>
          <w:caps w:val="0"/>
          <w:color w:val="464646"/>
          <w:spacing w:val="0"/>
          <w:kern w:val="0"/>
          <w:sz w:val="21"/>
          <w:szCs w:val="21"/>
          <w:shd w:val="clear" w:fill="BCD3E5"/>
          <w:lang w:val="en-US" w:eastAsia="zh-CN" w:bidi="ar"/>
        </w:rPr>
        <w:t>http://nagios.sourceforge.net/docs/3_0/objectdefinitions.html#contactgroup</w:t>
      </w:r>
    </w:p>
    <w:tbl>
      <w:tblPr>
        <w:tblW w:w="3731" w:type="dxa"/>
        <w:tblCellSpacing w:w="15" w:type="dxa"/>
        <w:tblInd w:w="0" w:type="dxa"/>
        <w:shd w:val="clear"/>
        <w:tblLayout w:type="fixed"/>
        <w:tblCellMar>
          <w:top w:w="0" w:type="dxa"/>
          <w:left w:w="0" w:type="dxa"/>
          <w:bottom w:w="0" w:type="dxa"/>
          <w:right w:w="0" w:type="dxa"/>
        </w:tblCellMar>
      </w:tblPr>
      <w:tblGrid>
        <w:gridCol w:w="51"/>
        <w:gridCol w:w="1830"/>
        <w:gridCol w:w="1850"/>
      </w:tblGrid>
      <w:tr>
        <w:tblPrEx>
          <w:shd w:val="clear"/>
          <w:tblLayout w:type="fixed"/>
          <w:tblCellMar>
            <w:top w:w="0" w:type="dxa"/>
            <w:left w:w="0" w:type="dxa"/>
            <w:bottom w:w="0" w:type="dxa"/>
            <w:right w:w="0" w:type="dxa"/>
          </w:tblCellMar>
        </w:tblPrEx>
        <w:trPr>
          <w:tblCellSpacing w:w="15" w:type="dxa"/>
        </w:trPr>
        <w:tc>
          <w:tcPr>
            <w:tcW w:w="3671" w:type="dxa"/>
            <w:gridSpan w:val="3"/>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define serviceescalation{</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host_name</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i/>
                <w:kern w:val="0"/>
                <w:sz w:val="18"/>
                <w:szCs w:val="18"/>
                <w:bdr w:val="none" w:color="auto" w:sz="0" w:space="0"/>
                <w:lang w:val="en-US" w:eastAsia="zh-CN" w:bidi="ar"/>
              </w:rPr>
              <w:t>host_name</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hostgroup_name</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i/>
                <w:kern w:val="0"/>
                <w:sz w:val="18"/>
                <w:szCs w:val="18"/>
                <w:bdr w:val="none" w:color="auto" w:sz="0" w:space="0"/>
                <w:lang w:val="en-US" w:eastAsia="zh-CN" w:bidi="ar"/>
              </w:rPr>
              <w:t>hostgroup_name</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service_description</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i/>
                <w:kern w:val="0"/>
                <w:sz w:val="18"/>
                <w:szCs w:val="18"/>
                <w:bdr w:val="none" w:color="auto" w:sz="0" w:space="0"/>
                <w:lang w:val="en-US" w:eastAsia="zh-CN" w:bidi="ar"/>
              </w:rPr>
              <w:t>service_description</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contacts</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i/>
                <w:kern w:val="0"/>
                <w:sz w:val="18"/>
                <w:szCs w:val="18"/>
                <w:bdr w:val="none" w:color="auto" w:sz="0" w:space="0"/>
                <w:lang w:val="en-US" w:eastAsia="zh-CN" w:bidi="ar"/>
              </w:rPr>
              <w:t>contacts</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contact_groups</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i/>
                <w:kern w:val="0"/>
                <w:sz w:val="18"/>
                <w:szCs w:val="18"/>
                <w:bdr w:val="none" w:color="auto" w:sz="0" w:space="0"/>
                <w:lang w:val="en-US" w:eastAsia="zh-CN" w:bidi="ar"/>
              </w:rPr>
              <w:t>contactgroup_name</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first_notification</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last_notification</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notification_interval</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escalation_period</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timeperiod_name</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1800"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escalation_options</w:t>
            </w:r>
          </w:p>
        </w:tc>
        <w:tc>
          <w:tcPr>
            <w:tcW w:w="1805"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[w,u,c,r]</w:t>
            </w:r>
          </w:p>
        </w:tc>
      </w:tr>
      <w:tr>
        <w:tblPrEx>
          <w:tblLayout w:type="fixed"/>
          <w:tblCellMar>
            <w:top w:w="0" w:type="dxa"/>
            <w:left w:w="0" w:type="dxa"/>
            <w:bottom w:w="0" w:type="dxa"/>
            <w:right w:w="0" w:type="dxa"/>
          </w:tblCellMar>
        </w:tblPrEx>
        <w:trPr>
          <w:tblCellSpacing w:w="15" w:type="dxa"/>
        </w:trPr>
        <w:tc>
          <w:tcPr>
            <w:tcW w:w="6"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p>
        </w:tc>
        <w:tc>
          <w:tcPr>
            <w:tcW w:w="3635" w:type="dxa"/>
            <w:gridSpan w:val="2"/>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Example Definition:</w:t>
      </w:r>
    </w:p>
    <w:p>
      <w:pPr>
        <w:pStyle w:val="5"/>
        <w:keepNext w:val="0"/>
        <w:keepLines w:val="0"/>
        <w:widowControl/>
        <w:suppressLineNumbers w:val="0"/>
        <w:wordWrap/>
        <w:spacing w:line="315" w:lineRule="atLeast"/>
        <w:jc w:val="left"/>
      </w:pPr>
      <w:r>
        <w:rPr>
          <w:b w:val="0"/>
          <w:i w:val="0"/>
          <w:caps w:val="0"/>
          <w:color w:val="464646"/>
          <w:spacing w:val="0"/>
          <w:shd w:val="clear" w:fill="BCD3E5"/>
        </w:rPr>
        <w:t>define serviceescalation{ host_name nt-3 service_description Processor Load first_notification 4 last_notification 0 notification_interval 30 contact_groups all-nt-admins,themanagers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Directive Descriptions:</w:t>
      </w:r>
    </w:p>
    <w:tbl>
      <w:tblPr>
        <w:tblW w:w="8366" w:type="dxa"/>
        <w:tblCellSpacing w:w="15" w:type="dxa"/>
        <w:tblInd w:w="0" w:type="dxa"/>
        <w:shd w:val="clear"/>
        <w:tblLayout w:type="fixed"/>
        <w:tblCellMar>
          <w:top w:w="0" w:type="dxa"/>
          <w:left w:w="0" w:type="dxa"/>
          <w:bottom w:w="0" w:type="dxa"/>
          <w:right w:w="0" w:type="dxa"/>
        </w:tblCellMar>
      </w:tblPr>
      <w:tblGrid>
        <w:gridCol w:w="2190"/>
        <w:gridCol w:w="6176"/>
      </w:tblGrid>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host_name</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identify the </w:t>
            </w:r>
            <w:r>
              <w:rPr>
                <w:rFonts w:hint="default" w:ascii="Verdana" w:hAnsi="Verdana" w:eastAsia="宋体" w:cs="Verdana"/>
                <w:i/>
                <w:kern w:val="0"/>
                <w:sz w:val="18"/>
                <w:szCs w:val="18"/>
                <w:bdr w:val="none" w:color="auto" w:sz="0" w:space="0"/>
                <w:lang w:val="en-US" w:eastAsia="zh-CN" w:bidi="ar"/>
              </w:rPr>
              <w:t>short name(s)</w:t>
            </w:r>
            <w:r>
              <w:rPr>
                <w:rFonts w:hint="default" w:ascii="Verdana" w:hAnsi="Verdana" w:eastAsia="宋体" w:cs="Verdana"/>
                <w:kern w:val="0"/>
                <w:sz w:val="18"/>
                <w:szCs w:val="18"/>
                <w:bdr w:val="none" w:color="auto" w:sz="0" w:space="0"/>
                <w:lang w:val="en-US" w:eastAsia="zh-CN" w:bidi="ar"/>
              </w:rPr>
              <w:t>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"host"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host(s)</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that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"service"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service</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escalation should apply to or is associated with.</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hostgroup_name</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specify the </w:t>
            </w:r>
            <w:r>
              <w:rPr>
                <w:rFonts w:hint="default" w:ascii="Verdana" w:hAnsi="Verdana" w:eastAsia="宋体" w:cs="Verdana"/>
                <w:i/>
                <w:kern w:val="0"/>
                <w:sz w:val="18"/>
                <w:szCs w:val="18"/>
                <w:bdr w:val="none" w:color="auto" w:sz="0" w:space="0"/>
                <w:lang w:val="en-US" w:eastAsia="zh-CN" w:bidi="ar"/>
              </w:rPr>
              <w:t>short name(s)</w:t>
            </w:r>
            <w:r>
              <w:rPr>
                <w:rFonts w:hint="default" w:ascii="Verdana" w:hAnsi="Verdana" w:eastAsia="宋体" w:cs="Verdana"/>
                <w:kern w:val="0"/>
                <w:sz w:val="18"/>
                <w:szCs w:val="18"/>
                <w:bdr w:val="none" w:color="auto" w:sz="0" w:space="0"/>
                <w:lang w:val="en-US" w:eastAsia="zh-CN" w:bidi="ar"/>
              </w:rPr>
              <w:t>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"hostgroup"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hostgroup(s)</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that the service escalation should apply to or is associated with. Multiple hostgroups should be separated by commas. The hostgroup_name may be used instead of, or in addition to, the host_name directive.</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service_description</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identify the </w:t>
            </w:r>
            <w:r>
              <w:rPr>
                <w:rFonts w:hint="default" w:ascii="Verdana" w:hAnsi="Verdana" w:eastAsia="宋体" w:cs="Verdana"/>
                <w:i/>
                <w:kern w:val="0"/>
                <w:sz w:val="18"/>
                <w:szCs w:val="18"/>
                <w:bdr w:val="none" w:color="auto" w:sz="0" w:space="0"/>
                <w:lang w:val="en-US" w:eastAsia="zh-CN" w:bidi="ar"/>
              </w:rPr>
              <w:t>description</w:t>
            </w:r>
            <w:r>
              <w:rPr>
                <w:rFonts w:hint="default" w:ascii="Verdana" w:hAnsi="Verdana" w:eastAsia="宋体" w:cs="Verdana"/>
                <w:kern w:val="0"/>
                <w:sz w:val="18"/>
                <w:szCs w:val="18"/>
                <w:bdr w:val="none" w:color="auto" w:sz="0" w:space="0"/>
                <w:lang w:val="en-US" w:eastAsia="zh-CN" w:bidi="ar"/>
              </w:rPr>
              <w:t>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"service"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service</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the escalation should apply to.</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first_notification</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a number that identifies the </w:t>
            </w:r>
            <w:r>
              <w:rPr>
                <w:rFonts w:hint="default" w:ascii="Verdana" w:hAnsi="Verdana" w:eastAsia="宋体" w:cs="Verdana"/>
                <w:i/>
                <w:kern w:val="0"/>
                <w:sz w:val="18"/>
                <w:szCs w:val="18"/>
                <w:bdr w:val="none" w:color="auto" w:sz="0" w:space="0"/>
                <w:lang w:val="en-US" w:eastAsia="zh-CN" w:bidi="ar"/>
              </w:rPr>
              <w:t>first</w:t>
            </w:r>
            <w:r>
              <w:rPr>
                <w:rFonts w:hint="default" w:ascii="Verdana" w:hAnsi="Verdana" w:eastAsia="宋体" w:cs="Verdana"/>
                <w:kern w:val="0"/>
                <w:sz w:val="18"/>
                <w:szCs w:val="18"/>
                <w:bdr w:val="none" w:color="auto" w:sz="0" w:space="0"/>
                <w:lang w:val="en-US" w:eastAsia="zh-CN" w:bidi="ar"/>
              </w:rPr>
              <w:t> notification for which this escalation is effective. For instance, if you set this value to 3, this escalation will only be used if the service is in a non-OK state long enough for a third notification to go out.</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last_notification</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a number that identifies the </w:t>
            </w:r>
            <w:r>
              <w:rPr>
                <w:rFonts w:hint="default" w:ascii="Verdana" w:hAnsi="Verdana" w:eastAsia="宋体" w:cs="Verdana"/>
                <w:i/>
                <w:kern w:val="0"/>
                <w:sz w:val="18"/>
                <w:szCs w:val="18"/>
                <w:bdr w:val="none" w:color="auto" w:sz="0" w:space="0"/>
                <w:lang w:val="en-US" w:eastAsia="zh-CN" w:bidi="ar"/>
              </w:rPr>
              <w:t>last</w:t>
            </w:r>
            <w:r>
              <w:rPr>
                <w:rFonts w:hint="default" w:ascii="Verdana" w:hAnsi="Verdana" w:eastAsia="宋体" w:cs="Verdana"/>
                <w:kern w:val="0"/>
                <w:sz w:val="18"/>
                <w:szCs w:val="18"/>
                <w:bdr w:val="none" w:color="auto" w:sz="0" w:space="0"/>
                <w:lang w:val="en-US" w:eastAsia="zh-CN" w:bidi="ar"/>
              </w:rPr>
              <w:t> notification for which this escalation is effective. For instance, if you set this value to 5, this escalation will not be used if more than five notifications are sent out for the service. Setting this value to 0 means to keep using this escalation entry forever (no matter how many notifications go out).</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contacts</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is a list of the </w:t>
            </w:r>
            <w:r>
              <w:rPr>
                <w:rFonts w:hint="default" w:ascii="Verdana" w:hAnsi="Verdana" w:eastAsia="宋体" w:cs="Verdana"/>
                <w:i/>
                <w:kern w:val="0"/>
                <w:sz w:val="18"/>
                <w:szCs w:val="18"/>
                <w:bdr w:val="none" w:color="auto" w:sz="0" w:space="0"/>
                <w:lang w:val="en-US" w:eastAsia="zh-CN" w:bidi="ar"/>
              </w:rPr>
              <w:t>short names</w:t>
            </w:r>
            <w:r>
              <w:rPr>
                <w:rFonts w:hint="default" w:ascii="Verdana" w:hAnsi="Verdana" w:eastAsia="宋体" w:cs="Verdana"/>
                <w:kern w:val="0"/>
                <w:sz w:val="18"/>
                <w:szCs w:val="18"/>
                <w:bdr w:val="none" w:color="auto" w:sz="0" w:space="0"/>
                <w:lang w:val="en-US" w:eastAsia="zh-CN" w:bidi="ar"/>
              </w:rPr>
              <w:t>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"contact"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contacts</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that should be notified whenever there are problems (or recoveries) with this service. Multiple contacts should be separated by commas. Useful if you want notifications to go to just a few people and don't want to configure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"contactgroup"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contact groups</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You must specify at least one contact or contact group in each service escalation definition.</w:t>
            </w:r>
          </w:p>
        </w:tc>
      </w:tr>
      <w:tr>
        <w:tblPrEx>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contact_groups</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identify the </w:t>
            </w:r>
            <w:r>
              <w:rPr>
                <w:rFonts w:hint="default" w:ascii="Verdana" w:hAnsi="Verdana" w:eastAsia="宋体" w:cs="Verdana"/>
                <w:i/>
                <w:kern w:val="0"/>
                <w:sz w:val="18"/>
                <w:szCs w:val="18"/>
                <w:bdr w:val="none" w:color="auto" w:sz="0" w:space="0"/>
                <w:lang w:val="en-US" w:eastAsia="zh-CN" w:bidi="ar"/>
              </w:rPr>
              <w:t>short name</w:t>
            </w:r>
            <w:r>
              <w:rPr>
                <w:rFonts w:hint="default" w:ascii="Verdana" w:hAnsi="Verdana" w:eastAsia="宋体" w:cs="Verdana"/>
                <w:kern w:val="0"/>
                <w:sz w:val="18"/>
                <w:szCs w:val="18"/>
                <w:bdr w:val="none" w:color="auto" w:sz="0" w:space="0"/>
                <w:lang w:val="en-US" w:eastAsia="zh-CN" w:bidi="ar"/>
              </w:rPr>
              <w:t>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"contactgroup"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contact group</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that should be notified when the service notification is escalated. Multiple contact groups should be separated by commas. You must specify at least one contact or contact group in each service escalation definition.</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notification_interval</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determine the interval at which notifications should be made while this escalation is valid. If you specify a value of 0 for the interval, Nagios will send the first notification when this escalation definition is valid, but will then prevent any more problem notifications from being sent out for the host. Notifications are sent out again until the host recovers. This is useful if you want to stop having notifications sent out after a certain amount of time. Note: If multiple escalation entries for a host overlap for one or more notification ranges, the smallest notification interval from all escalation entries is used.</w:t>
            </w:r>
          </w:p>
        </w:tc>
      </w:tr>
      <w:tr>
        <w:tblPrEx>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escalation_period</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specify the short name of the </w:t>
            </w:r>
            <w:r>
              <w:rPr>
                <w:rFonts w:hint="default" w:ascii="Verdana" w:hAnsi="Verdana" w:eastAsia="宋体" w:cs="Verdana"/>
                <w:color w:val="3E73A0"/>
                <w:kern w:val="0"/>
                <w:sz w:val="18"/>
                <w:szCs w:val="18"/>
                <w:u w:val="none"/>
                <w:bdr w:val="none" w:color="auto" w:sz="0" w:space="0"/>
                <w:lang w:val="en-US" w:eastAsia="zh-CN" w:bidi="ar"/>
              </w:rPr>
              <w:fldChar w:fldCharType="begin"/>
            </w:r>
            <w:r>
              <w:rPr>
                <w:rFonts w:hint="default" w:ascii="Verdana" w:hAnsi="Verdana" w:eastAsia="宋体" w:cs="Verdana"/>
                <w:color w:val="3E73A0"/>
                <w:kern w:val="0"/>
                <w:sz w:val="18"/>
                <w:szCs w:val="18"/>
                <w:u w:val="none"/>
                <w:bdr w:val="none" w:color="auto" w:sz="0" w:space="0"/>
                <w:lang w:val="en-US" w:eastAsia="zh-CN" w:bidi="ar"/>
              </w:rPr>
              <w:instrText xml:space="preserve"> HYPERLINK "http://blog.sina.com.cn/s/blog_6fb90ed3010155z7.html" \l "timeperiod" </w:instrText>
            </w:r>
            <w:r>
              <w:rPr>
                <w:rFonts w:hint="default" w:ascii="Verdana" w:hAnsi="Verdana" w:eastAsia="宋体" w:cs="Verdana"/>
                <w:color w:val="3E73A0"/>
                <w:kern w:val="0"/>
                <w:sz w:val="18"/>
                <w:szCs w:val="18"/>
                <w:u w:val="none"/>
                <w:bdr w:val="none" w:color="auto" w:sz="0" w:space="0"/>
                <w:lang w:val="en-US" w:eastAsia="zh-CN" w:bidi="ar"/>
              </w:rPr>
              <w:fldChar w:fldCharType="separate"/>
            </w:r>
            <w:r>
              <w:rPr>
                <w:rStyle w:val="9"/>
                <w:rFonts w:hint="default" w:ascii="Verdana" w:hAnsi="Verdana" w:eastAsia="宋体" w:cs="Verdana"/>
                <w:color w:val="3E73A0"/>
                <w:sz w:val="18"/>
                <w:szCs w:val="18"/>
                <w:u w:val="none"/>
                <w:bdr w:val="none" w:color="auto" w:sz="0" w:space="0"/>
              </w:rPr>
              <w:t>time period</w:t>
            </w:r>
            <w:r>
              <w:rPr>
                <w:rFonts w:hint="default" w:ascii="Verdana" w:hAnsi="Verdana" w:eastAsia="宋体" w:cs="Verdana"/>
                <w:color w:val="3E73A0"/>
                <w:kern w:val="0"/>
                <w:sz w:val="18"/>
                <w:szCs w:val="18"/>
                <w:u w:val="none"/>
                <w:bdr w:val="none" w:color="auto" w:sz="0" w:space="0"/>
                <w:lang w:val="en-US" w:eastAsia="zh-CN" w:bidi="ar"/>
              </w:rPr>
              <w:fldChar w:fldCharType="end"/>
            </w:r>
            <w:r>
              <w:rPr>
                <w:rFonts w:hint="default" w:ascii="Verdana" w:hAnsi="Verdana" w:eastAsia="宋体" w:cs="Verdana"/>
                <w:kern w:val="0"/>
                <w:sz w:val="18"/>
                <w:szCs w:val="18"/>
                <w:bdr w:val="none" w:color="auto" w:sz="0" w:space="0"/>
                <w:lang w:val="en-US" w:eastAsia="zh-CN" w:bidi="ar"/>
              </w:rPr>
              <w:t> during which thisescalation is valid. If this directive is not specified, the escalation is considered to be valid during all times.</w:t>
            </w:r>
          </w:p>
        </w:tc>
      </w:tr>
      <w:tr>
        <w:tblPrEx>
          <w:shd w:val="clear"/>
          <w:tblLayout w:type="fixed"/>
          <w:tblCellMar>
            <w:top w:w="0" w:type="dxa"/>
            <w:left w:w="0" w:type="dxa"/>
            <w:bottom w:w="0" w:type="dxa"/>
            <w:right w:w="0" w:type="dxa"/>
          </w:tblCellMar>
        </w:tblPrEx>
        <w:trPr>
          <w:tblCellSpacing w:w="15" w:type="dxa"/>
        </w:trPr>
        <w:tc>
          <w:tcPr>
            <w:tcW w:w="2145" w:type="dxa"/>
            <w:shd w:val="clear"/>
            <w:vAlign w:val="top"/>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Style w:val="8"/>
                <w:rFonts w:hint="default" w:ascii="Verdana" w:hAnsi="Verdana" w:eastAsia="宋体" w:cs="Verdana"/>
                <w:b/>
                <w:kern w:val="0"/>
                <w:sz w:val="18"/>
                <w:szCs w:val="18"/>
                <w:bdr w:val="none" w:color="auto" w:sz="0" w:space="0"/>
                <w:lang w:val="en-US" w:eastAsia="zh-CN" w:bidi="ar"/>
              </w:rPr>
              <w:t>escalation_options</w:t>
            </w:r>
            <w:r>
              <w:rPr>
                <w:rFonts w:hint="default" w:ascii="Verdana" w:hAnsi="Verdana" w:eastAsia="宋体" w:cs="Verdana"/>
                <w:kern w:val="0"/>
                <w:sz w:val="18"/>
                <w:szCs w:val="18"/>
                <w:bdr w:val="none" w:color="auto" w:sz="0" w:space="0"/>
                <w:lang w:val="en-US" w:eastAsia="zh-CN" w:bidi="ar"/>
              </w:rPr>
              <w:t>:</w:t>
            </w:r>
          </w:p>
        </w:tc>
        <w:tc>
          <w:tcPr>
            <w:tcW w:w="6131" w:type="dxa"/>
            <w:shd w:val="clear"/>
            <w:vAlign w:val="center"/>
          </w:tcPr>
          <w:p>
            <w:pPr>
              <w:keepNext w:val="0"/>
              <w:keepLines w:val="0"/>
              <w:widowControl/>
              <w:suppressLineNumbers w:val="0"/>
              <w:spacing w:before="0" w:beforeAutospacing="0" w:after="0" w:afterAutospacing="0" w:line="270" w:lineRule="atLeast"/>
              <w:ind w:left="0" w:right="0"/>
              <w:jc w:val="left"/>
              <w:rPr>
                <w:rFonts w:hint="default" w:ascii="Verdana" w:hAnsi="Verdana" w:cs="Verdana"/>
                <w:sz w:val="18"/>
                <w:szCs w:val="18"/>
              </w:rPr>
            </w:pPr>
            <w:r>
              <w:rPr>
                <w:rFonts w:hint="default" w:ascii="Verdana" w:hAnsi="Verdana" w:eastAsia="宋体" w:cs="Verdana"/>
                <w:kern w:val="0"/>
                <w:sz w:val="18"/>
                <w:szCs w:val="18"/>
                <w:bdr w:val="none" w:color="auto" w:sz="0" w:space="0"/>
                <w:lang w:val="en-US" w:eastAsia="zh-CN" w:bidi="ar"/>
              </w:rPr>
              <w:t>This directive is used to define the criteria that determine when this service escalation is used. The escalation is used only if the service is in one of the states specified in this directive. If this directive is not specified in a service escalation, the escalation is considered to be valid during all service states. Valid options are a combination of one or more of the following: </w:t>
            </w:r>
            <w:r>
              <w:rPr>
                <w:rFonts w:hint="default" w:ascii="Verdana" w:hAnsi="Verdana" w:eastAsia="宋体" w:cs="Verdana"/>
                <w:b/>
                <w:kern w:val="0"/>
                <w:sz w:val="18"/>
                <w:szCs w:val="18"/>
                <w:bdr w:val="none" w:color="auto" w:sz="0" w:space="0"/>
                <w:lang w:val="en-US" w:eastAsia="zh-CN" w:bidi="ar"/>
              </w:rPr>
              <w:t>r</w:t>
            </w:r>
            <w:r>
              <w:rPr>
                <w:rFonts w:hint="default" w:ascii="Verdana" w:hAnsi="Verdana" w:eastAsia="宋体" w:cs="Verdana"/>
                <w:kern w:val="0"/>
                <w:sz w:val="18"/>
                <w:szCs w:val="18"/>
                <w:bdr w:val="none" w:color="auto" w:sz="0" w:space="0"/>
                <w:lang w:val="en-US" w:eastAsia="zh-CN" w:bidi="ar"/>
              </w:rPr>
              <w:t> = escalate on an OK (recovery) state, </w:t>
            </w:r>
            <w:r>
              <w:rPr>
                <w:rFonts w:hint="default" w:ascii="Verdana" w:hAnsi="Verdana" w:eastAsia="宋体" w:cs="Verdana"/>
                <w:b/>
                <w:kern w:val="0"/>
                <w:sz w:val="18"/>
                <w:szCs w:val="18"/>
                <w:bdr w:val="none" w:color="auto" w:sz="0" w:space="0"/>
                <w:lang w:val="en-US" w:eastAsia="zh-CN" w:bidi="ar"/>
              </w:rPr>
              <w:t>w</w:t>
            </w:r>
            <w:r>
              <w:rPr>
                <w:rFonts w:hint="default" w:ascii="Verdana" w:hAnsi="Verdana" w:eastAsia="宋体" w:cs="Verdana"/>
                <w:kern w:val="0"/>
                <w:sz w:val="18"/>
                <w:szCs w:val="18"/>
                <w:bdr w:val="none" w:color="auto" w:sz="0" w:space="0"/>
                <w:lang w:val="en-US" w:eastAsia="zh-CN" w:bidi="ar"/>
              </w:rPr>
              <w:t> = escalate on a WARNING state, </w:t>
            </w:r>
            <w:r>
              <w:rPr>
                <w:rFonts w:hint="default" w:ascii="Verdana" w:hAnsi="Verdana" w:eastAsia="宋体" w:cs="Verdana"/>
                <w:b/>
                <w:kern w:val="0"/>
                <w:sz w:val="18"/>
                <w:szCs w:val="18"/>
                <w:bdr w:val="none" w:color="auto" w:sz="0" w:space="0"/>
                <w:lang w:val="en-US" w:eastAsia="zh-CN" w:bidi="ar"/>
              </w:rPr>
              <w:t>u</w:t>
            </w:r>
            <w:r>
              <w:rPr>
                <w:rFonts w:hint="default" w:ascii="Verdana" w:hAnsi="Verdana" w:eastAsia="宋体" w:cs="Verdana"/>
                <w:kern w:val="0"/>
                <w:sz w:val="18"/>
                <w:szCs w:val="18"/>
                <w:bdr w:val="none" w:color="auto" w:sz="0" w:space="0"/>
                <w:lang w:val="en-US" w:eastAsia="zh-CN" w:bidi="ar"/>
              </w:rPr>
              <w:t> = escalate on an UNKNOWN state, and </w:t>
            </w:r>
            <w:r>
              <w:rPr>
                <w:rFonts w:hint="default" w:ascii="Verdana" w:hAnsi="Verdana" w:eastAsia="宋体" w:cs="Verdana"/>
                <w:b/>
                <w:kern w:val="0"/>
                <w:sz w:val="18"/>
                <w:szCs w:val="18"/>
                <w:bdr w:val="none" w:color="auto" w:sz="0" w:space="0"/>
                <w:lang w:val="en-US" w:eastAsia="zh-CN" w:bidi="ar"/>
              </w:rPr>
              <w:t>c</w:t>
            </w:r>
            <w:r>
              <w:rPr>
                <w:rFonts w:hint="default" w:ascii="Verdana" w:hAnsi="Verdana" w:eastAsia="宋体" w:cs="Verdana"/>
                <w:kern w:val="0"/>
                <w:sz w:val="18"/>
                <w:szCs w:val="18"/>
                <w:bdr w:val="none" w:color="auto" w:sz="0" w:space="0"/>
                <w:lang w:val="en-US" w:eastAsia="zh-CN" w:bidi="ar"/>
              </w:rPr>
              <w:t> = escalate on a CRITICAL state. Example: If you specify </w:t>
            </w:r>
            <w:r>
              <w:rPr>
                <w:rFonts w:hint="default" w:ascii="Verdana" w:hAnsi="Verdana" w:eastAsia="宋体" w:cs="Verdana"/>
                <w:b/>
                <w:kern w:val="0"/>
                <w:sz w:val="18"/>
                <w:szCs w:val="18"/>
                <w:bdr w:val="none" w:color="auto" w:sz="0" w:space="0"/>
                <w:lang w:val="en-US" w:eastAsia="zh-CN" w:bidi="ar"/>
              </w:rPr>
              <w:t>w</w:t>
            </w:r>
            <w:r>
              <w:rPr>
                <w:rFonts w:hint="default" w:ascii="Verdana" w:hAnsi="Verdana" w:eastAsia="宋体" w:cs="Verdana"/>
                <w:kern w:val="0"/>
                <w:sz w:val="18"/>
                <w:szCs w:val="18"/>
                <w:bdr w:val="none" w:color="auto" w:sz="0" w:space="0"/>
                <w:lang w:val="en-US" w:eastAsia="zh-CN" w:bidi="ar"/>
              </w:rPr>
              <w:t> in this field, the escalation will only be used if the service is in a WARNING state.</w:t>
            </w:r>
          </w:p>
        </w:tc>
      </w:tr>
    </w:tbl>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57C0"/>
    <w:multiLevelType w:val="multilevel"/>
    <w:tmpl w:val="58A157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A157CB"/>
    <w:multiLevelType w:val="multilevel"/>
    <w:tmpl w:val="58A157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157D6"/>
    <w:multiLevelType w:val="multilevel"/>
    <w:tmpl w:val="58A15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A157E1"/>
    <w:multiLevelType w:val="multilevel"/>
    <w:tmpl w:val="58A157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A157EC"/>
    <w:multiLevelType w:val="multilevel"/>
    <w:tmpl w:val="58A157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A157F7"/>
    <w:multiLevelType w:val="multilevel"/>
    <w:tmpl w:val="58A157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A15802"/>
    <w:multiLevelType w:val="multilevel"/>
    <w:tmpl w:val="58A158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A1580D"/>
    <w:multiLevelType w:val="multilevel"/>
    <w:tmpl w:val="58A158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A15818"/>
    <w:multiLevelType w:val="multilevel"/>
    <w:tmpl w:val="58A158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13E3E"/>
    <w:rsid w:val="7FBE00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dc:creator>
  <cp:lastModifiedBy>zx</cp:lastModifiedBy>
  <dcterms:modified xsi:type="dcterms:W3CDTF">2017-02-13T09:22:00Z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