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While the source document </w:t>
      </w:r>
      <w:r w:rsidDel="00000000" w:rsidR="00000000" w:rsidRPr="00000000">
        <w:rPr>
          <w:rFonts w:ascii="Roboto" w:cs="Roboto" w:eastAsia="Roboto" w:hAnsi="Roboto"/>
          <w:i w:val="1"/>
          <w:iCs w:val="1"/>
          <w:color w:val="1f1f1f"/>
          <w:rtl w:val="0"/>
        </w:rPr>
        <w:t xml:space="preserve">"Using Epic Materials with Third-Party AI Tools.pdf"</w:t>
      </w:r>
      <w:r w:rsidDel="00000000" w:rsidR="00000000" w:rsidRPr="00000000">
        <w:rPr>
          <w:rFonts w:ascii="Roboto" w:cs="Roboto" w:eastAsia="Roboto" w:hAnsi="Roboto"/>
          <w:color w:val="1f1f1f"/>
          <w:rtl w:val="0"/>
        </w:rPr>
        <w:t xml:space="preserve"> is currently unselected in your query context, analyzing the remaining </w:t>
      </w:r>
      <w:r w:rsidDel="00000000" w:rsidR="00000000" w:rsidRPr="00000000">
        <w:rPr>
          <w:rFonts w:ascii="Roboto" w:cs="Roboto" w:eastAsia="Roboto" w:hAnsi="Roboto"/>
          <w:b w:val="1"/>
          <w:bCs w:val="1"/>
          <w:color w:val="1f1f1f"/>
          <w:rtl w:val="0"/>
        </w:rPr>
        <w:t xml:space="preserve">six selected proposal, technical, and benchmarking documents</w:t>
      </w:r>
      <w:r w:rsidDel="00000000" w:rsidR="00000000" w:rsidRPr="00000000">
        <w:rPr>
          <w:rFonts w:ascii="Roboto" w:cs="Roboto" w:eastAsia="Roboto" w:hAnsi="Roboto"/>
          <w:color w:val="1f1f1f"/>
          <w:rtl w:val="0"/>
        </w:rPr>
        <w:t xml:space="preserve"> against standard EHR data governance, intellectual property (IP), and vendor integration principles highlights </w:t>
      </w:r>
      <w:r w:rsidDel="00000000" w:rsidR="00000000" w:rsidRPr="00000000">
        <w:rPr>
          <w:rFonts w:ascii="Roboto" w:cs="Roboto" w:eastAsia="Roboto" w:hAnsi="Roboto"/>
          <w:b w:val="1"/>
          <w:bCs w:val="1"/>
          <w:color w:val="1f1f1f"/>
          <w:rtl w:val="0"/>
        </w:rPr>
        <w:t xml:space="preserve">four major technical and contractual concerns</w:t>
      </w:r>
      <w:r w:rsidDel="00000000" w:rsidR="00000000" w:rsidRPr="00000000">
        <w:rPr>
          <w:rFonts w:ascii="Roboto" w:cs="Roboto" w:eastAsia="Roboto" w:hAnsi="Roboto"/>
          <w:color w:val="1f1f1f"/>
          <w:rtl w:val="0"/>
        </w:rPr>
        <w:t xml:space="preserve"> that warrant immediate review by your legal, compliance, and IT security teams:</w:t>
      </w:r>
    </w:p>
    <w:p w:rsidR="00000000" w:rsidDel="00000000" w:rsidP="00000000" w:rsidRDefault="00000000" w:rsidRPr="00000000" w14:paraId="00000002">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te6vi3lne48h" w:id="0"/>
      <w:bookmarkEnd w:id="0"/>
      <w:r w:rsidDel="00000000" w:rsidR="00000000" w:rsidRPr="00000000">
        <w:rPr>
          <w:rFonts w:ascii="Roboto" w:cs="Roboto" w:eastAsia="Roboto" w:hAnsi="Roboto"/>
          <w:b w:val="1"/>
          <w:bCs w:val="1"/>
          <w:color w:val="1f1f1f"/>
          <w:sz w:val="27"/>
          <w:szCs w:val="27"/>
          <w:rtl w:val="0"/>
        </w:rPr>
        <w:t xml:space="preserve">1. Proprietary Model Benchmarking &amp; IP Restrictions</w:t>
      </w:r>
    </w:p>
    <w:p w:rsidR="00000000" w:rsidDel="00000000" w:rsidP="00000000" w:rsidRDefault="00000000" w:rsidRPr="00000000" w14:paraId="00000004">
      <w:pPr>
        <w:numPr>
          <w:ilvl w:val="0"/>
          <w:numId w:val="2"/>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Selected Source Findings</w:t>
      </w:r>
      <w:r w:rsidDel="00000000" w:rsidR="00000000" w:rsidRPr="00000000">
        <w:rPr>
          <w:rFonts w:ascii="Roboto" w:cs="Roboto" w:eastAsia="Roboto" w:hAnsi="Roboto"/>
          <w:color w:val="1f1f1f"/>
          <w:rtl w:val="0"/>
        </w:rPr>
        <w:t xml:space="preserve">: The </w:t>
      </w:r>
      <w:r w:rsidDel="00000000" w:rsidR="00000000" w:rsidRPr="00000000">
        <w:rPr>
          <w:rFonts w:ascii="Roboto" w:cs="Roboto" w:eastAsia="Roboto" w:hAnsi="Roboto"/>
          <w:i w:val="1"/>
          <w:iCs w:val="1"/>
          <w:color w:val="1f1f1f"/>
          <w:rtl w:val="0"/>
        </w:rPr>
        <w:t xml:space="preserve">Adult Inpatient Deterioration Benchmarking Insights Report</w:t>
      </w:r>
      <w:r w:rsidDel="00000000" w:rsidR="00000000" w:rsidRPr="00000000">
        <w:rPr>
          <w:rFonts w:ascii="Roboto" w:cs="Roboto" w:eastAsia="Roboto" w:hAnsi="Roboto"/>
          <w:color w:val="1f1f1f"/>
          <w:sz w:val="26"/>
          <w:szCs w:val="26"/>
          <w:vertAlign w:val="superscript"/>
          <w:rtl w:val="0"/>
        </w:rPr>
        <w:t xml:space="preserve">[1]</w:t>
      </w:r>
      <w:r w:rsidDel="00000000" w:rsidR="00000000" w:rsidRPr="00000000">
        <w:rPr>
          <w:rFonts w:ascii="Roboto" w:cs="Roboto" w:eastAsia="Roboto" w:hAnsi="Roboto"/>
          <w:color w:val="1f1f1f"/>
          <w:rtl w:val="0"/>
        </w:rPr>
        <w:t xml:space="preserve"> and the SOW</w:t>
      </w:r>
      <w:r w:rsidDel="00000000" w:rsidR="00000000" w:rsidRPr="00000000">
        <w:rPr>
          <w:rFonts w:ascii="Roboto" w:cs="Roboto" w:eastAsia="Roboto" w:hAnsi="Roboto"/>
          <w:color w:val="1f1f1f"/>
          <w:sz w:val="26"/>
          <w:szCs w:val="26"/>
          <w:vertAlign w:val="superscript"/>
          <w:rtl w:val="0"/>
        </w:rPr>
        <w:t xml:space="preserve">[2][3]</w:t>
      </w:r>
      <w:r w:rsidDel="00000000" w:rsidR="00000000" w:rsidRPr="00000000">
        <w:rPr>
          <w:rFonts w:ascii="Roboto" w:cs="Roboto" w:eastAsia="Roboto" w:hAnsi="Roboto"/>
          <w:color w:val="1f1f1f"/>
          <w:rtl w:val="0"/>
        </w:rPr>
        <w:t xml:space="preserve"> detail extracting risk scores from a </w:t>
      </w:r>
      <w:r w:rsidDel="00000000" w:rsidR="00000000" w:rsidRPr="00000000">
        <w:rPr>
          <w:rFonts w:ascii="Roboto" w:cs="Roboto" w:eastAsia="Roboto" w:hAnsi="Roboto"/>
          <w:i w:val="1"/>
          <w:iCs w:val="1"/>
          <w:color w:val="1f1f1f"/>
          <w:rtl w:val="0"/>
        </w:rPr>
        <w:t xml:space="preserve">"Widely Used Vendor Deterioration Index"</w:t>
      </w:r>
      <w:r w:rsidDel="00000000" w:rsidR="00000000" w:rsidRPr="00000000">
        <w:rPr>
          <w:rFonts w:ascii="Roboto" w:cs="Roboto" w:eastAsia="Roboto" w:hAnsi="Roboto"/>
          <w:color w:val="1f1f1f"/>
          <w:rtl w:val="0"/>
        </w:rPr>
        <w:t xml:space="preserve"> (an EHR vendor's proprietary predictive model) across 118,063 patient encounters to conduct head-to-head performance comparisons against third-party algorithms (e.g., Duke Deterioration Index)</w:t>
      </w:r>
      <w:r w:rsidDel="00000000" w:rsidR="00000000" w:rsidRPr="00000000">
        <w:rPr>
          <w:rFonts w:ascii="Roboto" w:cs="Roboto" w:eastAsia="Roboto" w:hAnsi="Roboto"/>
          <w:color w:val="1f1f1f"/>
          <w:sz w:val="26"/>
          <w:szCs w:val="26"/>
          <w:vertAlign w:val="superscript"/>
          <w:rtl w:val="0"/>
        </w:rPr>
        <w:t xml:space="preserve">[4]</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05">
      <w:pPr>
        <w:numPr>
          <w:ilvl w:val="0"/>
          <w:numId w:val="2"/>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Governance &amp; IP Concern</w:t>
      </w:r>
      <w:r w:rsidDel="00000000" w:rsidR="00000000" w:rsidRPr="00000000">
        <w:rPr>
          <w:rFonts w:ascii="Roboto" w:cs="Roboto" w:eastAsia="Roboto" w:hAnsi="Roboto"/>
          <w:color w:val="1f1f1f"/>
          <w:rtl w:val="0"/>
        </w:rPr>
        <w:t xml:space="preserve">: Epic’s end-user software license agreements (EUSLAs) and IP policies strictly regulate how Epic's proprietary algorithms, risk scoring models, and clinical decision support logic are evaluated or disclosed. Extracting Epic model outputs to benchmark, publish, or market competing commercial AI solutions can violate Epic terms regarding non-disclosure, reverse engineering, or comparative testing without explicit written authorization.</w:t>
      </w:r>
    </w:p>
    <w:p w:rsidR="00000000" w:rsidDel="00000000" w:rsidP="00000000" w:rsidRDefault="00000000" w:rsidRPr="00000000" w14:paraId="00000006">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vj9u952fqfzp" w:id="1"/>
      <w:bookmarkEnd w:id="1"/>
      <w:r w:rsidDel="00000000" w:rsidR="00000000" w:rsidRPr="00000000">
        <w:rPr>
          <w:rFonts w:ascii="Roboto" w:cs="Roboto" w:eastAsia="Roboto" w:hAnsi="Roboto"/>
          <w:b w:val="1"/>
          <w:bCs w:val="1"/>
          <w:color w:val="1f1f1f"/>
          <w:sz w:val="27"/>
          <w:szCs w:val="27"/>
          <w:rtl w:val="0"/>
        </w:rPr>
        <w:t xml:space="preserve">2. Monitoring &amp; Logging "Epic Generative AI" Products</w:t>
      </w:r>
    </w:p>
    <w:p w:rsidR="00000000" w:rsidDel="00000000" w:rsidP="00000000" w:rsidRDefault="00000000" w:rsidRPr="00000000" w14:paraId="00000008">
      <w:pPr>
        <w:numPr>
          <w:ilvl w:val="0"/>
          <w:numId w:val="1"/>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Selected Source Findings</w:t>
      </w:r>
      <w:r w:rsidDel="00000000" w:rsidR="00000000" w:rsidRPr="00000000">
        <w:rPr>
          <w:rFonts w:ascii="Roboto" w:cs="Roboto" w:eastAsia="Roboto" w:hAnsi="Roboto"/>
          <w:color w:val="1f1f1f"/>
          <w:rtl w:val="0"/>
        </w:rPr>
        <w:t xml:space="preserve">: The SOW explicitly lists an </w:t>
      </w:r>
      <w:r w:rsidDel="00000000" w:rsidR="00000000" w:rsidRPr="00000000">
        <w:rPr>
          <w:rFonts w:ascii="Roboto" w:cs="Roboto" w:eastAsia="Roboto" w:hAnsi="Roboto"/>
          <w:i w:val="1"/>
          <w:iCs w:val="1"/>
          <w:color w:val="1f1f1f"/>
          <w:rtl w:val="0"/>
        </w:rPr>
        <w:t xml:space="preserve">"Epic Generative AI product"</w:t>
      </w:r>
      <w:r w:rsidDel="00000000" w:rsidR="00000000" w:rsidRPr="00000000">
        <w:rPr>
          <w:rFonts w:ascii="Roboto" w:cs="Roboto" w:eastAsia="Roboto" w:hAnsi="Roboto"/>
          <w:color w:val="1f1f1f"/>
          <w:rtl w:val="0"/>
        </w:rPr>
        <w:t xml:space="preserve"> as one of the three candidate use cases for Vega Health monitoring</w:t>
      </w:r>
      <w:r w:rsidDel="00000000" w:rsidR="00000000" w:rsidRPr="00000000">
        <w:rPr>
          <w:rFonts w:ascii="Roboto" w:cs="Roboto" w:eastAsia="Roboto" w:hAnsi="Roboto"/>
          <w:color w:val="1f1f1f"/>
          <w:sz w:val="26"/>
          <w:szCs w:val="26"/>
          <w:vertAlign w:val="superscript"/>
          <w:rtl w:val="0"/>
        </w:rPr>
        <w:t xml:space="preserve">[2][3]</w:t>
      </w:r>
      <w:r w:rsidDel="00000000" w:rsidR="00000000" w:rsidRPr="00000000">
        <w:rPr>
          <w:rFonts w:ascii="Roboto" w:cs="Roboto" w:eastAsia="Roboto" w:hAnsi="Roboto"/>
          <w:color w:val="1f1f1f"/>
          <w:rtl w:val="0"/>
        </w:rPr>
        <w:t xml:space="preserve">. The proposal notes that monitoring requires automatically retrieving raw EHR inputs, user prompt interactions, model outputs, and physician note edits prior to sign-off</w:t>
      </w:r>
      <w:r w:rsidDel="00000000" w:rsidR="00000000" w:rsidRPr="00000000">
        <w:rPr>
          <w:rFonts w:ascii="Roboto" w:cs="Roboto" w:eastAsia="Roboto" w:hAnsi="Roboto"/>
          <w:color w:val="1f1f1f"/>
          <w:sz w:val="26"/>
          <w:szCs w:val="26"/>
          <w:vertAlign w:val="superscript"/>
          <w:rtl w:val="0"/>
        </w:rPr>
        <w:t xml:space="preserve">[7]</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09">
      <w:pPr>
        <w:numPr>
          <w:ilvl w:val="0"/>
          <w:numId w:val="1"/>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Governance &amp; IP Concern</w:t>
      </w:r>
      <w:r w:rsidDel="00000000" w:rsidR="00000000" w:rsidRPr="00000000">
        <w:rPr>
          <w:rFonts w:ascii="Roboto" w:cs="Roboto" w:eastAsia="Roboto" w:hAnsi="Roboto"/>
          <w:color w:val="1f1f1f"/>
          <w:rtl w:val="0"/>
        </w:rPr>
        <w:t xml:space="preserve">: Epic's Generative AI features, SmartTexts, SmartForms, and user interface workflows are protected Epic intellectual property. Intercepting, logging, or passing raw Epic Generative AI prompts and draft outputs into a third-party monitoring harness (Vega Health) raises significant IP and software license questions. You must verify whether your Epic agreement permits third-party telemetry scraping or sidecar monitoring of Epic-native AI tools.</w:t>
      </w:r>
    </w:p>
    <w:p w:rsidR="00000000" w:rsidDel="00000000" w:rsidP="00000000" w:rsidRDefault="00000000" w:rsidRPr="00000000" w14:paraId="0000000A">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ttiklom32jmh" w:id="2"/>
      <w:bookmarkEnd w:id="2"/>
      <w:r w:rsidDel="00000000" w:rsidR="00000000" w:rsidRPr="00000000">
        <w:rPr>
          <w:rFonts w:ascii="Roboto" w:cs="Roboto" w:eastAsia="Roboto" w:hAnsi="Roboto"/>
          <w:b w:val="1"/>
          <w:bCs w:val="1"/>
          <w:color w:val="1f1f1f"/>
          <w:sz w:val="27"/>
          <w:szCs w:val="27"/>
          <w:rtl w:val="0"/>
        </w:rPr>
        <w:t xml:space="preserve">3. Provisioning Vendor Accounts &amp; Access Credentials inside Epic</w:t>
      </w:r>
    </w:p>
    <w:p w:rsidR="00000000" w:rsidDel="00000000" w:rsidP="00000000" w:rsidRDefault="00000000" w:rsidRPr="00000000" w14:paraId="0000000C">
      <w:pPr>
        <w:numPr>
          <w:ilvl w:val="0"/>
          <w:numId w:val="3"/>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Selected Source Findings</w:t>
      </w:r>
      <w:r w:rsidDel="00000000" w:rsidR="00000000" w:rsidRPr="00000000">
        <w:rPr>
          <w:rFonts w:ascii="Roboto" w:cs="Roboto" w:eastAsia="Roboto" w:hAnsi="Roboto"/>
          <w:color w:val="1f1f1f"/>
          <w:rtl w:val="0"/>
        </w:rPr>
        <w:t xml:space="preserve">: Section V of the SOW requires your hospital to create internal Epic user accounts with credentials provided directly to Vega Health engineers, alongside provisioning FHIR R4 client entitlements (OAuth 2.0 RS384)</w:t>
      </w:r>
      <w:r w:rsidDel="00000000" w:rsidR="00000000" w:rsidRPr="00000000">
        <w:rPr>
          <w:rFonts w:ascii="Roboto" w:cs="Roboto" w:eastAsia="Roboto" w:hAnsi="Roboto"/>
          <w:color w:val="1f1f1f"/>
          <w:sz w:val="26"/>
          <w:szCs w:val="26"/>
          <w:vertAlign w:val="superscript"/>
          <w:rtl w:val="0"/>
        </w:rPr>
        <w:t xml:space="preserve">[8]</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0D">
      <w:pPr>
        <w:numPr>
          <w:ilvl w:val="0"/>
          <w:numId w:val="3"/>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Governance &amp; IP Concern</w:t>
      </w:r>
      <w:r w:rsidDel="00000000" w:rsidR="00000000" w:rsidRPr="00000000">
        <w:rPr>
          <w:rFonts w:ascii="Roboto" w:cs="Roboto" w:eastAsia="Roboto" w:hAnsi="Roboto"/>
          <w:color w:val="1f1f1f"/>
          <w:rtl w:val="0"/>
        </w:rPr>
        <w:t xml:space="preserve">: Epic maintains strict policies regarding non-employee/third-party vendor access to Epic environments, configuration tools, and system materials. Granting direct Epic user account credentials to a third-party AI vendor without going through Epic's formal vendor integration or partner approval channels could violate user access compliance and Epic licensing terms.</w:t>
      </w:r>
    </w:p>
    <w:p w:rsidR="00000000" w:rsidDel="00000000" w:rsidP="00000000" w:rsidRDefault="00000000" w:rsidRPr="00000000" w14:paraId="0000000E">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tvaep2xtc0w3" w:id="3"/>
      <w:bookmarkEnd w:id="3"/>
      <w:r w:rsidDel="00000000" w:rsidR="00000000" w:rsidRPr="00000000">
        <w:rPr>
          <w:rFonts w:ascii="Roboto" w:cs="Roboto" w:eastAsia="Roboto" w:hAnsi="Roboto"/>
          <w:b w:val="1"/>
          <w:bCs w:val="1"/>
          <w:color w:val="1f1f1f"/>
          <w:sz w:val="27"/>
          <w:szCs w:val="27"/>
          <w:rtl w:val="0"/>
        </w:rPr>
        <w:t xml:space="preserve">4. Bulk Data Extraction &amp; Outbound Commercial AI Egress</w:t>
      </w:r>
    </w:p>
    <w:p w:rsidR="00000000" w:rsidDel="00000000" w:rsidP="00000000" w:rsidRDefault="00000000" w:rsidRPr="00000000" w14:paraId="00000010">
      <w:pPr>
        <w:numPr>
          <w:ilvl w:val="0"/>
          <w:numId w:val="4"/>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Selected Source Findings</w:t>
      </w:r>
      <w:r w:rsidDel="00000000" w:rsidR="00000000" w:rsidRPr="00000000">
        <w:rPr>
          <w:rFonts w:ascii="Roboto" w:cs="Roboto" w:eastAsia="Roboto" w:hAnsi="Roboto"/>
          <w:color w:val="1f1f1f"/>
          <w:rtl w:val="0"/>
        </w:rPr>
        <w:t xml:space="preserve">: The Vega Health architecture extracts continuous real-time </w:t>
      </w:r>
      <w:r w:rsidDel="00000000" w:rsidR="00000000" w:rsidRPr="00000000">
        <w:rPr>
          <w:rFonts w:ascii="Roboto" w:cs="Roboto" w:eastAsia="Roboto" w:hAnsi="Roboto"/>
          <w:b w:val="1"/>
          <w:bCs w:val="1"/>
          <w:color w:val="1f1f1f"/>
          <w:rtl w:val="0"/>
        </w:rPr>
        <w:t xml:space="preserve">HL7 v2 ADT and MAR messages</w:t>
      </w:r>
      <w:r w:rsidDel="00000000" w:rsidR="00000000" w:rsidRPr="00000000">
        <w:rPr>
          <w:rFonts w:ascii="Roboto" w:cs="Roboto" w:eastAsia="Roboto" w:hAnsi="Roboto"/>
          <w:color w:val="1f1f1f"/>
          <w:rtl w:val="0"/>
        </w:rPr>
        <w:t xml:space="preserve"> (via HTTP POST on Port 14443)</w:t>
      </w:r>
      <w:r w:rsidDel="00000000" w:rsidR="00000000" w:rsidRPr="00000000">
        <w:rPr>
          <w:rFonts w:ascii="Roboto" w:cs="Roboto" w:eastAsia="Roboto" w:hAnsi="Roboto"/>
          <w:color w:val="1f1f1f"/>
          <w:sz w:val="26"/>
          <w:szCs w:val="26"/>
          <w:vertAlign w:val="superscript"/>
          <w:rtl w:val="0"/>
        </w:rPr>
        <w:t xml:space="preserve">[9][10]</w:t>
      </w:r>
      <w:r w:rsidDel="00000000" w:rsidR="00000000" w:rsidRPr="00000000">
        <w:rPr>
          <w:rFonts w:ascii="Roboto" w:cs="Roboto" w:eastAsia="Roboto" w:hAnsi="Roboto"/>
          <w:color w:val="1f1f1f"/>
          <w:rtl w:val="0"/>
        </w:rPr>
        <w:t xml:space="preserve"> and on-demand </w:t>
      </w:r>
      <w:r w:rsidDel="00000000" w:rsidR="00000000" w:rsidRPr="00000000">
        <w:rPr>
          <w:rFonts w:ascii="Roboto" w:cs="Roboto" w:eastAsia="Roboto" w:hAnsi="Roboto"/>
          <w:b w:val="1"/>
          <w:bCs w:val="1"/>
          <w:color w:val="1f1f1f"/>
          <w:rtl w:val="0"/>
        </w:rPr>
        <w:t xml:space="preserve">Epic FHIR R4 clinical records</w:t>
      </w:r>
      <w:r w:rsidDel="00000000" w:rsidR="00000000" w:rsidRPr="00000000">
        <w:rPr>
          <w:rFonts w:ascii="Roboto" w:cs="Roboto" w:eastAsia="Roboto" w:hAnsi="Roboto"/>
          <w:color w:val="1f1f1f"/>
          <w:sz w:val="26"/>
          <w:szCs w:val="26"/>
          <w:vertAlign w:val="superscript"/>
          <w:rtl w:val="0"/>
        </w:rPr>
        <w:t xml:space="preserve">[9][11]</w:t>
      </w:r>
      <w:r w:rsidDel="00000000" w:rsidR="00000000" w:rsidRPr="00000000">
        <w:rPr>
          <w:rFonts w:ascii="Roboto" w:cs="Roboto" w:eastAsia="Roboto" w:hAnsi="Roboto"/>
          <w:color w:val="1f1f1f"/>
          <w:rtl w:val="0"/>
        </w:rPr>
        <w:t xml:space="preserve"> into an internal database</w:t>
      </w:r>
      <w:r w:rsidDel="00000000" w:rsidR="00000000" w:rsidRPr="00000000">
        <w:rPr>
          <w:rFonts w:ascii="Roboto" w:cs="Roboto" w:eastAsia="Roboto" w:hAnsi="Roboto"/>
          <w:color w:val="1f1f1f"/>
          <w:sz w:val="26"/>
          <w:szCs w:val="26"/>
          <w:vertAlign w:val="superscript"/>
          <w:rtl w:val="0"/>
        </w:rPr>
        <w:t xml:space="preserve">[12][13]</w:t>
      </w:r>
      <w:r w:rsidDel="00000000" w:rsidR="00000000" w:rsidRPr="00000000">
        <w:rPr>
          <w:rFonts w:ascii="Roboto" w:cs="Roboto" w:eastAsia="Roboto" w:hAnsi="Roboto"/>
          <w:color w:val="1f1f1f"/>
          <w:rtl w:val="0"/>
        </w:rPr>
        <w:t xml:space="preserve">, then routes payloads out to commercial LLM APIs (e.g., OpenAI API, Azure AI Foundry)</w:t>
      </w:r>
      <w:r w:rsidDel="00000000" w:rsidR="00000000" w:rsidRPr="00000000">
        <w:rPr>
          <w:rFonts w:ascii="Roboto" w:cs="Roboto" w:eastAsia="Roboto" w:hAnsi="Roboto"/>
          <w:color w:val="1f1f1f"/>
          <w:sz w:val="26"/>
          <w:szCs w:val="26"/>
          <w:vertAlign w:val="superscript"/>
          <w:rtl w:val="0"/>
        </w:rPr>
        <w:t xml:space="preserve">[14]</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11">
      <w:pPr>
        <w:numPr>
          <w:ilvl w:val="0"/>
          <w:numId w:val="4"/>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Governance &amp; IP Concern</w:t>
      </w:r>
      <w:r w:rsidDel="00000000" w:rsidR="00000000" w:rsidRPr="00000000">
        <w:rPr>
          <w:rFonts w:ascii="Roboto" w:cs="Roboto" w:eastAsia="Roboto" w:hAnsi="Roboto"/>
          <w:color w:val="1f1f1f"/>
          <w:rtl w:val="0"/>
        </w:rPr>
        <w:t xml:space="preserve">: Mass data extraction from Epic into secondary datastores and external third-party AI endpoints must comply with Epic’s data governance rules regarding data scraping and secondary commercial use. You must confirm that all outbound API connections operate under executed Business Associate Agreements (BAAs) with explicit zero-data-retention clauses</w:t>
      </w:r>
      <w:r w:rsidDel="00000000" w:rsidR="00000000" w:rsidRPr="00000000">
        <w:rPr>
          <w:rFonts w:ascii="Roboto" w:cs="Roboto" w:eastAsia="Roboto" w:hAnsi="Roboto"/>
          <w:color w:val="1f1f1f"/>
          <w:sz w:val="26"/>
          <w:szCs w:val="26"/>
          <w:vertAlign w:val="superscript"/>
          <w:rtl w:val="0"/>
        </w:rPr>
        <w:t xml:space="preserve">[14]</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12">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9jm1dwlygbn0" w:id="4"/>
      <w:bookmarkEnd w:id="4"/>
      <w:r w:rsidDel="00000000" w:rsidR="00000000" w:rsidRPr="00000000">
        <w:rPr>
          <w:rFonts w:ascii="Roboto" w:cs="Roboto" w:eastAsia="Roboto" w:hAnsi="Roboto"/>
          <w:b w:val="1"/>
          <w:bCs w:val="1"/>
          <w:color w:val="1f1f1f"/>
          <w:sz w:val="27"/>
          <w:szCs w:val="27"/>
          <w:rtl w:val="0"/>
        </w:rPr>
        <w:t xml:space="preserve">Recommended Action Items</w:t>
      </w:r>
    </w:p>
    <w:p w:rsidR="00000000" w:rsidDel="00000000" w:rsidP="00000000" w:rsidRDefault="00000000" w:rsidRPr="00000000" w14:paraId="00000014">
      <w:pPr>
        <w:numPr>
          <w:ilvl w:val="0"/>
          <w:numId w:val="5"/>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Conduct a Legal &amp; IP Review</w:t>
      </w:r>
      <w:r w:rsidDel="00000000" w:rsidR="00000000" w:rsidRPr="00000000">
        <w:rPr>
          <w:rFonts w:ascii="Roboto" w:cs="Roboto" w:eastAsia="Roboto" w:hAnsi="Roboto"/>
          <w:color w:val="1f1f1f"/>
          <w:rtl w:val="0"/>
        </w:rPr>
        <w:t xml:space="preserve">: Have your legal counsel review Epic's third-party AI and IP guidelines against the proposal to ensure that benchmarking proprietary EHR models and monitoring Epic Generative AI tools do not breach your Epic software license.</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Clarify Vendor Account Provisions</w:t>
      </w:r>
      <w:r w:rsidDel="00000000" w:rsidR="00000000" w:rsidRPr="00000000">
        <w:rPr>
          <w:rFonts w:ascii="Roboto" w:cs="Roboto" w:eastAsia="Roboto" w:hAnsi="Roboto"/>
          <w:color w:val="1f1f1f"/>
          <w:rtl w:val="0"/>
        </w:rPr>
        <w:t xml:space="preserve">: Confirm with your Epic technical coordinator whether Vega Health engineers can be granted internal Epic user credentials</w:t>
      </w:r>
      <w:r w:rsidDel="00000000" w:rsidR="00000000" w:rsidRPr="00000000">
        <w:rPr>
          <w:rFonts w:ascii="Roboto" w:cs="Roboto" w:eastAsia="Roboto" w:hAnsi="Roboto"/>
          <w:color w:val="1f1f1f"/>
          <w:sz w:val="26"/>
          <w:szCs w:val="26"/>
          <w:vertAlign w:val="superscript"/>
          <w:rtl w:val="0"/>
        </w:rPr>
        <w:t xml:space="preserve">[8]</w:t>
      </w:r>
      <w:r w:rsidDel="00000000" w:rsidR="00000000" w:rsidRPr="00000000">
        <w:rPr>
          <w:rFonts w:ascii="Roboto" w:cs="Roboto" w:eastAsia="Roboto" w:hAnsi="Roboto"/>
          <w:color w:val="1f1f1f"/>
          <w:rtl w:val="0"/>
        </w:rPr>
        <w:t xml:space="preserve"> or if access must be restricted to standard OAuth 2.0 service accounts.</w:t>
      </w:r>
    </w:p>
    <w:p w:rsidR="00000000" w:rsidDel="00000000" w:rsidP="00000000" w:rsidRDefault="00000000" w:rsidRPr="00000000" w14:paraId="00000016">
      <w:pPr>
        <w:numPr>
          <w:ilvl w:val="0"/>
          <w:numId w:val="5"/>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Verify Third-Party BAA Boundaries</w:t>
      </w:r>
      <w:r w:rsidDel="00000000" w:rsidR="00000000" w:rsidRPr="00000000">
        <w:rPr>
          <w:rFonts w:ascii="Roboto" w:cs="Roboto" w:eastAsia="Roboto" w:hAnsi="Roboto"/>
          <w:color w:val="1f1f1f"/>
          <w:rtl w:val="0"/>
        </w:rPr>
        <w:t xml:space="preserve">: Ensure that all external LLM providers (Azure AI Foundry, OpenAI)</w:t>
      </w:r>
      <w:r w:rsidDel="00000000" w:rsidR="00000000" w:rsidRPr="00000000">
        <w:rPr>
          <w:rFonts w:ascii="Roboto" w:cs="Roboto" w:eastAsia="Roboto" w:hAnsi="Roboto"/>
          <w:color w:val="1f1f1f"/>
          <w:sz w:val="26"/>
          <w:szCs w:val="26"/>
          <w:vertAlign w:val="superscript"/>
          <w:rtl w:val="0"/>
        </w:rPr>
        <w:t xml:space="preserve">[14]</w:t>
      </w:r>
      <w:r w:rsidDel="00000000" w:rsidR="00000000" w:rsidRPr="00000000">
        <w:rPr>
          <w:rFonts w:ascii="Roboto" w:cs="Roboto" w:eastAsia="Roboto" w:hAnsi="Roboto"/>
          <w:color w:val="1f1f1f"/>
          <w:rtl w:val="0"/>
        </w:rPr>
        <w:t xml:space="preserve"> are covered under your health system's BAAs with zero-retention guarantees before enabling FHIR API egress.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