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A5F" w:sz="12" w:space="2"/>
        </w:pBdr>
        <w:tabs>
          <w:tab w:val="right" w:pos="9746"/>
        </w:tabs>
        <w:spacing w:after="100"/>
      </w:pPr>
      <w:r>
        <w:rPr>
          <w:rFonts w:ascii="Times New Roman" w:cs="Times New Roman" w:eastAsia="Times New Roman" w:hAnsi="Times New Roman"/>
          <w:b/>
          <w:bCs/>
          <w:color w:val="1F3A5F"/>
          <w:spacing w:val="20"/>
          <w:sz w:val="18"/>
          <w:szCs w:val="18"/>
        </w:rPr>
        <w:t xml:space="preserve">INITIATING COVERAGE</w:t>
      </w:r>
      <w:r>
        <w:rPr>
          <w:rFonts w:ascii="Times New Roman" w:cs="Times New Roman" w:eastAsia="Times New Roman" w:hAnsi="Times New Roman"/>
          <w:color w:val="595959"/>
          <w:sz w:val="18"/>
          <w:szCs w:val="18"/>
        </w:rPr>
        <w:t xml:space="preserve">   |   Hong Kong   |   Consumer Discretionary: Online Retail</w:t>
      </w:r>
      <w:r>
        <w:rPr>
          <w:rFonts w:ascii="Times New Roman" w:cs="Times New Roman" w:eastAsia="Times New Roman" w:hAnsi="Times New Roman"/>
          <w:color w:val="595959"/>
          <w:sz w:val="18"/>
          <w:szCs w:val="18"/>
        </w:rPr>
        <w:t xml:space="preserve">	30 September 2026</w:t>
      </w:r>
    </w:p>
    <w:p>
      <w:pPr>
        <w:spacing w:after="40"/>
      </w:pPr>
      <w:r>
        <w:rPr>
          <w:rFonts w:ascii="Times New Roman" w:cs="Times New Roman" w:eastAsia="Times New Roman" w:hAnsi="Times New Roman"/>
          <w:b/>
          <w:bCs/>
          <w:color w:val="1F3A5F"/>
          <w:sz w:val="36"/>
          <w:szCs w:val="36"/>
        </w:rPr>
        <w:t xml:space="preserve">SHEIN Global Holdings Ltd (0625.HK)</w:t>
      </w:r>
    </w:p>
    <w:p>
      <w:pPr>
        <w:spacing w:after="20"/>
      </w:pPr>
      <w:r>
        <w:rPr>
          <w:rFonts w:ascii="Times New Roman" w:cs="Times New Roman" w:eastAsia="Times New Roman" w:hAnsi="Times New Roman"/>
          <w:i/>
          <w:iCs/>
          <w:sz w:val="26"/>
          <w:szCs w:val="26"/>
        </w:rPr>
        <w:t xml:space="preserve">The world's largest online fashion brand, priced as a cash box</w:t>
      </w:r>
    </w:p>
    <w:p>
      <w:pPr>
        <w:spacing w:after="100"/>
      </w:pPr>
      <w:r>
        <w:rPr>
          <w:rFonts w:ascii="Times New Roman" w:cs="Times New Roman" w:eastAsia="Times New Roman" w:hAnsi="Times New Roman"/>
          <w:b/>
          <w:bCs/>
          <w:color w:val="1B7A43"/>
          <w:sz w:val="22"/>
          <w:szCs w:val="22"/>
        </w:rPr>
        <w:t xml:space="preserve">Initiate at BUY with a 12-month price target of HK$45.00 (+46%)</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72"/>
        <w:gridCol w:w="6074"/>
      </w:tblGrid>
      <w:tr>
        <w:tc>
          <w:tcPr>
            <w:tcW w:type="dxa" w:w="3672"/>
            <w:tcBorders>
              <w:top w:val="none" w:color="FFFFFF" w:sz="0"/>
              <w:left w:val="none" w:color="FFFFFF" w:sz="0"/>
              <w:bottom w:val="none" w:color="FFFFFF" w:sz="0"/>
              <w:right w:val="none" w:color="FFFFFF" w:sz="0"/>
            </w:tcBorders>
            <w:tcMar>
              <w:right w:type="dxa" w:w="100"/>
            </w:tcMar>
          </w:tcPr>
          <w:tbl>
            <w:tblPr>
              <w:tblW w:type="dxa" w:w="35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8"/>
              <w:gridCol w:w="1440"/>
            </w:tblGrid>
            <w:tr>
              <w:tc>
                <w:tcPr>
                  <w:tcW w:type="dxa" w:w="3528"/>
                  <w:gridSpan w:val="2"/>
                  <w:tcBorders>
                    <w:top w:val="none" w:color="FFFFFF" w:sz="0"/>
                    <w:left w:val="none" w:color="FFFFFF" w:sz="0"/>
                    <w:bottom w:val="none" w:color="FFFFFF" w:sz="0"/>
                    <w:right w:val="none" w:color="FFFFFF" w:sz="0"/>
                  </w:tcBorders>
                  <w:shd w:fill="1F3A5F" w:color="auto" w:val="clear"/>
                  <w:tcMar>
                    <w:top w:type="dxa" w:w="40"/>
                    <w:left w:type="dxa" w:w="80"/>
                    <w:bottom w:type="dxa" w:w="40"/>
                    <w:right w:type="dxa" w:w="80"/>
                  </w:tcMar>
                </w:tcPr>
                <w:p>
                  <w:r>
                    <w:rPr>
                      <w:rFonts w:ascii="Times New Roman" w:cs="Times New Roman" w:eastAsia="Times New Roman" w:hAnsi="Times New Roman"/>
                      <w:b/>
                      <w:bCs/>
                      <w:color w:val="FFFFFF"/>
                      <w:sz w:val="17"/>
                      <w:szCs w:val="17"/>
                    </w:rPr>
                    <w:t xml:space="preserve">Key data</w:t>
                  </w:r>
                </w:p>
              </w:tc>
            </w:tr>
            <w:tr>
              <w:tc>
                <w:tcPr>
                  <w:tcW w:type="dxa" w:w="2088"/>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6"/>
                      <w:szCs w:val="16"/>
                    </w:rPr>
                    <w:t xml:space="preserve">Rating</w:t>
                  </w:r>
                </w:p>
              </w:tc>
              <w:tc>
                <w:tcPr>
                  <w:tcW w:type="dxa" w:w="1440"/>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1B7A43"/>
                      <w:sz w:val="16"/>
                      <w:szCs w:val="16"/>
                    </w:rPr>
                    <w:t xml:space="preserve">BUY</w:t>
                  </w:r>
                </w:p>
              </w:tc>
            </w:tr>
            <w:tr>
              <w:tc>
                <w:tcPr>
                  <w:tcW w:type="dxa" w:w="2088"/>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12-month price target</w:t>
                  </w:r>
                </w:p>
              </w:tc>
              <w:tc>
                <w:tcPr>
                  <w:tcW w:type="dxa" w:w="1440"/>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HK$45.00</w:t>
                  </w:r>
                </w:p>
              </w:tc>
            </w:tr>
            <w:tr>
              <w:tc>
                <w:tcPr>
                  <w:tcW w:type="dxa" w:w="2088"/>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Price (30-Sep-2026)</w:t>
                  </w:r>
                </w:p>
              </w:tc>
              <w:tc>
                <w:tcPr>
                  <w:tcW w:type="dxa" w:w="1440"/>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HK$30.84</w:t>
                  </w:r>
                </w:p>
              </w:tc>
            </w:tr>
            <w:tr>
              <w:tc>
                <w:tcPr>
                  <w:tcW w:type="dxa" w:w="2088"/>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Upside to target</w:t>
                  </w:r>
                </w:p>
              </w:tc>
              <w:tc>
                <w:tcPr>
                  <w:tcW w:type="dxa" w:w="1440"/>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+45.9%</w:t>
                  </w:r>
                </w:p>
              </w:tc>
            </w:tr>
            <w:t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Est. FY26E dividend yield</w:t>
                  </w:r>
                </w:p>
              </w:tc>
              <w:tc>
                <w:tcPr>
                  <w:tcW w:type="dxa" w:w="14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3.3%</w:t>
                  </w:r>
                </w:p>
              </w:tc>
            </w:tr>
            <w:t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IPO price (1-Sep-2026)</w:t>
                  </w:r>
                </w:p>
              </w:tc>
              <w:tc>
                <w:tcPr>
                  <w:tcW w:type="dxa" w:w="144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HK$48.56</w:t>
                  </w:r>
                </w:p>
              </w:tc>
            </w:tr>
            <w:t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Range since listing</w:t>
                  </w:r>
                </w:p>
              </w:tc>
              <w:tc>
                <w:tcPr>
                  <w:tcW w:type="dxa" w:w="14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HK$29.90-48.56</w:t>
                  </w:r>
                </w:p>
              </w:tc>
            </w:tr>
            <w:t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Market cap (diluted)</w:t>
                  </w:r>
                </w:p>
              </w:tc>
              <w:tc>
                <w:tcPr>
                  <w:tcW w:type="dxa" w:w="144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US$17.4bn</w:t>
                  </w:r>
                </w:p>
              </w:tc>
            </w:tr>
            <w:t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Pro forma cash &amp; inv.</w:t>
                  </w:r>
                </w:p>
              </w:tc>
              <w:tc>
                <w:tcPr>
                  <w:tcW w:type="dxa" w:w="14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US$13.9bn</w:t>
                  </w:r>
                </w:p>
              </w:tc>
            </w:tr>
            <w:t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Enterprise value</w:t>
                  </w:r>
                </w:p>
              </w:tc>
              <w:tc>
                <w:tcPr>
                  <w:tcW w:type="dxa" w:w="144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US$3.5bn</w:t>
                  </w:r>
                </w:p>
              </w:tc>
            </w:tr>
            <w:t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Ticker / exchange</w:t>
                  </w:r>
                </w:p>
              </w:tc>
              <w:tc>
                <w:tcPr>
                  <w:tcW w:type="dxa" w:w="14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0625.HK / HKEX</w:t>
                  </w:r>
                </w:p>
              </w:tc>
            </w:tr>
          </w:tbl>
          <w:p>
            <w:pPr>
              <w:spacing w:before="60"/>
            </w:pPr>
            <w:r>
              <w:rPr>
                <w:rFonts w:ascii="Times New Roman" w:cs="Times New Roman" w:eastAsia="Times New Roman" w:hAnsi="Times New Roman"/>
                <w:i/>
                <w:iCs/>
                <w:color w:val="595959"/>
                <w:sz w:val="15"/>
                <w:szCs w:val="15"/>
              </w:rPr>
              <w:t xml:space="preserve">Prepared by: Claude (AI-assisted equity research)</w:t>
            </w:r>
          </w:p>
        </w:tc>
        <w:tc>
          <w:tcPr>
            <w:tcW w:type="dxa" w:w="6074"/>
            <w:tcBorders>
              <w:top w:val="none" w:color="FFFFFF" w:sz="0"/>
              <w:left w:val="none" w:color="FFFFFF" w:sz="0"/>
              <w:bottom w:val="none" w:color="FFFFFF" w:sz="0"/>
              <w:right w:val="none" w:color="FFFFFF" w:sz="0"/>
            </w:tcBorders>
            <w:tcMar>
              <w:left w:type="dxa" w:w="100"/>
            </w:tcMar>
          </w:tcPr>
          <w:p>
            <w:pPr>
              <w:spacing w:after="40"/>
            </w:pPr>
            <w:r>
              <w:rPr>
                <w:rFonts w:ascii="Times New Roman" w:cs="Times New Roman" w:eastAsia="Times New Roman" w:hAnsi="Times New Roman"/>
                <w:b/>
                <w:bCs/>
                <w:color w:val="1F3A5F"/>
                <w:sz w:val="17"/>
                <w:szCs w:val="17"/>
              </w:rPr>
              <w:t xml:space="preserve">Figure 1: </w:t>
            </w:r>
            <w:r>
              <w:rPr>
                <w:rFonts w:ascii="Times New Roman" w:cs="Times New Roman" w:eastAsia="Times New Roman" w:hAnsi="Times New Roman"/>
                <w:b/>
                <w:bCs/>
                <w:color w:val="1F3A5F"/>
                <w:sz w:val="17"/>
                <w:szCs w:val="17"/>
              </w:rPr>
              <w:t xml:space="preserve">Share price since listing vs. IPO price and our target (HK$)</w:t>
            </w:r>
          </w:p>
          <w:p>
            <w:pPr>
              <w:jc w:val="center"/>
            </w:pPr>
            <w:r>
              <w:drawing>
                <wp:inline distT="0" distB="0" distL="0" distR="0">
                  <wp:extent cx="3790950" cy="1819275"/>
                  <wp:effectExtent t="0" r="0" b="0" l="0"/>
                  <wp:docPr id="35" name="chart_01" descr="SHEIN share price since listing vs IPO price and target" title="Share price since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90950" cy="1819275"/>
                          </a:xfrm>
                          <a:prstGeom prst="rect">
                            <a:avLst/>
                          </a:prstGeom>
                        </pic:spPr>
                      </pic:pic>
                    </a:graphicData>
                  </a:graphic>
                </wp:inline>
              </w:drawing>
            </w:r>
          </w:p>
        </w:tc>
      </w:tr>
    </w:tbl>
    <w:p>
      <w:pPr>
        <w:spacing w:after="40"/>
      </w:pPr>
    </w:p>
    <w:p>
      <w:pPr>
        <w:pStyle w:val="ListParagraph"/>
        <w:numPr>
          <w:ilvl w:val="0"/>
          <w:numId w:val="2"/>
        </w:numPr>
        <w:spacing w:after="70" w:line="240"/>
        <w:jc w:val="both"/>
      </w:pPr>
      <w:r>
        <w:rPr>
          <w:rFonts w:ascii="Times New Roman" w:cs="Times New Roman" w:eastAsia="Times New Roman" w:hAnsi="Times New Roman"/>
          <w:b/>
          <w:bCs/>
          <w:sz w:val="18"/>
          <w:szCs w:val="18"/>
        </w:rPr>
        <w:t xml:space="preserve">The market is paying almost nothing for the world's largest online fashion business.</w:t>
      </w:r>
      <w:r>
        <w:rPr>
          <w:rFonts w:ascii="Times New Roman" w:cs="Times New Roman" w:eastAsia="Times New Roman" w:hAnsi="Times New Roman"/>
          <w:sz w:val="18"/>
          <w:szCs w:val="18"/>
        </w:rPr>
        <w:t xml:space="preserve"> At HK$30.84 SHEIN's fully diluted market value is US$17.4bn. The company holds US$13.9bn of pro forma unrestricted cash and investments, measured after the US$2.2bn Conversion Adjustment and US$0.6bn of preferred distributions paid at listing. The implied enterprise value of US$3.5bn is 0.08x LTM sales, 2.2x LTM EBITDA and 2.5x our FY2027E adjusted EBIT. That is for a business with US$41.8bn of 2025 revenue, 1.08bn orders and 291m active customers, the world's third-largest apparel and footwear company. Even after deducting a US$1.5bn operating-cash buffer and a US$1.0bn regulatory reserve, net cash is still HK$20.2 per share, 66% of the share price.</w:t>
      </w:r>
    </w:p>
    <w:p>
      <w:pPr>
        <w:pStyle w:val="ListParagraph"/>
        <w:numPr>
          <w:ilvl w:val="0"/>
          <w:numId w:val="2"/>
        </w:numPr>
        <w:spacing w:after="70" w:line="240"/>
        <w:jc w:val="both"/>
      </w:pPr>
      <w:r>
        <w:rPr>
          <w:rFonts w:ascii="Times New Roman" w:cs="Times New Roman" w:eastAsia="Times New Roman" w:hAnsi="Times New Roman"/>
          <w:b/>
          <w:bCs/>
          <w:sz w:val="18"/>
          <w:szCs w:val="18"/>
        </w:rPr>
        <w:t xml:space="preserve">1H26 was the margin trough; 2H26E should mark stabilisation.</w:t>
      </w:r>
      <w:r>
        <w:rPr>
          <w:rFonts w:ascii="Times New Roman" w:cs="Times New Roman" w:eastAsia="Times New Roman" w:hAnsi="Times New Roman"/>
          <w:sz w:val="18"/>
          <w:szCs w:val="18"/>
        </w:rPr>
        <w:t xml:space="preserve"> 1H26 operating income fell 52.9% to US$493m (2.4% margin) as the Iran-conflict spike in oil prices and freight pushed fulfilment to 50.4% of 2Q26 revenue. SHEIN chose to absorb these costs rather than raise prices. Management says adjusted net margin would have been "broadly similar to a year ago" excluding freight, and is "cautiously optimistic" on 2H26. We forecast 2H26E adjusted net income of US$651m vs. US$499m in 1H26. We expect the EBIT margin to rebuild to 3.0% in FY2027E and 4.6% by FY2031E, only slightly above the 4.3% achieved in FY2023.</w:t>
      </w:r>
    </w:p>
    <w:p>
      <w:pPr>
        <w:pStyle w:val="ListParagraph"/>
        <w:numPr>
          <w:ilvl w:val="0"/>
          <w:numId w:val="2"/>
        </w:numPr>
        <w:spacing w:after="70" w:line="240"/>
        <w:jc w:val="both"/>
      </w:pPr>
      <w:r>
        <w:rPr>
          <w:rFonts w:ascii="Times New Roman" w:cs="Times New Roman" w:eastAsia="Times New Roman" w:hAnsi="Times New Roman"/>
          <w:b/>
          <w:bCs/>
          <w:sz w:val="18"/>
          <w:szCs w:val="18"/>
        </w:rPr>
        <w:t xml:space="preserve">Trade-policy shocks are real but not existential; the US is the template.</w:t>
      </w:r>
      <w:r>
        <w:rPr>
          <w:rFonts w:ascii="Times New Roman" w:cs="Times New Roman" w:eastAsia="Times New Roman" w:hAnsi="Times New Roman"/>
          <w:sz w:val="18"/>
          <w:szCs w:val="18"/>
        </w:rPr>
        <w:t xml:space="preserve"> Removing the de minimis and €150 exemptions raises landed costs on the direct-from-China model, and Europe (35% of FY25 revenue) is now absorbing its shock: 2Q26 European revenue fell 13.9% ahead of the 1-Jul-2026 duty. In the US the decline narrowed from 14.3% in 1Q26 to 6.0% in 2Q26 as SHEIN passed on most of the duty and shifted to formal customs entry. Meanwhile the rest of the world grew 21.6% in 2Q26, orders grew 7.6% and active customers rose 14.6% to 291m. We model Europe –15% in 2H26E and –4% in FY2027E before recovering, US +2% in FY2027E, and group revenue CAGR of 6.1% over FY2026-31E.</w:t>
      </w:r>
    </w:p>
    <w:p>
      <w:pPr>
        <w:pStyle w:val="ListParagraph"/>
        <w:numPr>
          <w:ilvl w:val="0"/>
          <w:numId w:val="2"/>
        </w:numPr>
        <w:spacing w:after="70" w:line="240"/>
        <w:jc w:val="both"/>
      </w:pPr>
      <w:r>
        <w:rPr>
          <w:rFonts w:ascii="Times New Roman" w:cs="Times New Roman" w:eastAsia="Times New Roman" w:hAnsi="Times New Roman"/>
          <w:b/>
          <w:bCs/>
          <w:sz w:val="18"/>
          <w:szCs w:val="18"/>
        </w:rPr>
        <w:t xml:space="preserve">Initiate at BUY with a HK$45.00 price target (+46%).</w:t>
      </w:r>
      <w:r>
        <w:rPr>
          <w:rFonts w:ascii="Times New Roman" w:cs="Times New Roman" w:eastAsia="Times New Roman" w:hAnsi="Times New Roman"/>
          <w:sz w:val="18"/>
          <w:szCs w:val="18"/>
        </w:rPr>
        <w:t xml:space="preserve"> The target blends DCF (HK$54.35; WACC 11.2%, g 2.5%) and 14x FY2027E adjusted EPS of HK$2.57 (HK$36.04). The dividend policy of at least 50% of net profit implies a first dividend of about HK$1.02 per share (3.3% yield) with FY2026 results. Risk-reward is asymmetric: HK$29.6 bear (–4%), HK$45.2 base, HK$61.3 bull (+99%). The main near-term risks are the pre-IPO lock-up expiry around 1-Mar-2027 (~34% of shares), EU Digital Services Act and FTC outcomes, and the US-China tariff truce expiring on 10-Nov-2026.</w:t>
      </w:r>
    </w:p>
    <w:p>
      <w:pPr>
        <w:keepNext/>
        <w:spacing w:after="60" w:before="160"/>
      </w:pPr>
      <w:r>
        <w:rPr>
          <w:rFonts w:ascii="Times New Roman" w:cs="Times New Roman" w:eastAsia="Times New Roman" w:hAnsi="Times New Roman"/>
          <w:b/>
          <w:bCs/>
          <w:color w:val="1F3A5F"/>
          <w:sz w:val="18"/>
          <w:szCs w:val="18"/>
        </w:rPr>
        <w:t xml:space="preserve">Figure 2: </w:t>
      </w:r>
      <w:r>
        <w:rPr>
          <w:rFonts w:ascii="Times New Roman" w:cs="Times New Roman" w:eastAsia="Times New Roman" w:hAnsi="Times New Roman"/>
          <w:b/>
          <w:bCs/>
          <w:color w:val="1F3A5F"/>
          <w:sz w:val="18"/>
          <w:szCs w:val="18"/>
        </w:rPr>
        <w:t xml:space="preserve">Key financials and valuation</w:t>
      </w:r>
    </w:p>
    <w:tbl>
      <w:tblPr>
        <w:tblW w:type="dxa" w:w="921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6"/>
        <w:gridCol w:w="1152"/>
        <w:gridCol w:w="1152"/>
        <w:gridCol w:w="1152"/>
        <w:gridCol w:w="1152"/>
        <w:gridCol w:w="1152"/>
      </w:tblGrid>
      <w:tr>
        <w:trPr>
          <w:cantSplit/>
          <w:tblHeader/>
        </w:trPr>
        <w:tc>
          <w:tcPr>
            <w:tcW w:type="dxa" w:w="3456"/>
            <w:tcBorders>
              <w:top w:val="none" w:color="FFFFFF" w:sz="0"/>
              <w:left w:val="none" w:color="FFFFFF" w:sz="0"/>
              <w:bottom w:val="none" w:color="FFFFFF" w:sz="0"/>
              <w:right w:val="none" w:color="FFFFFF" w:sz="0"/>
            </w:tcBorders>
            <w:shd w:fill="1F3A5F" w:color="auto" w:val="clear"/>
            <w:tcMar>
              <w:top w:type="dxa" w:w="12"/>
              <w:left w:type="dxa" w:w="70"/>
              <w:bottom w:type="dxa" w:w="12"/>
              <w:right w:type="dxa" w:w="70"/>
            </w:tcMar>
            <w:vAlign w:val="center"/>
          </w:tcPr>
          <w:p>
            <w:pPr>
              <w:keepNext/>
              <w:jc w:val="left"/>
            </w:pPr>
            <w:r>
              <w:rPr>
                <w:rFonts w:ascii="Times New Roman" w:cs="Times New Roman" w:eastAsia="Times New Roman" w:hAnsi="Times New Roman"/>
                <w:b/>
                <w:bCs/>
                <w:i w:val="false"/>
                <w:iCs w:val="false"/>
                <w:color w:val="FFFFFF"/>
                <w:sz w:val="15"/>
                <w:szCs w:val="15"/>
              </w:rPr>
              <w:t xml:space="preserve">US$m / FY Dec</w:t>
            </w:r>
          </w:p>
        </w:tc>
        <w:tc>
          <w:tcPr>
            <w:tcW w:type="dxa" w:w="1152"/>
            <w:tcBorders>
              <w:top w:val="none" w:color="FFFFFF" w:sz="0"/>
              <w:left w:val="none" w:color="FFFFFF" w:sz="0"/>
              <w:bottom w:val="none" w:color="FFFFFF" w:sz="0"/>
              <w:right w:val="none" w:color="FFFFFF" w:sz="0"/>
            </w:tcBorders>
            <w:shd w:fill="1F3A5F"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FFFFFF"/>
                <w:sz w:val="15"/>
                <w:szCs w:val="15"/>
              </w:rPr>
              <w:t xml:space="preserve">FY24A</w:t>
            </w:r>
          </w:p>
        </w:tc>
        <w:tc>
          <w:tcPr>
            <w:tcW w:type="dxa" w:w="1152"/>
            <w:tcBorders>
              <w:top w:val="none" w:color="FFFFFF" w:sz="0"/>
              <w:left w:val="none" w:color="FFFFFF" w:sz="0"/>
              <w:bottom w:val="none" w:color="FFFFFF" w:sz="0"/>
              <w:right w:val="none" w:color="FFFFFF" w:sz="0"/>
            </w:tcBorders>
            <w:shd w:fill="1F3A5F"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FFFFFF"/>
                <w:sz w:val="15"/>
                <w:szCs w:val="15"/>
              </w:rPr>
              <w:t xml:space="preserve">FY25A</w:t>
            </w:r>
          </w:p>
        </w:tc>
        <w:tc>
          <w:tcPr>
            <w:tcW w:type="dxa" w:w="1152"/>
            <w:tcBorders>
              <w:top w:val="none" w:color="FFFFFF" w:sz="0"/>
              <w:left w:val="none" w:color="FFFFFF" w:sz="0"/>
              <w:bottom w:val="none" w:color="FFFFFF" w:sz="0"/>
              <w:right w:val="none" w:color="FFFFFF" w:sz="0"/>
            </w:tcBorders>
            <w:shd w:fill="1F3A5F"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FFFFFF"/>
                <w:sz w:val="15"/>
                <w:szCs w:val="15"/>
              </w:rPr>
              <w:t xml:space="preserve">FY26E</w:t>
            </w:r>
          </w:p>
        </w:tc>
        <w:tc>
          <w:tcPr>
            <w:tcW w:type="dxa" w:w="1152"/>
            <w:tcBorders>
              <w:top w:val="none" w:color="FFFFFF" w:sz="0"/>
              <w:left w:val="none" w:color="FFFFFF" w:sz="0"/>
              <w:bottom w:val="none" w:color="FFFFFF" w:sz="0"/>
              <w:right w:val="none" w:color="FFFFFF" w:sz="0"/>
            </w:tcBorders>
            <w:shd w:fill="1F3A5F"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FFFFFF"/>
                <w:sz w:val="15"/>
                <w:szCs w:val="15"/>
              </w:rPr>
              <w:t xml:space="preserve">FY27E</w:t>
            </w:r>
          </w:p>
        </w:tc>
        <w:tc>
          <w:tcPr>
            <w:tcW w:type="dxa" w:w="1152"/>
            <w:tcBorders>
              <w:top w:val="none" w:color="FFFFFF" w:sz="0"/>
              <w:left w:val="none" w:color="FFFFFF" w:sz="0"/>
              <w:bottom w:val="none" w:color="FFFFFF" w:sz="0"/>
              <w:right w:val="none" w:color="FFFFFF" w:sz="0"/>
            </w:tcBorders>
            <w:shd w:fill="1F3A5F"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FFFFFF"/>
                <w:sz w:val="15"/>
                <w:szCs w:val="15"/>
              </w:rPr>
              <w:t xml:space="preserve">FY28E</w:t>
            </w:r>
          </w:p>
        </w:tc>
      </w:tr>
      <w:tr>
        <w:trPr>
          <w:cantSplit/>
        </w:trPr>
        <w:tc>
          <w:tcPr>
            <w:tcW w:type="dxa" w:w="3456"/>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left"/>
            </w:pPr>
            <w:r>
              <w:rPr>
                <w:rFonts w:ascii="Times New Roman" w:cs="Times New Roman" w:eastAsia="Times New Roman" w:hAnsi="Times New Roman"/>
                <w:b/>
                <w:bCs/>
                <w:i w:val="false"/>
                <w:iCs w:val="false"/>
                <w:color w:val="000000"/>
                <w:sz w:val="15"/>
                <w:szCs w:val="15"/>
              </w:rPr>
              <w:t xml:space="preserve">Net revenues (US$m)</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38,748</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41,847</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41,883</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43,890</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46,960</w:t>
            </w:r>
          </w:p>
        </w:tc>
      </w:tr>
      <w:tr>
        <w:trPr>
          <w:cantSplit/>
        </w:trPr>
        <w:tc>
          <w:tcPr>
            <w:tcW w:type="dxa" w:w="3456"/>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5"/>
                <w:szCs w:val="15"/>
              </w:rPr>
              <w:t xml:space="preserve">YoY growth</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20.7%</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8.0%</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0.1%</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4.8%</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7.0%</w:t>
            </w:r>
          </w:p>
        </w:tc>
      </w:tr>
      <w:tr>
        <w:trPr>
          <w:cantSplit/>
        </w:trPr>
        <w:tc>
          <w:tcPr>
            <w:tcW w:type="dxa" w:w="3456"/>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Gross margin</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60.6%</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67.9%</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70.3%</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70.7%</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70.9%</w:t>
            </w:r>
          </w:p>
        </w:tc>
      </w:tr>
      <w:tr>
        <w:trPr>
          <w:cantSplit/>
        </w:trPr>
        <w:tc>
          <w:tcPr>
            <w:tcW w:type="dxa" w:w="3456"/>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Adj. EBITDA (US$m)</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1,361</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2,190</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1,589</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1,892</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2,378</w:t>
            </w:r>
          </w:p>
        </w:tc>
      </w:tr>
      <w:tr>
        <w:trPr>
          <w:cantSplit/>
        </w:trPr>
        <w:tc>
          <w:tcPr>
            <w:tcW w:type="dxa" w:w="3456"/>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Adj. EBIT (US$m)</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1,037</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1,792</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1,125</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1,405</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1,857</w:t>
            </w:r>
          </w:p>
        </w:tc>
      </w:tr>
      <w:tr>
        <w:trPr>
          <w:cantSplit/>
        </w:trPr>
        <w:tc>
          <w:tcPr>
            <w:tcW w:type="dxa" w:w="3456"/>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5"/>
                <w:szCs w:val="15"/>
              </w:rPr>
              <w:t xml:space="preserve">Adj. EBIT margin</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2.7%</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4.3%</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2.7%</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3.2%</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4.0%</w:t>
            </w:r>
          </w:p>
        </w:tc>
      </w:tr>
      <w:tr>
        <w:trPr>
          <w:cantSplit/>
        </w:trPr>
        <w:tc>
          <w:tcPr>
            <w:tcW w:type="dxa" w:w="3456"/>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Adj. net income (US$m)</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1,119</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1,816</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1,150</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1,457</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1,812</w:t>
            </w:r>
          </w:p>
        </w:tc>
      </w:tr>
      <w:tr>
        <w:trPr>
          <w:cantSplit/>
        </w:trPr>
        <w:tc>
          <w:tcPr>
            <w:tcW w:type="dxa" w:w="3456"/>
            <w:tcBorders>
              <w:top w:val="single" w:color="8A9BB0" w:sz="4"/>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left"/>
            </w:pPr>
            <w:r>
              <w:rPr>
                <w:rFonts w:ascii="Times New Roman" w:cs="Times New Roman" w:eastAsia="Times New Roman" w:hAnsi="Times New Roman"/>
                <w:b/>
                <w:bCs/>
                <w:i w:val="false"/>
                <w:iCs w:val="false"/>
                <w:color w:val="000000"/>
                <w:sz w:val="15"/>
                <w:szCs w:val="15"/>
              </w:rPr>
              <w:t xml:space="preserve">Adj. diluted EPS (HK$)</w:t>
            </w:r>
          </w:p>
        </w:tc>
        <w:tc>
          <w:tcPr>
            <w:tcW w:type="dxa" w:w="1152"/>
            <w:tcBorders>
              <w:top w:val="single" w:color="8A9BB0" w:sz="4"/>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1.99</w:t>
            </w:r>
          </w:p>
        </w:tc>
        <w:tc>
          <w:tcPr>
            <w:tcW w:type="dxa" w:w="1152"/>
            <w:tcBorders>
              <w:top w:val="single" w:color="8A9BB0" w:sz="4"/>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3.22</w:t>
            </w:r>
          </w:p>
        </w:tc>
        <w:tc>
          <w:tcPr>
            <w:tcW w:type="dxa" w:w="1152"/>
            <w:tcBorders>
              <w:top w:val="single" w:color="8A9BB0" w:sz="4"/>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2.04</w:t>
            </w:r>
          </w:p>
        </w:tc>
        <w:tc>
          <w:tcPr>
            <w:tcW w:type="dxa" w:w="1152"/>
            <w:tcBorders>
              <w:top w:val="single" w:color="8A9BB0" w:sz="4"/>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2.57</w:t>
            </w:r>
          </w:p>
        </w:tc>
        <w:tc>
          <w:tcPr>
            <w:tcW w:type="dxa" w:w="1152"/>
            <w:tcBorders>
              <w:top w:val="single" w:color="8A9BB0" w:sz="4"/>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3.18</w:t>
            </w:r>
          </w:p>
        </w:tc>
      </w:tr>
      <w:tr>
        <w:trPr>
          <w:cantSplit/>
        </w:trPr>
        <w:tc>
          <w:tcPr>
            <w:tcW w:type="dxa" w:w="3456"/>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DPS declared (HK$)</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1.02</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1.29</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1.59</w:t>
            </w:r>
          </w:p>
        </w:tc>
      </w:tr>
      <w:tr>
        <w:trPr>
          <w:cantSplit/>
        </w:trPr>
        <w:tc>
          <w:tcPr>
            <w:tcW w:type="dxa" w:w="3456"/>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P/E (x)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15.5x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9.6x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15.1x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12.0x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9.7x</w:t>
            </w:r>
          </w:p>
        </w:tc>
      </w:tr>
      <w:tr>
        <w:trPr>
          <w:cantSplit/>
        </w:trPr>
        <w:tc>
          <w:tcPr>
            <w:tcW w:type="dxa" w:w="3456"/>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EV/Sales (x)</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0.09x</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0.08x</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0.08x</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0.08x</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0.07x</w:t>
            </w:r>
          </w:p>
        </w:tc>
      </w:tr>
      <w:tr>
        <w:trPr>
          <w:cantSplit/>
        </w:trPr>
        <w:tc>
          <w:tcPr>
            <w:tcW w:type="dxa" w:w="3456"/>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EV/adj. EBIT (x)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3.4x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1.9x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3.1x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2.5x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1.9x</w:t>
            </w:r>
          </w:p>
        </w:tc>
      </w:tr>
      <w:tr>
        <w:trPr>
          <w:cantSplit/>
        </w:trPr>
        <w:tc>
          <w:tcPr>
            <w:tcW w:type="dxa" w:w="3456"/>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FCF yield</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8.7%</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16.7%</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6.1%</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9.0%</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11.6%</w:t>
            </w:r>
          </w:p>
        </w:tc>
      </w:tr>
      <w:tr>
        <w:trPr>
          <w:cantSplit/>
        </w:trPr>
        <w:tc>
          <w:tcPr>
            <w:tcW w:type="dxa" w:w="3456"/>
            <w:tcBorders>
              <w:top w:val="none" w:color="FFFFFF" w:sz="0"/>
              <w:left w:val="none" w:color="FFFFFF" w:sz="0"/>
              <w:bottom w:val="single" w:color="8A9BB0" w:sz="4"/>
              <w:right w:val="none" w:color="FFFFFF" w:sz="0"/>
            </w:tcBorders>
            <w:shd w:fill="F3F5F8" w:color="auto" w:val="clear"/>
            <w:tcMar>
              <w:top w:type="dxa" w:w="12"/>
              <w:left w:type="dxa" w:w="70"/>
              <w:bottom w:type="dxa" w:w="12"/>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5"/>
                <w:szCs w:val="15"/>
              </w:rPr>
              <w:t xml:space="preserve">Dividend yield</w:t>
            </w:r>
          </w:p>
        </w:tc>
        <w:tc>
          <w:tcPr>
            <w:tcW w:type="dxa" w:w="1152"/>
            <w:tcBorders>
              <w:top w:val="none" w:color="FFFFFF" w:sz="0"/>
              <w:left w:val="none" w:color="FFFFFF" w:sz="0"/>
              <w:bottom w:val="single" w:color="8A9BB0" w:sz="4"/>
              <w:right w:val="none" w:color="FFFFFF" w:sz="0"/>
            </w:tcBorders>
            <w:shd w:fill="F3F5F8" w:color="auto" w:val="clear"/>
            <w:tcMar>
              <w:top w:type="dxa" w:w="12"/>
              <w:left w:type="dxa" w:w="70"/>
              <w:bottom w:type="dxa" w:w="12"/>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5"/>
                <w:szCs w:val="15"/>
              </w:rPr>
              <w:t xml:space="preserve">0.0%</w:t>
            </w:r>
          </w:p>
        </w:tc>
        <w:tc>
          <w:tcPr>
            <w:tcW w:type="dxa" w:w="1152"/>
            <w:tcBorders>
              <w:top w:val="none" w:color="FFFFFF" w:sz="0"/>
              <w:left w:val="none" w:color="FFFFFF" w:sz="0"/>
              <w:bottom w:val="single" w:color="8A9BB0" w:sz="4"/>
              <w:right w:val="none" w:color="FFFFFF" w:sz="0"/>
            </w:tcBorders>
            <w:shd w:fill="F3F5F8" w:color="auto" w:val="clear"/>
            <w:tcMar>
              <w:top w:type="dxa" w:w="12"/>
              <w:left w:type="dxa" w:w="70"/>
              <w:bottom w:type="dxa" w:w="12"/>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5"/>
                <w:szCs w:val="15"/>
              </w:rPr>
              <w:t xml:space="preserve">0.0%</w:t>
            </w:r>
          </w:p>
        </w:tc>
        <w:tc>
          <w:tcPr>
            <w:tcW w:type="dxa" w:w="1152"/>
            <w:tcBorders>
              <w:top w:val="none" w:color="FFFFFF" w:sz="0"/>
              <w:left w:val="none" w:color="FFFFFF" w:sz="0"/>
              <w:bottom w:val="single" w:color="8A9BB0" w:sz="4"/>
              <w:right w:val="none" w:color="FFFFFF" w:sz="0"/>
            </w:tcBorders>
            <w:shd w:fill="F3F5F8" w:color="auto" w:val="clear"/>
            <w:tcMar>
              <w:top w:type="dxa" w:w="12"/>
              <w:left w:type="dxa" w:w="70"/>
              <w:bottom w:type="dxa" w:w="12"/>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5"/>
                <w:szCs w:val="15"/>
              </w:rPr>
              <w:t xml:space="preserve">3.3%</w:t>
            </w:r>
          </w:p>
        </w:tc>
        <w:tc>
          <w:tcPr>
            <w:tcW w:type="dxa" w:w="1152"/>
            <w:tcBorders>
              <w:top w:val="none" w:color="FFFFFF" w:sz="0"/>
              <w:left w:val="none" w:color="FFFFFF" w:sz="0"/>
              <w:bottom w:val="single" w:color="8A9BB0" w:sz="4"/>
              <w:right w:val="none" w:color="FFFFFF" w:sz="0"/>
            </w:tcBorders>
            <w:shd w:fill="F3F5F8" w:color="auto" w:val="clear"/>
            <w:tcMar>
              <w:top w:type="dxa" w:w="12"/>
              <w:left w:type="dxa" w:w="70"/>
              <w:bottom w:type="dxa" w:w="12"/>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5"/>
                <w:szCs w:val="15"/>
              </w:rPr>
              <w:t xml:space="preserve">4.2%</w:t>
            </w:r>
          </w:p>
        </w:tc>
        <w:tc>
          <w:tcPr>
            <w:tcW w:type="dxa" w:w="1152"/>
            <w:tcBorders>
              <w:top w:val="none" w:color="FFFFFF" w:sz="0"/>
              <w:left w:val="none" w:color="FFFFFF" w:sz="0"/>
              <w:bottom w:val="single" w:color="8A9BB0" w:sz="4"/>
              <w:right w:val="none" w:color="FFFFFF" w:sz="0"/>
            </w:tcBorders>
            <w:shd w:fill="F3F5F8" w:color="auto" w:val="clear"/>
            <w:tcMar>
              <w:top w:type="dxa" w:w="12"/>
              <w:left w:type="dxa" w:w="70"/>
              <w:bottom w:type="dxa" w:w="12"/>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5"/>
                <w:szCs w:val="15"/>
              </w:rPr>
              <w:t xml:space="preserve">5.2%</w:t>
            </w:r>
          </w:p>
        </w:tc>
      </w:tr>
    </w:tbl>
    <w:p>
      <w:pPr>
        <w:spacing w:after="0" w:before="40"/>
      </w:pPr>
      <w:r>
        <w:rPr>
          <w:rFonts w:ascii="Times New Roman" w:cs="Times New Roman" w:eastAsia="Times New Roman" w:hAnsi="Times New Roman"/>
          <w:i/>
          <w:iCs/>
          <w:color w:val="595959"/>
          <w:sz w:val="15"/>
          <w:szCs w:val="15"/>
        </w:rPr>
        <w:t xml:space="preserve">Note: Priced at HK$30.84 (30-Sep-2026). EV = diluted market cap less US$13.9bn pro forma cash &amp; investments. Adjusted = company non-IFRS definition (ex SBC, FV of preferred shares, associates).</w:t>
      </w:r>
    </w:p>
    <w:p>
      <w:pPr>
        <w:spacing w:after="160" w:before="20"/>
      </w:pPr>
      <w:r>
        <w:rPr>
          <w:rFonts w:ascii="Times New Roman" w:cs="Times New Roman" w:eastAsia="Times New Roman" w:hAnsi="Times New Roman"/>
          <w:i/>
          <w:iCs/>
          <w:color w:val="595959"/>
          <w:sz w:val="15"/>
          <w:szCs w:val="15"/>
        </w:rPr>
        <w:t xml:space="preserve">Source: Company filings, analyst estimates.</w:t>
      </w:r>
    </w:p>
    <w:p>
      <w:r>
        <w:br w:type="page"/>
      </w:r>
    </w:p>
    <w:p>
      <w:pPr>
        <w:pBdr>
          <w:bottom w:val="single" w:color="1F3A5F" w:sz="8" w:space="2"/>
        </w:pBdr>
        <w:spacing w:after="160"/>
      </w:pPr>
      <w:r>
        <w:rPr>
          <w:rFonts w:ascii="Times New Roman" w:cs="Times New Roman" w:eastAsia="Times New Roman" w:hAnsi="Times New Roman"/>
          <w:b/>
          <w:bCs/>
          <w:color w:val="1F3A5F"/>
          <w:sz w:val="30"/>
          <w:szCs w:val="30"/>
        </w:rPr>
        <w:t xml:space="preserve">Contents</w:t>
      </w:r>
    </w:p>
    <w:p>
      <w:pPr>
        <w:tabs>
          <w:tab w:val="right" w:pos="9746" w:leader="dot"/>
        </w:tabs>
        <w:spacing w:after="10" w:before="70"/>
        <w:ind w:left="0"/>
      </w:pPr>
      <w:hyperlink w:history="1" w:anchor="h_1">
        <w:r>
          <w:rPr>
            <w:rFonts w:ascii="Times New Roman" w:cs="Times New Roman" w:eastAsia="Times New Roman" w:hAnsi="Times New Roman"/>
            <w:b/>
            <w:bCs/>
            <w:sz w:val="19"/>
            <w:szCs w:val="19"/>
          </w:rPr>
          <w:t xml:space="preserve">Investment Thesis</w:t>
        </w:r>
        <w:r>
          <w:rPr>
            <w:rFonts w:ascii="Times New Roman" w:cs="Times New Roman" w:eastAsia="Times New Roman" w:hAnsi="Times New Roman"/>
            <w:b/>
            <w:bCs/>
            <w:sz w:val="18"/>
            <w:szCs w:val="18"/>
          </w:rPr>
          <w:t xml:space="preserve">	3</w:t>
        </w:r>
      </w:hyperlink>
    </w:p>
    <w:p>
      <w:pPr>
        <w:tabs>
          <w:tab w:val="right" w:pos="9746" w:leader="dot"/>
        </w:tabs>
        <w:spacing w:after="10" w:before="0"/>
        <w:ind w:left="300"/>
      </w:pPr>
      <w:hyperlink w:history="1" w:anchor="h_2">
        <w:r>
          <w:rPr>
            <w:rFonts w:ascii="Times New Roman" w:cs="Times New Roman" w:eastAsia="Times New Roman" w:hAnsi="Times New Roman"/>
            <w:b w:val="false"/>
            <w:bCs w:val="false"/>
            <w:sz w:val="18"/>
            <w:szCs w:val="18"/>
          </w:rPr>
          <w:t xml:space="preserve">Pillar 1: Cash covers two-thirds to four-fifths of the market value</w:t>
        </w:r>
        <w:r>
          <w:rPr>
            <w:rFonts w:ascii="Times New Roman" w:cs="Times New Roman" w:eastAsia="Times New Roman" w:hAnsi="Times New Roman"/>
            <w:b w:val="false"/>
            <w:bCs w:val="false"/>
            <w:sz w:val="18"/>
            <w:szCs w:val="18"/>
          </w:rPr>
          <w:t xml:space="preserve">	3</w:t>
        </w:r>
      </w:hyperlink>
    </w:p>
    <w:p>
      <w:pPr>
        <w:tabs>
          <w:tab w:val="right" w:pos="9746" w:leader="dot"/>
        </w:tabs>
        <w:spacing w:after="10" w:before="0"/>
        <w:ind w:left="300"/>
      </w:pPr>
      <w:hyperlink w:history="1" w:anchor="h_3">
        <w:r>
          <w:rPr>
            <w:rFonts w:ascii="Times New Roman" w:cs="Times New Roman" w:eastAsia="Times New Roman" w:hAnsi="Times New Roman"/>
            <w:b w:val="false"/>
            <w:bCs w:val="false"/>
            <w:sz w:val="18"/>
            <w:szCs w:val="18"/>
          </w:rPr>
          <w:t xml:space="preserve">Pillar 2: LATR is a genuine, hard-to-replicate operating advantage</w:t>
        </w:r>
        <w:r>
          <w:rPr>
            <w:rFonts w:ascii="Times New Roman" w:cs="Times New Roman" w:eastAsia="Times New Roman" w:hAnsi="Times New Roman"/>
            <w:b w:val="false"/>
            <w:bCs w:val="false"/>
            <w:sz w:val="18"/>
            <w:szCs w:val="18"/>
          </w:rPr>
          <w:t xml:space="preserve">	4</w:t>
        </w:r>
      </w:hyperlink>
    </w:p>
    <w:p>
      <w:pPr>
        <w:tabs>
          <w:tab w:val="right" w:pos="9746" w:leader="dot"/>
        </w:tabs>
        <w:spacing w:after="10" w:before="0"/>
        <w:ind w:left="300"/>
      </w:pPr>
      <w:hyperlink w:history="1" w:anchor="h_4">
        <w:r>
          <w:rPr>
            <w:rFonts w:ascii="Times New Roman" w:cs="Times New Roman" w:eastAsia="Times New Roman" w:hAnsi="Times New Roman"/>
            <w:b w:val="false"/>
            <w:bCs w:val="false"/>
            <w:sz w:val="18"/>
            <w:szCs w:val="18"/>
          </w:rPr>
          <w:t xml:space="preserve">Pillar 3: Demand is intact; the revenue slowdown is mostly mix and trade policy</w:t>
        </w:r>
        <w:r>
          <w:rPr>
            <w:rFonts w:ascii="Times New Roman" w:cs="Times New Roman" w:eastAsia="Times New Roman" w:hAnsi="Times New Roman"/>
            <w:b w:val="false"/>
            <w:bCs w:val="false"/>
            <w:sz w:val="18"/>
            <w:szCs w:val="18"/>
          </w:rPr>
          <w:t xml:space="preserve">	4</w:t>
        </w:r>
      </w:hyperlink>
    </w:p>
    <w:p>
      <w:pPr>
        <w:tabs>
          <w:tab w:val="right" w:pos="9746" w:leader="dot"/>
        </w:tabs>
        <w:spacing w:after="10" w:before="0"/>
        <w:ind w:left="300"/>
      </w:pPr>
      <w:hyperlink w:history="1" w:anchor="h_5">
        <w:r>
          <w:rPr>
            <w:rFonts w:ascii="Times New Roman" w:cs="Times New Roman" w:eastAsia="Times New Roman" w:hAnsi="Times New Roman"/>
            <w:b w:val="false"/>
            <w:bCs w:val="false"/>
            <w:sz w:val="18"/>
            <w:szCs w:val="18"/>
          </w:rPr>
          <w:t xml:space="preserve">Pillar 4: Margin recovery is plausible and not heroic</w:t>
        </w:r>
        <w:r>
          <w:rPr>
            <w:rFonts w:ascii="Times New Roman" w:cs="Times New Roman" w:eastAsia="Times New Roman" w:hAnsi="Times New Roman"/>
            <w:b w:val="false"/>
            <w:bCs w:val="false"/>
            <w:sz w:val="18"/>
            <w:szCs w:val="18"/>
          </w:rPr>
          <w:t xml:space="preserve">	5</w:t>
        </w:r>
      </w:hyperlink>
    </w:p>
    <w:p>
      <w:pPr>
        <w:tabs>
          <w:tab w:val="right" w:pos="9746" w:leader="dot"/>
        </w:tabs>
        <w:spacing w:after="10" w:before="0"/>
        <w:ind w:left="300"/>
      </w:pPr>
      <w:hyperlink w:history="1" w:anchor="h_6">
        <w:r>
          <w:rPr>
            <w:rFonts w:ascii="Times New Roman" w:cs="Times New Roman" w:eastAsia="Times New Roman" w:hAnsi="Times New Roman"/>
            <w:b w:val="false"/>
            <w:bCs w:val="false"/>
            <w:sz w:val="18"/>
            <w:szCs w:val="18"/>
          </w:rPr>
          <w:t xml:space="preserve">Pillar 5: Shareholder returns and governance commitments put a floor under the equity story</w:t>
        </w:r>
        <w:r>
          <w:rPr>
            <w:rFonts w:ascii="Times New Roman" w:cs="Times New Roman" w:eastAsia="Times New Roman" w:hAnsi="Times New Roman"/>
            <w:b w:val="false"/>
            <w:bCs w:val="false"/>
            <w:sz w:val="18"/>
            <w:szCs w:val="18"/>
          </w:rPr>
          <w:t xml:space="preserve">	5</w:t>
        </w:r>
      </w:hyperlink>
    </w:p>
    <w:p>
      <w:pPr>
        <w:tabs>
          <w:tab w:val="right" w:pos="9746" w:leader="dot"/>
        </w:tabs>
        <w:spacing w:after="10" w:before="70"/>
        <w:ind w:left="0"/>
      </w:pPr>
      <w:hyperlink w:history="1" w:anchor="h_7">
        <w:r>
          <w:rPr>
            <w:rFonts w:ascii="Times New Roman" w:cs="Times New Roman" w:eastAsia="Times New Roman" w:hAnsi="Times New Roman"/>
            <w:b/>
            <w:bCs/>
            <w:sz w:val="19"/>
            <w:szCs w:val="19"/>
          </w:rPr>
          <w:t xml:space="preserve">Key Risks</w:t>
        </w:r>
        <w:r>
          <w:rPr>
            <w:rFonts w:ascii="Times New Roman" w:cs="Times New Roman" w:eastAsia="Times New Roman" w:hAnsi="Times New Roman"/>
            <w:b/>
            <w:bCs/>
            <w:sz w:val="18"/>
            <w:szCs w:val="18"/>
          </w:rPr>
          <w:t xml:space="preserve">	6</w:t>
        </w:r>
      </w:hyperlink>
    </w:p>
    <w:p>
      <w:pPr>
        <w:tabs>
          <w:tab w:val="right" w:pos="9746" w:leader="dot"/>
        </w:tabs>
        <w:spacing w:after="10" w:before="70"/>
        <w:ind w:left="0"/>
      </w:pPr>
      <w:hyperlink w:history="1" w:anchor="h_12">
        <w:r>
          <w:rPr>
            <w:rFonts w:ascii="Times New Roman" w:cs="Times New Roman" w:eastAsia="Times New Roman" w:hAnsi="Times New Roman"/>
            <w:b/>
            <w:bCs/>
            <w:sz w:val="19"/>
            <w:szCs w:val="19"/>
          </w:rPr>
          <w:t xml:space="preserve">Catalysts and What Would Change Our View</w:t>
        </w:r>
        <w:r>
          <w:rPr>
            <w:rFonts w:ascii="Times New Roman" w:cs="Times New Roman" w:eastAsia="Times New Roman" w:hAnsi="Times New Roman"/>
            <w:b/>
            <w:bCs/>
            <w:sz w:val="18"/>
            <w:szCs w:val="18"/>
          </w:rPr>
          <w:t xml:space="preserve">	8</w:t>
        </w:r>
      </w:hyperlink>
    </w:p>
    <w:p>
      <w:pPr>
        <w:tabs>
          <w:tab w:val="right" w:pos="9746" w:leader="dot"/>
        </w:tabs>
        <w:spacing w:after="10" w:before="70"/>
        <w:ind w:left="0"/>
      </w:pPr>
      <w:hyperlink w:history="1" w:anchor="h_13">
        <w:r>
          <w:rPr>
            <w:rFonts w:ascii="Times New Roman" w:cs="Times New Roman" w:eastAsia="Times New Roman" w:hAnsi="Times New Roman"/>
            <w:b/>
            <w:bCs/>
            <w:sz w:val="19"/>
            <w:szCs w:val="19"/>
          </w:rPr>
          <w:t xml:space="preserve">Company 101</w:t>
        </w:r>
        <w:r>
          <w:rPr>
            <w:rFonts w:ascii="Times New Roman" w:cs="Times New Roman" w:eastAsia="Times New Roman" w:hAnsi="Times New Roman"/>
            <w:b/>
            <w:bCs/>
            <w:sz w:val="18"/>
            <w:szCs w:val="18"/>
          </w:rPr>
          <w:t xml:space="preserve">	9</w:t>
        </w:r>
      </w:hyperlink>
    </w:p>
    <w:p>
      <w:pPr>
        <w:tabs>
          <w:tab w:val="right" w:pos="9746" w:leader="dot"/>
        </w:tabs>
        <w:spacing w:after="10" w:before="0"/>
        <w:ind w:left="300"/>
      </w:pPr>
      <w:hyperlink w:history="1" w:anchor="h_14">
        <w:r>
          <w:rPr>
            <w:rFonts w:ascii="Times New Roman" w:cs="Times New Roman" w:eastAsia="Times New Roman" w:hAnsi="Times New Roman"/>
            <w:b w:val="false"/>
            <w:bCs w:val="false"/>
            <w:sz w:val="18"/>
            <w:szCs w:val="18"/>
          </w:rPr>
          <w:t xml:space="preserve">Company Overview</w:t>
        </w:r>
        <w:r>
          <w:rPr>
            <w:rFonts w:ascii="Times New Roman" w:cs="Times New Roman" w:eastAsia="Times New Roman" w:hAnsi="Times New Roman"/>
            <w:b w:val="false"/>
            <w:bCs w:val="false"/>
            <w:sz w:val="18"/>
            <w:szCs w:val="18"/>
          </w:rPr>
          <w:t xml:space="preserve">	9</w:t>
        </w:r>
      </w:hyperlink>
    </w:p>
    <w:p>
      <w:pPr>
        <w:tabs>
          <w:tab w:val="right" w:pos="9746" w:leader="dot"/>
        </w:tabs>
        <w:spacing w:after="10" w:before="0"/>
        <w:ind w:left="300"/>
      </w:pPr>
      <w:hyperlink w:history="1" w:anchor="h_15">
        <w:r>
          <w:rPr>
            <w:rFonts w:ascii="Times New Roman" w:cs="Times New Roman" w:eastAsia="Times New Roman" w:hAnsi="Times New Roman"/>
            <w:b w:val="false"/>
            <w:bCs w:val="false"/>
            <w:sz w:val="18"/>
            <w:szCs w:val="18"/>
          </w:rPr>
          <w:t xml:space="preserve">Company History</w:t>
        </w:r>
        <w:r>
          <w:rPr>
            <w:rFonts w:ascii="Times New Roman" w:cs="Times New Roman" w:eastAsia="Times New Roman" w:hAnsi="Times New Roman"/>
            <w:b w:val="false"/>
            <w:bCs w:val="false"/>
            <w:sz w:val="18"/>
            <w:szCs w:val="18"/>
          </w:rPr>
          <w:t xml:space="preserve">	10</w:t>
        </w:r>
      </w:hyperlink>
    </w:p>
    <w:p>
      <w:pPr>
        <w:tabs>
          <w:tab w:val="right" w:pos="9746" w:leader="dot"/>
        </w:tabs>
        <w:spacing w:after="10" w:before="0"/>
        <w:ind w:left="300"/>
      </w:pPr>
      <w:hyperlink w:history="1" w:anchor="h_16">
        <w:r>
          <w:rPr>
            <w:rFonts w:ascii="Times New Roman" w:cs="Times New Roman" w:eastAsia="Times New Roman" w:hAnsi="Times New Roman"/>
            <w:b w:val="false"/>
            <w:bCs w:val="false"/>
            <w:sz w:val="18"/>
            <w:szCs w:val="18"/>
          </w:rPr>
          <w:t xml:space="preserve">Management Team and Governance</w:t>
        </w:r>
        <w:r>
          <w:rPr>
            <w:rFonts w:ascii="Times New Roman" w:cs="Times New Roman" w:eastAsia="Times New Roman" w:hAnsi="Times New Roman"/>
            <w:b w:val="false"/>
            <w:bCs w:val="false"/>
            <w:sz w:val="18"/>
            <w:szCs w:val="18"/>
          </w:rPr>
          <w:t xml:space="preserve">	11</w:t>
        </w:r>
      </w:hyperlink>
    </w:p>
    <w:p>
      <w:pPr>
        <w:tabs>
          <w:tab w:val="right" w:pos="9746" w:leader="dot"/>
        </w:tabs>
        <w:spacing w:after="10" w:before="0"/>
        <w:ind w:left="300"/>
      </w:pPr>
      <w:hyperlink w:history="1" w:anchor="h_23">
        <w:r>
          <w:rPr>
            <w:rFonts w:ascii="Times New Roman" w:cs="Times New Roman" w:eastAsia="Times New Roman" w:hAnsi="Times New Roman"/>
            <w:b w:val="false"/>
            <w:bCs w:val="false"/>
            <w:sz w:val="18"/>
            <w:szCs w:val="18"/>
          </w:rPr>
          <w:t xml:space="preserve">Products and Services</w:t>
        </w:r>
        <w:r>
          <w:rPr>
            <w:rFonts w:ascii="Times New Roman" w:cs="Times New Roman" w:eastAsia="Times New Roman" w:hAnsi="Times New Roman"/>
            <w:b w:val="false"/>
            <w:bCs w:val="false"/>
            <w:sz w:val="18"/>
            <w:szCs w:val="18"/>
          </w:rPr>
          <w:t xml:space="preserve">	14</w:t>
        </w:r>
      </w:hyperlink>
    </w:p>
    <w:p>
      <w:pPr>
        <w:tabs>
          <w:tab w:val="right" w:pos="9746" w:leader="dot"/>
        </w:tabs>
        <w:spacing w:after="10" w:before="0"/>
        <w:ind w:left="300"/>
      </w:pPr>
      <w:hyperlink w:history="1" w:anchor="h_30">
        <w:r>
          <w:rPr>
            <w:rFonts w:ascii="Times New Roman" w:cs="Times New Roman" w:eastAsia="Times New Roman" w:hAnsi="Times New Roman"/>
            <w:b w:val="false"/>
            <w:bCs w:val="false"/>
            <w:sz w:val="18"/>
            <w:szCs w:val="18"/>
          </w:rPr>
          <w:t xml:space="preserve">Customers and Go-to-Market</w:t>
        </w:r>
        <w:r>
          <w:rPr>
            <w:rFonts w:ascii="Times New Roman" w:cs="Times New Roman" w:eastAsia="Times New Roman" w:hAnsi="Times New Roman"/>
            <w:b w:val="false"/>
            <w:bCs w:val="false"/>
            <w:sz w:val="18"/>
            <w:szCs w:val="18"/>
          </w:rPr>
          <w:t xml:space="preserve">	16</w:t>
        </w:r>
      </w:hyperlink>
    </w:p>
    <w:p>
      <w:pPr>
        <w:tabs>
          <w:tab w:val="right" w:pos="9746" w:leader="dot"/>
        </w:tabs>
        <w:spacing w:after="10" w:before="0"/>
        <w:ind w:left="300"/>
      </w:pPr>
      <w:hyperlink w:history="1" w:anchor="h_31">
        <w:r>
          <w:rPr>
            <w:rFonts w:ascii="Times New Roman" w:cs="Times New Roman" w:eastAsia="Times New Roman" w:hAnsi="Times New Roman"/>
            <w:b w:val="false"/>
            <w:bCs w:val="false"/>
            <w:sz w:val="18"/>
            <w:szCs w:val="18"/>
          </w:rPr>
          <w:t xml:space="preserve">Industry Overview</w:t>
        </w:r>
        <w:r>
          <w:rPr>
            <w:rFonts w:ascii="Times New Roman" w:cs="Times New Roman" w:eastAsia="Times New Roman" w:hAnsi="Times New Roman"/>
            <w:b w:val="false"/>
            <w:bCs w:val="false"/>
            <w:sz w:val="18"/>
            <w:szCs w:val="18"/>
          </w:rPr>
          <w:t xml:space="preserve">	17</w:t>
        </w:r>
      </w:hyperlink>
    </w:p>
    <w:p>
      <w:pPr>
        <w:tabs>
          <w:tab w:val="right" w:pos="9746" w:leader="dot"/>
        </w:tabs>
        <w:spacing w:after="10" w:before="0"/>
        <w:ind w:left="300"/>
      </w:pPr>
      <w:hyperlink w:history="1" w:anchor="h_32">
        <w:r>
          <w:rPr>
            <w:rFonts w:ascii="Times New Roman" w:cs="Times New Roman" w:eastAsia="Times New Roman" w:hAnsi="Times New Roman"/>
            <w:b w:val="false"/>
            <w:bCs w:val="false"/>
            <w:sz w:val="18"/>
            <w:szCs w:val="18"/>
          </w:rPr>
          <w:t xml:space="preserve">Competitive Landscape</w:t>
        </w:r>
        <w:r>
          <w:rPr>
            <w:rFonts w:ascii="Times New Roman" w:cs="Times New Roman" w:eastAsia="Times New Roman" w:hAnsi="Times New Roman"/>
            <w:b w:val="false"/>
            <w:bCs w:val="false"/>
            <w:sz w:val="18"/>
            <w:szCs w:val="18"/>
          </w:rPr>
          <w:t xml:space="preserve">	18</w:t>
        </w:r>
      </w:hyperlink>
    </w:p>
    <w:p>
      <w:pPr>
        <w:tabs>
          <w:tab w:val="right" w:pos="9746" w:leader="dot"/>
        </w:tabs>
        <w:spacing w:after="10" w:before="0"/>
        <w:ind w:left="300"/>
      </w:pPr>
      <w:hyperlink w:history="1" w:anchor="h_33">
        <w:r>
          <w:rPr>
            <w:rFonts w:ascii="Times New Roman" w:cs="Times New Roman" w:eastAsia="Times New Roman" w:hAnsi="Times New Roman"/>
            <w:b w:val="false"/>
            <w:bCs w:val="false"/>
            <w:sz w:val="18"/>
            <w:szCs w:val="18"/>
          </w:rPr>
          <w:t xml:space="preserve">Market Opportunity</w:t>
        </w:r>
        <w:r>
          <w:rPr>
            <w:rFonts w:ascii="Times New Roman" w:cs="Times New Roman" w:eastAsia="Times New Roman" w:hAnsi="Times New Roman"/>
            <w:b w:val="false"/>
            <w:bCs w:val="false"/>
            <w:sz w:val="18"/>
            <w:szCs w:val="18"/>
          </w:rPr>
          <w:t xml:space="preserve">	20</w:t>
        </w:r>
      </w:hyperlink>
    </w:p>
    <w:p>
      <w:pPr>
        <w:tabs>
          <w:tab w:val="right" w:pos="9746" w:leader="dot"/>
        </w:tabs>
        <w:spacing w:after="10" w:before="70"/>
        <w:ind w:left="0"/>
      </w:pPr>
      <w:hyperlink w:history="1" w:anchor="h_34">
        <w:r>
          <w:rPr>
            <w:rFonts w:ascii="Times New Roman" w:cs="Times New Roman" w:eastAsia="Times New Roman" w:hAnsi="Times New Roman"/>
            <w:b/>
            <w:bCs/>
            <w:sz w:val="19"/>
            <w:szCs w:val="19"/>
          </w:rPr>
          <w:t xml:space="preserve">Financial Analysis</w:t>
        </w:r>
        <w:r>
          <w:rPr>
            <w:rFonts w:ascii="Times New Roman" w:cs="Times New Roman" w:eastAsia="Times New Roman" w:hAnsi="Times New Roman"/>
            <w:b/>
            <w:bCs/>
            <w:sz w:val="18"/>
            <w:szCs w:val="18"/>
          </w:rPr>
          <w:t xml:space="preserve">	22</w:t>
        </w:r>
      </w:hyperlink>
    </w:p>
    <w:p>
      <w:pPr>
        <w:tabs>
          <w:tab w:val="right" w:pos="9746" w:leader="dot"/>
        </w:tabs>
        <w:spacing w:after="10" w:before="0"/>
        <w:ind w:left="300"/>
      </w:pPr>
      <w:hyperlink w:history="1" w:anchor="h_35">
        <w:r>
          <w:rPr>
            <w:rFonts w:ascii="Times New Roman" w:cs="Times New Roman" w:eastAsia="Times New Roman" w:hAnsi="Times New Roman"/>
            <w:b w:val="false"/>
            <w:bCs w:val="false"/>
            <w:sz w:val="18"/>
            <w:szCs w:val="18"/>
          </w:rPr>
          <w:t xml:space="preserve">Revenue: from hyper-growth to a trade-policy pause</w:t>
        </w:r>
        <w:r>
          <w:rPr>
            <w:rFonts w:ascii="Times New Roman" w:cs="Times New Roman" w:eastAsia="Times New Roman" w:hAnsi="Times New Roman"/>
            <w:b w:val="false"/>
            <w:bCs w:val="false"/>
            <w:sz w:val="18"/>
            <w:szCs w:val="18"/>
          </w:rPr>
          <w:t xml:space="preserve">	22</w:t>
        </w:r>
      </w:hyperlink>
    </w:p>
    <w:p>
      <w:pPr>
        <w:tabs>
          <w:tab w:val="right" w:pos="9746" w:leader="dot"/>
        </w:tabs>
        <w:spacing w:after="10" w:before="0"/>
        <w:ind w:left="300"/>
      </w:pPr>
      <w:hyperlink w:history="1" w:anchor="h_36">
        <w:r>
          <w:rPr>
            <w:rFonts w:ascii="Times New Roman" w:cs="Times New Roman" w:eastAsia="Times New Roman" w:hAnsi="Times New Roman"/>
            <w:b w:val="false"/>
            <w:bCs w:val="false"/>
            <w:sz w:val="18"/>
            <w:szCs w:val="18"/>
          </w:rPr>
          <w:t xml:space="preserve">Gross margin: structurally higher because of the marketplace</w:t>
        </w:r>
        <w:r>
          <w:rPr>
            <w:rFonts w:ascii="Times New Roman" w:cs="Times New Roman" w:eastAsia="Times New Roman" w:hAnsi="Times New Roman"/>
            <w:b w:val="false"/>
            <w:bCs w:val="false"/>
            <w:sz w:val="18"/>
            <w:szCs w:val="18"/>
          </w:rPr>
          <w:t xml:space="preserve">	24</w:t>
        </w:r>
      </w:hyperlink>
    </w:p>
    <w:p>
      <w:pPr>
        <w:tabs>
          <w:tab w:val="right" w:pos="9746" w:leader="dot"/>
        </w:tabs>
        <w:spacing w:after="10" w:before="0"/>
        <w:ind w:left="300"/>
      </w:pPr>
      <w:hyperlink w:history="1" w:anchor="h_37">
        <w:r>
          <w:rPr>
            <w:rFonts w:ascii="Times New Roman" w:cs="Times New Roman" w:eastAsia="Times New Roman" w:hAnsi="Times New Roman"/>
            <w:b w:val="false"/>
            <w:bCs w:val="false"/>
            <w:sz w:val="18"/>
            <w:szCs w:val="18"/>
          </w:rPr>
          <w:t xml:space="preserve">Fulfilment: the swing factor</w:t>
        </w:r>
        <w:r>
          <w:rPr>
            <w:rFonts w:ascii="Times New Roman" w:cs="Times New Roman" w:eastAsia="Times New Roman" w:hAnsi="Times New Roman"/>
            <w:b w:val="false"/>
            <w:bCs w:val="false"/>
            <w:sz w:val="18"/>
            <w:szCs w:val="18"/>
          </w:rPr>
          <w:t xml:space="preserve">	25</w:t>
        </w:r>
      </w:hyperlink>
    </w:p>
    <w:p>
      <w:pPr>
        <w:tabs>
          <w:tab w:val="right" w:pos="9746" w:leader="dot"/>
        </w:tabs>
        <w:spacing w:after="10" w:before="0"/>
        <w:ind w:left="300"/>
      </w:pPr>
      <w:hyperlink w:history="1" w:anchor="h_38">
        <w:r>
          <w:rPr>
            <w:rFonts w:ascii="Times New Roman" w:cs="Times New Roman" w:eastAsia="Times New Roman" w:hAnsi="Times New Roman"/>
            <w:b w:val="false"/>
            <w:bCs w:val="false"/>
            <w:sz w:val="18"/>
            <w:szCs w:val="18"/>
          </w:rPr>
          <w:t xml:space="preserve">Marketing: the FY2025 step-up is being reversed</w:t>
        </w:r>
        <w:r>
          <w:rPr>
            <w:rFonts w:ascii="Times New Roman" w:cs="Times New Roman" w:eastAsia="Times New Roman" w:hAnsi="Times New Roman"/>
            <w:b w:val="false"/>
            <w:bCs w:val="false"/>
            <w:sz w:val="18"/>
            <w:szCs w:val="18"/>
          </w:rPr>
          <w:t xml:space="preserve">	25</w:t>
        </w:r>
      </w:hyperlink>
    </w:p>
    <w:p>
      <w:pPr>
        <w:tabs>
          <w:tab w:val="right" w:pos="9746" w:leader="dot"/>
        </w:tabs>
        <w:spacing w:after="10" w:before="0"/>
        <w:ind w:left="300"/>
      </w:pPr>
      <w:hyperlink w:history="1" w:anchor="h_39">
        <w:r>
          <w:rPr>
            <w:rFonts w:ascii="Times New Roman" w:cs="Times New Roman" w:eastAsia="Times New Roman" w:hAnsi="Times New Roman"/>
            <w:b w:val="false"/>
            <w:bCs w:val="false"/>
            <w:sz w:val="18"/>
            <w:szCs w:val="18"/>
          </w:rPr>
          <w:t xml:space="preserve">Technology, G&amp;A and operating leverage</w:t>
        </w:r>
        <w:r>
          <w:rPr>
            <w:rFonts w:ascii="Times New Roman" w:cs="Times New Roman" w:eastAsia="Times New Roman" w:hAnsi="Times New Roman"/>
            <w:b w:val="false"/>
            <w:bCs w:val="false"/>
            <w:sz w:val="18"/>
            <w:szCs w:val="18"/>
          </w:rPr>
          <w:t xml:space="preserve">	25</w:t>
        </w:r>
      </w:hyperlink>
    </w:p>
    <w:p>
      <w:pPr>
        <w:tabs>
          <w:tab w:val="right" w:pos="9746" w:leader="dot"/>
        </w:tabs>
        <w:spacing w:after="10" w:before="0"/>
        <w:ind w:left="300"/>
      </w:pPr>
      <w:hyperlink w:history="1" w:anchor="h_40">
        <w:r>
          <w:rPr>
            <w:rFonts w:ascii="Times New Roman" w:cs="Times New Roman" w:eastAsia="Times New Roman" w:hAnsi="Times New Roman"/>
            <w:b w:val="false"/>
            <w:bCs w:val="false"/>
            <w:sz w:val="18"/>
            <w:szCs w:val="18"/>
          </w:rPr>
          <w:t xml:space="preserve">Profitability: a volatile, low-single-digit margin</w:t>
        </w:r>
        <w:r>
          <w:rPr>
            <w:rFonts w:ascii="Times New Roman" w:cs="Times New Roman" w:eastAsia="Times New Roman" w:hAnsi="Times New Roman"/>
            <w:b w:val="false"/>
            <w:bCs w:val="false"/>
            <w:sz w:val="18"/>
            <w:szCs w:val="18"/>
          </w:rPr>
          <w:t xml:space="preserve">	26</w:t>
        </w:r>
      </w:hyperlink>
    </w:p>
    <w:p>
      <w:pPr>
        <w:tabs>
          <w:tab w:val="right" w:pos="9746" w:leader="dot"/>
        </w:tabs>
        <w:spacing w:after="10" w:before="0"/>
        <w:ind w:left="300"/>
      </w:pPr>
      <w:hyperlink w:history="1" w:anchor="h_41">
        <w:r>
          <w:rPr>
            <w:rFonts w:ascii="Times New Roman" w:cs="Times New Roman" w:eastAsia="Times New Roman" w:hAnsi="Times New Roman"/>
            <w:b w:val="false"/>
            <w:bCs w:val="false"/>
            <w:sz w:val="18"/>
            <w:szCs w:val="18"/>
          </w:rPr>
          <w:t xml:space="preserve">Below the line: preferred shares, interest income and tax</w:t>
        </w:r>
        <w:r>
          <w:rPr>
            <w:rFonts w:ascii="Times New Roman" w:cs="Times New Roman" w:eastAsia="Times New Roman" w:hAnsi="Times New Roman"/>
            <w:b w:val="false"/>
            <w:bCs w:val="false"/>
            <w:sz w:val="18"/>
            <w:szCs w:val="18"/>
          </w:rPr>
          <w:t xml:space="preserve">	27</w:t>
        </w:r>
      </w:hyperlink>
    </w:p>
    <w:p>
      <w:pPr>
        <w:tabs>
          <w:tab w:val="right" w:pos="9746" w:leader="dot"/>
        </w:tabs>
        <w:spacing w:after="10" w:before="0"/>
        <w:ind w:left="300"/>
      </w:pPr>
      <w:hyperlink w:history="1" w:anchor="h_42">
        <w:r>
          <w:rPr>
            <w:rFonts w:ascii="Times New Roman" w:cs="Times New Roman" w:eastAsia="Times New Roman" w:hAnsi="Times New Roman"/>
            <w:b w:val="false"/>
            <w:bCs w:val="false"/>
            <w:sz w:val="18"/>
            <w:szCs w:val="18"/>
          </w:rPr>
          <w:t xml:space="preserve">Cash flow and working capital</w:t>
        </w:r>
        <w:r>
          <w:rPr>
            <w:rFonts w:ascii="Times New Roman" w:cs="Times New Roman" w:eastAsia="Times New Roman" w:hAnsi="Times New Roman"/>
            <w:b w:val="false"/>
            <w:bCs w:val="false"/>
            <w:sz w:val="18"/>
            <w:szCs w:val="18"/>
          </w:rPr>
          <w:t xml:space="preserve">	28</w:t>
        </w:r>
      </w:hyperlink>
    </w:p>
    <w:p>
      <w:pPr>
        <w:tabs>
          <w:tab w:val="right" w:pos="9746" w:leader="dot"/>
        </w:tabs>
        <w:spacing w:after="10" w:before="0"/>
        <w:ind w:left="300"/>
      </w:pPr>
      <w:hyperlink w:history="1" w:anchor="h_43">
        <w:r>
          <w:rPr>
            <w:rFonts w:ascii="Times New Roman" w:cs="Times New Roman" w:eastAsia="Times New Roman" w:hAnsi="Times New Roman"/>
            <w:b w:val="false"/>
            <w:bCs w:val="false"/>
            <w:sz w:val="18"/>
            <w:szCs w:val="18"/>
          </w:rPr>
          <w:t xml:space="preserve">Balance sheet: a cash-rich, debt-free company after the listing</w:t>
        </w:r>
        <w:r>
          <w:rPr>
            <w:rFonts w:ascii="Times New Roman" w:cs="Times New Roman" w:eastAsia="Times New Roman" w:hAnsi="Times New Roman"/>
            <w:b w:val="false"/>
            <w:bCs w:val="false"/>
            <w:sz w:val="18"/>
            <w:szCs w:val="18"/>
          </w:rPr>
          <w:t xml:space="preserve">	29</w:t>
        </w:r>
      </w:hyperlink>
    </w:p>
    <w:p>
      <w:pPr>
        <w:tabs>
          <w:tab w:val="right" w:pos="9746" w:leader="dot"/>
        </w:tabs>
        <w:spacing w:after="10" w:before="70"/>
        <w:ind w:left="0"/>
      </w:pPr>
      <w:hyperlink w:history="1" w:anchor="h_44">
        <w:r>
          <w:rPr>
            <w:rFonts w:ascii="Times New Roman" w:cs="Times New Roman" w:eastAsia="Times New Roman" w:hAnsi="Times New Roman"/>
            <w:b/>
            <w:bCs/>
            <w:sz w:val="19"/>
            <w:szCs w:val="19"/>
          </w:rPr>
          <w:t xml:space="preserve">Projections and Estimates</w:t>
        </w:r>
        <w:r>
          <w:rPr>
            <w:rFonts w:ascii="Times New Roman" w:cs="Times New Roman" w:eastAsia="Times New Roman" w:hAnsi="Times New Roman"/>
            <w:b/>
            <w:bCs/>
            <w:sz w:val="18"/>
            <w:szCs w:val="18"/>
          </w:rPr>
          <w:t xml:space="preserve">	29</w:t>
        </w:r>
      </w:hyperlink>
    </w:p>
    <w:p>
      <w:pPr>
        <w:tabs>
          <w:tab w:val="right" w:pos="9746" w:leader="dot"/>
        </w:tabs>
        <w:spacing w:after="10" w:before="0"/>
        <w:ind w:left="300"/>
      </w:pPr>
      <w:hyperlink w:history="1" w:anchor="h_45">
        <w:r>
          <w:rPr>
            <w:rFonts w:ascii="Times New Roman" w:cs="Times New Roman" w:eastAsia="Times New Roman" w:hAnsi="Times New Roman"/>
            <w:b w:val="false"/>
            <w:bCs w:val="false"/>
            <w:sz w:val="18"/>
            <w:szCs w:val="18"/>
          </w:rPr>
          <w:t xml:space="preserve">Revenue build: region-driven, cross-checked against orders</w:t>
        </w:r>
        <w:r>
          <w:rPr>
            <w:rFonts w:ascii="Times New Roman" w:cs="Times New Roman" w:eastAsia="Times New Roman" w:hAnsi="Times New Roman"/>
            <w:b w:val="false"/>
            <w:bCs w:val="false"/>
            <w:sz w:val="18"/>
            <w:szCs w:val="18"/>
          </w:rPr>
          <w:t xml:space="preserve">	29</w:t>
        </w:r>
      </w:hyperlink>
    </w:p>
    <w:p>
      <w:pPr>
        <w:tabs>
          <w:tab w:val="right" w:pos="9746" w:leader="dot"/>
        </w:tabs>
        <w:spacing w:after="10" w:before="0"/>
        <w:ind w:left="300"/>
      </w:pPr>
      <w:hyperlink w:history="1" w:anchor="h_46">
        <w:r>
          <w:rPr>
            <w:rFonts w:ascii="Times New Roman" w:cs="Times New Roman" w:eastAsia="Times New Roman" w:hAnsi="Times New Roman"/>
            <w:b w:val="false"/>
            <w:bCs w:val="false"/>
            <w:sz w:val="18"/>
            <w:szCs w:val="18"/>
          </w:rPr>
          <w:t xml:space="preserve">Business model and operating KPIs</w:t>
        </w:r>
        <w:r>
          <w:rPr>
            <w:rFonts w:ascii="Times New Roman" w:cs="Times New Roman" w:eastAsia="Times New Roman" w:hAnsi="Times New Roman"/>
            <w:b w:val="false"/>
            <w:bCs w:val="false"/>
            <w:sz w:val="18"/>
            <w:szCs w:val="18"/>
          </w:rPr>
          <w:t xml:space="preserve">	30</w:t>
        </w:r>
      </w:hyperlink>
    </w:p>
    <w:p>
      <w:pPr>
        <w:tabs>
          <w:tab w:val="right" w:pos="9746" w:leader="dot"/>
        </w:tabs>
        <w:spacing w:after="10" w:before="0"/>
        <w:ind w:left="300"/>
      </w:pPr>
      <w:hyperlink w:history="1" w:anchor="h_47">
        <w:r>
          <w:rPr>
            <w:rFonts w:ascii="Times New Roman" w:cs="Times New Roman" w:eastAsia="Times New Roman" w:hAnsi="Times New Roman"/>
            <w:b w:val="false"/>
            <w:bCs w:val="false"/>
            <w:sz w:val="18"/>
            <w:szCs w:val="18"/>
          </w:rPr>
          <w:t xml:space="preserve">Cost structure and margins</w:t>
        </w:r>
        <w:r>
          <w:rPr>
            <w:rFonts w:ascii="Times New Roman" w:cs="Times New Roman" w:eastAsia="Times New Roman" w:hAnsi="Times New Roman"/>
            <w:b w:val="false"/>
            <w:bCs w:val="false"/>
            <w:sz w:val="18"/>
            <w:szCs w:val="18"/>
          </w:rPr>
          <w:t xml:space="preserve">	32</w:t>
        </w:r>
      </w:hyperlink>
    </w:p>
    <w:p>
      <w:pPr>
        <w:tabs>
          <w:tab w:val="right" w:pos="9746" w:leader="dot"/>
        </w:tabs>
        <w:spacing w:after="10" w:before="0"/>
        <w:ind w:left="300"/>
      </w:pPr>
      <w:hyperlink w:history="1" w:anchor="h_48">
        <w:r>
          <w:rPr>
            <w:rFonts w:ascii="Times New Roman" w:cs="Times New Roman" w:eastAsia="Times New Roman" w:hAnsi="Times New Roman"/>
            <w:b w:val="false"/>
            <w:bCs w:val="false"/>
            <w:sz w:val="18"/>
            <w:szCs w:val="18"/>
          </w:rPr>
          <w:t xml:space="preserve">Below-the-line and per-share estimates</w:t>
        </w:r>
        <w:r>
          <w:rPr>
            <w:rFonts w:ascii="Times New Roman" w:cs="Times New Roman" w:eastAsia="Times New Roman" w:hAnsi="Times New Roman"/>
            <w:b w:val="false"/>
            <w:bCs w:val="false"/>
            <w:sz w:val="18"/>
            <w:szCs w:val="18"/>
          </w:rPr>
          <w:t xml:space="preserve">	33</w:t>
        </w:r>
      </w:hyperlink>
    </w:p>
    <w:p>
      <w:pPr>
        <w:tabs>
          <w:tab w:val="right" w:pos="9746" w:leader="dot"/>
        </w:tabs>
        <w:spacing w:after="10" w:before="0"/>
        <w:ind w:left="300"/>
      </w:pPr>
      <w:hyperlink w:history="1" w:anchor="h_49">
        <w:r>
          <w:rPr>
            <w:rFonts w:ascii="Times New Roman" w:cs="Times New Roman" w:eastAsia="Times New Roman" w:hAnsi="Times New Roman"/>
            <w:b w:val="false"/>
            <w:bCs w:val="false"/>
            <w:sz w:val="18"/>
            <w:szCs w:val="18"/>
          </w:rPr>
          <w:t xml:space="preserve">Where we differ from the market</w:t>
        </w:r>
        <w:r>
          <w:rPr>
            <w:rFonts w:ascii="Times New Roman" w:cs="Times New Roman" w:eastAsia="Times New Roman" w:hAnsi="Times New Roman"/>
            <w:b w:val="false"/>
            <w:bCs w:val="false"/>
            <w:sz w:val="18"/>
            <w:szCs w:val="18"/>
          </w:rPr>
          <w:t xml:space="preserve">	33</w:t>
        </w:r>
      </w:hyperlink>
    </w:p>
    <w:p>
      <w:pPr>
        <w:tabs>
          <w:tab w:val="right" w:pos="9746" w:leader="dot"/>
        </w:tabs>
        <w:spacing w:after="10" w:before="70"/>
        <w:ind w:left="0"/>
      </w:pPr>
      <w:hyperlink w:history="1" w:anchor="h_50">
        <w:r>
          <w:rPr>
            <w:rFonts w:ascii="Times New Roman" w:cs="Times New Roman" w:eastAsia="Times New Roman" w:hAnsi="Times New Roman"/>
            <w:b/>
            <w:bCs/>
            <w:sz w:val="19"/>
            <w:szCs w:val="19"/>
          </w:rPr>
          <w:t xml:space="preserve">Scenario Analysis</w:t>
        </w:r>
        <w:r>
          <w:rPr>
            <w:rFonts w:ascii="Times New Roman" w:cs="Times New Roman" w:eastAsia="Times New Roman" w:hAnsi="Times New Roman"/>
            <w:b/>
            <w:bCs/>
            <w:sz w:val="18"/>
            <w:szCs w:val="18"/>
          </w:rPr>
          <w:t xml:space="preserve">	35</w:t>
        </w:r>
      </w:hyperlink>
    </w:p>
    <w:p>
      <w:pPr>
        <w:tabs>
          <w:tab w:val="right" w:pos="9746" w:leader="dot"/>
        </w:tabs>
        <w:spacing w:after="10" w:before="0"/>
        <w:ind w:left="300"/>
      </w:pPr>
      <w:hyperlink w:history="1" w:anchor="h_51">
        <w:r>
          <w:rPr>
            <w:rFonts w:ascii="Times New Roman" w:cs="Times New Roman" w:eastAsia="Times New Roman" w:hAnsi="Times New Roman"/>
            <w:b w:val="false"/>
            <w:bCs w:val="false"/>
            <w:sz w:val="18"/>
            <w:szCs w:val="18"/>
          </w:rPr>
          <w:t xml:space="preserve">Scenario definitions</w:t>
        </w:r>
        <w:r>
          <w:rPr>
            <w:rFonts w:ascii="Times New Roman" w:cs="Times New Roman" w:eastAsia="Times New Roman" w:hAnsi="Times New Roman"/>
            <w:b w:val="false"/>
            <w:bCs w:val="false"/>
            <w:sz w:val="18"/>
            <w:szCs w:val="18"/>
          </w:rPr>
          <w:t xml:space="preserve">	35</w:t>
        </w:r>
      </w:hyperlink>
    </w:p>
    <w:p>
      <w:pPr>
        <w:tabs>
          <w:tab w:val="right" w:pos="9746" w:leader="dot"/>
        </w:tabs>
        <w:spacing w:after="10" w:before="0"/>
        <w:ind w:left="300"/>
      </w:pPr>
      <w:hyperlink w:history="1" w:anchor="h_52">
        <w:r>
          <w:rPr>
            <w:rFonts w:ascii="Times New Roman" w:cs="Times New Roman" w:eastAsia="Times New Roman" w:hAnsi="Times New Roman"/>
            <w:b w:val="false"/>
            <w:bCs w:val="false"/>
            <w:sz w:val="18"/>
            <w:szCs w:val="18"/>
          </w:rPr>
          <w:t xml:space="preserve">Scenario outputs</w:t>
        </w:r>
        <w:r>
          <w:rPr>
            <w:rFonts w:ascii="Times New Roman" w:cs="Times New Roman" w:eastAsia="Times New Roman" w:hAnsi="Times New Roman"/>
            <w:b w:val="false"/>
            <w:bCs w:val="false"/>
            <w:sz w:val="18"/>
            <w:szCs w:val="18"/>
          </w:rPr>
          <w:t xml:space="preserve">	36</w:t>
        </w:r>
      </w:hyperlink>
    </w:p>
    <w:p>
      <w:pPr>
        <w:tabs>
          <w:tab w:val="right" w:pos="9746" w:leader="dot"/>
        </w:tabs>
        <w:spacing w:after="10" w:before="70"/>
        <w:ind w:left="0"/>
      </w:pPr>
      <w:hyperlink w:history="1" w:anchor="h_53">
        <w:r>
          <w:rPr>
            <w:rFonts w:ascii="Times New Roman" w:cs="Times New Roman" w:eastAsia="Times New Roman" w:hAnsi="Times New Roman"/>
            <w:b/>
            <w:bCs/>
            <w:sz w:val="19"/>
            <w:szCs w:val="19"/>
          </w:rPr>
          <w:t xml:space="preserve">Valuation</w:t>
        </w:r>
        <w:r>
          <w:rPr>
            <w:rFonts w:ascii="Times New Roman" w:cs="Times New Roman" w:eastAsia="Times New Roman" w:hAnsi="Times New Roman"/>
            <w:b/>
            <w:bCs/>
            <w:sz w:val="18"/>
            <w:szCs w:val="18"/>
          </w:rPr>
          <w:t xml:space="preserve">	38</w:t>
        </w:r>
      </w:hyperlink>
    </w:p>
    <w:p>
      <w:pPr>
        <w:tabs>
          <w:tab w:val="right" w:pos="9746" w:leader="dot"/>
        </w:tabs>
        <w:spacing w:after="10" w:before="0"/>
        <w:ind w:left="300"/>
      </w:pPr>
      <w:hyperlink w:history="1" w:anchor="h_54">
        <w:r>
          <w:rPr>
            <w:rFonts w:ascii="Times New Roman" w:cs="Times New Roman" w:eastAsia="Times New Roman" w:hAnsi="Times New Roman"/>
            <w:b w:val="false"/>
            <w:bCs w:val="false"/>
            <w:sz w:val="18"/>
            <w:szCs w:val="18"/>
          </w:rPr>
          <w:t xml:space="preserve">Discounted cash flow</w:t>
        </w:r>
        <w:r>
          <w:rPr>
            <w:rFonts w:ascii="Times New Roman" w:cs="Times New Roman" w:eastAsia="Times New Roman" w:hAnsi="Times New Roman"/>
            <w:b w:val="false"/>
            <w:bCs w:val="false"/>
            <w:sz w:val="18"/>
            <w:szCs w:val="18"/>
          </w:rPr>
          <w:t xml:space="preserve">	38</w:t>
        </w:r>
      </w:hyperlink>
    </w:p>
    <w:p>
      <w:pPr>
        <w:tabs>
          <w:tab w:val="right" w:pos="9746" w:leader="dot"/>
        </w:tabs>
        <w:spacing w:after="10" w:before="0"/>
        <w:ind w:left="300"/>
      </w:pPr>
      <w:hyperlink w:history="1" w:anchor="h_60">
        <w:r>
          <w:rPr>
            <w:rFonts w:ascii="Times New Roman" w:cs="Times New Roman" w:eastAsia="Times New Roman" w:hAnsi="Times New Roman"/>
            <w:b w:val="false"/>
            <w:bCs w:val="false"/>
            <w:sz w:val="18"/>
            <w:szCs w:val="18"/>
          </w:rPr>
          <w:t xml:space="preserve">Comparable companies</w:t>
        </w:r>
        <w:r>
          <w:rPr>
            <w:rFonts w:ascii="Times New Roman" w:cs="Times New Roman" w:eastAsia="Times New Roman" w:hAnsi="Times New Roman"/>
            <w:b w:val="false"/>
            <w:bCs w:val="false"/>
            <w:sz w:val="18"/>
            <w:szCs w:val="18"/>
          </w:rPr>
          <w:t xml:space="preserve">	41</w:t>
        </w:r>
      </w:hyperlink>
    </w:p>
    <w:p>
      <w:pPr>
        <w:tabs>
          <w:tab w:val="right" w:pos="9746" w:leader="dot"/>
        </w:tabs>
        <w:spacing w:after="10" w:before="0"/>
        <w:ind w:left="300"/>
      </w:pPr>
      <w:hyperlink w:history="1" w:anchor="h_63">
        <w:r>
          <w:rPr>
            <w:rFonts w:ascii="Times New Roman" w:cs="Times New Roman" w:eastAsia="Times New Roman" w:hAnsi="Times New Roman"/>
            <w:b w:val="false"/>
            <w:bCs w:val="false"/>
            <w:sz w:val="18"/>
            <w:szCs w:val="18"/>
          </w:rPr>
          <w:t xml:space="preserve">Precedent transactions</w:t>
        </w:r>
        <w:r>
          <w:rPr>
            <w:rFonts w:ascii="Times New Roman" w:cs="Times New Roman" w:eastAsia="Times New Roman" w:hAnsi="Times New Roman"/>
            <w:b w:val="false"/>
            <w:bCs w:val="false"/>
            <w:sz w:val="18"/>
            <w:szCs w:val="18"/>
          </w:rPr>
          <w:t xml:space="preserve">	43</w:t>
        </w:r>
      </w:hyperlink>
    </w:p>
    <w:p>
      <w:pPr>
        <w:tabs>
          <w:tab w:val="right" w:pos="9746" w:leader="dot"/>
        </w:tabs>
        <w:spacing w:after="10" w:before="0"/>
        <w:ind w:left="300"/>
      </w:pPr>
      <w:hyperlink w:history="1" w:anchor="h_64">
        <w:r>
          <w:rPr>
            <w:rFonts w:ascii="Times New Roman" w:cs="Times New Roman" w:eastAsia="Times New Roman" w:hAnsi="Times New Roman"/>
            <w:b w:val="false"/>
            <w:bCs w:val="false"/>
            <w:sz w:val="18"/>
            <w:szCs w:val="18"/>
          </w:rPr>
          <w:t xml:space="preserve">Valuation football field</w:t>
        </w:r>
        <w:r>
          <w:rPr>
            <w:rFonts w:ascii="Times New Roman" w:cs="Times New Roman" w:eastAsia="Times New Roman" w:hAnsi="Times New Roman"/>
            <w:b w:val="false"/>
            <w:bCs w:val="false"/>
            <w:sz w:val="18"/>
            <w:szCs w:val="18"/>
          </w:rPr>
          <w:t xml:space="preserve">	44</w:t>
        </w:r>
      </w:hyperlink>
    </w:p>
    <w:p>
      <w:pPr>
        <w:tabs>
          <w:tab w:val="right" w:pos="9746" w:leader="dot"/>
        </w:tabs>
        <w:spacing w:after="10" w:before="0"/>
        <w:ind w:left="300"/>
      </w:pPr>
      <w:hyperlink w:history="1" w:anchor="h_65">
        <w:r>
          <w:rPr>
            <w:rFonts w:ascii="Times New Roman" w:cs="Times New Roman" w:eastAsia="Times New Roman" w:hAnsi="Times New Roman"/>
            <w:b w:val="false"/>
            <w:bCs w:val="false"/>
            <w:sz w:val="18"/>
            <w:szCs w:val="18"/>
          </w:rPr>
          <w:t xml:space="preserve">Sanity checks</w:t>
        </w:r>
        <w:r>
          <w:rPr>
            <w:rFonts w:ascii="Times New Roman" w:cs="Times New Roman" w:eastAsia="Times New Roman" w:hAnsi="Times New Roman"/>
            <w:b w:val="false"/>
            <w:bCs w:val="false"/>
            <w:sz w:val="18"/>
            <w:szCs w:val="18"/>
          </w:rPr>
          <w:t xml:space="preserve">	44</w:t>
        </w:r>
      </w:hyperlink>
    </w:p>
    <w:p>
      <w:pPr>
        <w:tabs>
          <w:tab w:val="right" w:pos="9746" w:leader="dot"/>
        </w:tabs>
        <w:spacing w:after="10" w:before="0"/>
        <w:ind w:left="300"/>
      </w:pPr>
      <w:hyperlink w:history="1" w:anchor="h_66">
        <w:r>
          <w:rPr>
            <w:rFonts w:ascii="Times New Roman" w:cs="Times New Roman" w:eastAsia="Times New Roman" w:hAnsi="Times New Roman"/>
            <w:b w:val="false"/>
            <w:bCs w:val="false"/>
            <w:sz w:val="18"/>
            <w:szCs w:val="18"/>
          </w:rPr>
          <w:t xml:space="preserve">Rating definitions</w:t>
        </w:r>
        <w:r>
          <w:rPr>
            <w:rFonts w:ascii="Times New Roman" w:cs="Times New Roman" w:eastAsia="Times New Roman" w:hAnsi="Times New Roman"/>
            <w:b w:val="false"/>
            <w:bCs w:val="false"/>
            <w:sz w:val="18"/>
            <w:szCs w:val="18"/>
          </w:rPr>
          <w:t xml:space="preserve">	45</w:t>
        </w:r>
      </w:hyperlink>
    </w:p>
    <w:p>
      <w:pPr>
        <w:tabs>
          <w:tab w:val="right" w:pos="9746" w:leader="dot"/>
        </w:tabs>
        <w:spacing w:after="10" w:before="70"/>
        <w:ind w:left="0"/>
      </w:pPr>
      <w:hyperlink w:history="1" w:anchor="h_67">
        <w:r>
          <w:rPr>
            <w:rFonts w:ascii="Times New Roman" w:cs="Times New Roman" w:eastAsia="Times New Roman" w:hAnsi="Times New Roman"/>
            <w:b/>
            <w:bCs/>
            <w:sz w:val="19"/>
            <w:szCs w:val="19"/>
          </w:rPr>
          <w:t xml:space="preserve">Appendix A: Financial Statements</w:t>
        </w:r>
        <w:r>
          <w:rPr>
            <w:rFonts w:ascii="Times New Roman" w:cs="Times New Roman" w:eastAsia="Times New Roman" w:hAnsi="Times New Roman"/>
            <w:b/>
            <w:bCs/>
            <w:sz w:val="18"/>
            <w:szCs w:val="18"/>
          </w:rPr>
          <w:t xml:space="preserve">	46</w:t>
        </w:r>
      </w:hyperlink>
    </w:p>
    <w:p>
      <w:pPr>
        <w:tabs>
          <w:tab w:val="right" w:pos="9746" w:leader="dot"/>
        </w:tabs>
        <w:spacing w:after="10" w:before="70"/>
        <w:ind w:left="0"/>
      </w:pPr>
      <w:hyperlink w:history="1" w:anchor="h_68">
        <w:r>
          <w:rPr>
            <w:rFonts w:ascii="Times New Roman" w:cs="Times New Roman" w:eastAsia="Times New Roman" w:hAnsi="Times New Roman"/>
            <w:b/>
            <w:bCs/>
            <w:sz w:val="19"/>
            <w:szCs w:val="19"/>
          </w:rPr>
          <w:t xml:space="preserve">Appendix B: Glossary</w:t>
        </w:r>
        <w:r>
          <w:rPr>
            <w:rFonts w:ascii="Times New Roman" w:cs="Times New Roman" w:eastAsia="Times New Roman" w:hAnsi="Times New Roman"/>
            <w:b/>
            <w:bCs/>
            <w:sz w:val="18"/>
            <w:szCs w:val="18"/>
          </w:rPr>
          <w:t xml:space="preserve">	50</w:t>
        </w:r>
      </w:hyperlink>
    </w:p>
    <w:p>
      <w:pPr>
        <w:tabs>
          <w:tab w:val="right" w:pos="9746" w:leader="dot"/>
        </w:tabs>
        <w:spacing w:after="10" w:before="70"/>
        <w:ind w:left="0"/>
      </w:pPr>
      <w:hyperlink w:history="1" w:anchor="h_69">
        <w:r>
          <w:rPr>
            <w:rFonts w:ascii="Times New Roman" w:cs="Times New Roman" w:eastAsia="Times New Roman" w:hAnsi="Times New Roman"/>
            <w:b/>
            <w:bCs/>
            <w:sz w:val="19"/>
            <w:szCs w:val="19"/>
          </w:rPr>
          <w:t xml:space="preserve">Appendix C: Sources</w:t>
        </w:r>
        <w:r>
          <w:rPr>
            <w:rFonts w:ascii="Times New Roman" w:cs="Times New Roman" w:eastAsia="Times New Roman" w:hAnsi="Times New Roman"/>
            <w:b/>
            <w:bCs/>
            <w:sz w:val="18"/>
            <w:szCs w:val="18"/>
          </w:rPr>
          <w:t xml:space="preserve">	50</w:t>
        </w:r>
      </w:hyperlink>
    </w:p>
    <w:p>
      <w:pPr>
        <w:tabs>
          <w:tab w:val="right" w:pos="9746" w:leader="dot"/>
        </w:tabs>
        <w:spacing w:after="10" w:before="70"/>
        <w:ind w:left="0"/>
      </w:pPr>
      <w:hyperlink w:history="1" w:anchor="h_70">
        <w:r>
          <w:rPr>
            <w:rFonts w:ascii="Times New Roman" w:cs="Times New Roman" w:eastAsia="Times New Roman" w:hAnsi="Times New Roman"/>
            <w:b/>
            <w:bCs/>
            <w:sz w:val="19"/>
            <w:szCs w:val="19"/>
          </w:rPr>
          <w:t xml:space="preserve">Important Disclosures</w:t>
        </w:r>
        <w:r>
          <w:rPr>
            <w:rFonts w:ascii="Times New Roman" w:cs="Times New Roman" w:eastAsia="Times New Roman" w:hAnsi="Times New Roman"/>
            <w:b/>
            <w:bCs/>
            <w:sz w:val="18"/>
            <w:szCs w:val="18"/>
          </w:rPr>
          <w:t xml:space="preserve">	50</w:t>
        </w:r>
      </w:hyperlink>
    </w:p>
    <w:p>
      <w:r>
        <w:br w:type="page"/>
      </w:r>
    </w:p>
    <w:p>
      <w:pPr>
        <w:pStyle w:val="Heading1"/>
        <w:keepNext/>
      </w:pPr>
      <w:bookmarkStart w:name="h_1" w:id="1"/>
      <w:r>
        <w:t xml:space="preserve">Investment Thesis</w:t>
      </w:r>
      <w:bookmarkEnd w:id="1"/>
    </w:p>
    <w:p>
      <w:pPr>
        <w:spacing w:after="120" w:line="264"/>
        <w:jc w:val="both"/>
      </w:pPr>
      <w:r>
        <w:rPr>
          <w:rFonts w:ascii="Times New Roman" w:cs="Times New Roman" w:eastAsia="Times New Roman" w:hAnsi="Times New Roman"/>
        </w:rPr>
        <w:t xml:space="preserve">SHEIN listed on the Hong Kong Stock Exchange on 1 September 2026 at HK$48.56, about a quarter of the US$100bn private valuation it reached in 2022. One month later the shares trade 36.5% below the offer price and at a record low. We think the de-rating has gone well beyond what the fundamentals justify. Our thesis rests on five pillars.</w:t>
      </w:r>
    </w:p>
    <w:p>
      <w:pPr>
        <w:pStyle w:val="Heading2"/>
        <w:keepNext/>
      </w:pPr>
      <w:bookmarkStart w:name="h_2" w:id="2"/>
      <w:r>
        <w:t xml:space="preserve">Pillar 1: Cash covers two-thirds to four-fifths of the market value</w:t>
      </w:r>
      <w:bookmarkEnd w:id="2"/>
    </w:p>
    <w:p>
      <w:pPr>
        <w:spacing w:after="120" w:line="264"/>
        <w:jc w:val="both"/>
      </w:pPr>
      <w:r>
        <w:rPr>
          <w:rFonts w:ascii="Times New Roman" w:cs="Times New Roman" w:eastAsia="Times New Roman" w:hAnsi="Times New Roman"/>
        </w:rPr>
        <w:t xml:space="preserve">The most striking feature of SHEIN's valuation is the balance sheet:</w:t>
      </w:r>
    </w:p>
    <w:p>
      <w:pPr>
        <w:pStyle w:val="ListParagraph"/>
        <w:numPr>
          <w:ilvl w:val="0"/>
          <w:numId w:val="3"/>
        </w:numPr>
        <w:spacing w:after="60" w:line="252"/>
      </w:pPr>
      <w:r>
        <w:rPr>
          <w:rFonts w:ascii="Times New Roman" w:cs="Times New Roman" w:eastAsia="Times New Roman" w:hAnsi="Times New Roman"/>
          <w:b/>
          <w:bCs/>
        </w:rPr>
        <w:t xml:space="preserve">Cash at 30 June 2026.</w:t>
      </w:r>
      <w:r>
        <w:rPr>
          <w:rFonts w:ascii="Times New Roman" w:cs="Times New Roman" w:eastAsia="Times New Roman" w:hAnsi="Times New Roman"/>
        </w:rPr>
        <w:t xml:space="preserve"> SHEIN reported US$15.25bn of cash resources: cash, restricted cash and short-term time deposits with highly rated international banks, predominantly in US dollars.</w:t>
      </w:r>
    </w:p>
    <w:p>
      <w:pPr>
        <w:pStyle w:val="ListParagraph"/>
        <w:numPr>
          <w:ilvl w:val="0"/>
          <w:numId w:val="3"/>
        </w:numPr>
        <w:spacing w:after="60" w:line="252"/>
      </w:pPr>
      <w:r>
        <w:rPr>
          <w:rFonts w:ascii="Times New Roman" w:cs="Times New Roman" w:eastAsia="Times New Roman" w:hAnsi="Times New Roman"/>
          <w:b/>
          <w:bCs/>
        </w:rPr>
        <w:t xml:space="preserve">Listing-related adjustments.</w:t>
      </w:r>
      <w:r>
        <w:rPr>
          <w:rFonts w:ascii="Times New Roman" w:cs="Times New Roman" w:eastAsia="Times New Roman" w:hAnsi="Times New Roman"/>
        </w:rPr>
        <w:t xml:space="preserve"> We deduct the US$2.2bn cash compensation paid to Series Pre-D, D and D+ preferred holders under the Conversion Adjustment, the final US$357m instalment of the 8% p.a. distribution and the ~US$230m 12% p.a. distribution. We add the HK$13.2bn (US$1.68bn) of IPO net proceeds and exclude restricted cash.</w:t>
      </w:r>
    </w:p>
    <w:p>
      <w:pPr>
        <w:pStyle w:val="ListParagraph"/>
        <w:numPr>
          <w:ilvl w:val="0"/>
          <w:numId w:val="3"/>
        </w:numPr>
        <w:spacing w:after="60" w:line="252"/>
      </w:pPr>
      <w:r>
        <w:rPr>
          <w:rFonts w:ascii="Times New Roman" w:cs="Times New Roman" w:eastAsia="Times New Roman" w:hAnsi="Times New Roman"/>
          <w:b/>
          <w:bCs/>
        </w:rPr>
        <w:t xml:space="preserve">Result.</w:t>
      </w:r>
      <w:r>
        <w:rPr>
          <w:rFonts w:ascii="Times New Roman" w:cs="Times New Roman" w:eastAsia="Times New Roman" w:hAnsi="Times New Roman"/>
        </w:rPr>
        <w:t xml:space="preserve"> Pro forma unrestricted cash is </w:t>
      </w:r>
      <w:r>
        <w:rPr>
          <w:rFonts w:ascii="Times New Roman" w:cs="Times New Roman" w:eastAsia="Times New Roman" w:hAnsi="Times New Roman"/>
          <w:b/>
          <w:bCs/>
        </w:rPr>
        <w:t xml:space="preserve">US$13.5bn</w:t>
      </w:r>
      <w:r>
        <w:rPr>
          <w:rFonts w:ascii="Times New Roman" w:cs="Times New Roman" w:eastAsia="Times New Roman" w:hAnsi="Times New Roman"/>
        </w:rPr>
        <w:t xml:space="preserve">, plus US$0.4bn of associate and fair-value investments.</w:t>
      </w:r>
    </w:p>
    <w:p>
      <w:pPr>
        <w:pStyle w:val="ListParagraph"/>
        <w:numPr>
          <w:ilvl w:val="0"/>
          <w:numId w:val="3"/>
        </w:numPr>
        <w:spacing w:after="60" w:line="252"/>
      </w:pPr>
      <w:r>
        <w:rPr>
          <w:rFonts w:ascii="Times New Roman" w:cs="Times New Roman" w:eastAsia="Times New Roman" w:hAnsi="Times New Roman"/>
          <w:b/>
          <w:bCs/>
        </w:rPr>
        <w:t xml:space="preserve">No debt.</w:t>
      </w:r>
      <w:r>
        <w:rPr>
          <w:rFonts w:ascii="Times New Roman" w:cs="Times New Roman" w:eastAsia="Times New Roman" w:hAnsi="Times New Roman"/>
        </w:rPr>
        <w:t xml:space="preserve"> SHEIN has no bank borrowings or debt securities; its only indebtedness is US$1.1bn of warehouse and office lease liabilities.</w:t>
      </w:r>
    </w:p>
    <w:p>
      <w:pPr>
        <w:spacing w:after="120" w:line="264"/>
        <w:jc w:val="both"/>
      </w:pPr>
      <w:r>
        <w:rPr>
          <w:rFonts w:ascii="Times New Roman" w:cs="Times New Roman" w:eastAsia="Times New Roman" w:hAnsi="Times New Roman"/>
        </w:rPr>
        <w:t xml:space="preserve">Against a fully diluted market cap of US$17.4bn, pro forma cash and investments equal </w:t>
      </w:r>
      <w:r>
        <w:rPr>
          <w:rFonts w:ascii="Times New Roman" w:cs="Times New Roman" w:eastAsia="Times New Roman" w:hAnsi="Times New Roman"/>
          <w:b/>
          <w:bCs/>
        </w:rPr>
        <w:t xml:space="preserve">80%</w:t>
      </w:r>
      <w:r>
        <w:rPr>
          <w:rFonts w:ascii="Times New Roman" w:cs="Times New Roman" w:eastAsia="Times New Roman" w:hAnsi="Times New Roman"/>
        </w:rPr>
        <w:t xml:space="preserve"> of the share price (HK$24.7 per share). Our valuation deducts a US$1.5bn minimum operating-cash buffer and a US$1.0bn regulatory contingency reserve. Even so, net cash is </w:t>
      </w:r>
      <w:r>
        <w:rPr>
          <w:rFonts w:ascii="Times New Roman" w:cs="Times New Roman" w:eastAsia="Times New Roman" w:hAnsi="Times New Roman"/>
          <w:b/>
          <w:bCs/>
        </w:rPr>
        <w:t xml:space="preserve">HK$20.2 per share, 66%</w:t>
      </w:r>
      <w:r>
        <w:rPr>
          <w:rFonts w:ascii="Times New Roman" w:cs="Times New Roman" w:eastAsia="Times New Roman" w:hAnsi="Times New Roman"/>
        </w:rPr>
        <w:t xml:space="preserve"> of the current price.</w:t>
      </w:r>
    </w:p>
    <w:p>
      <w:pPr>
        <w:spacing w:after="120" w:line="264"/>
        <w:jc w:val="both"/>
      </w:pPr>
      <w:r>
        <w:rPr>
          <w:rFonts w:ascii="Times New Roman" w:cs="Times New Roman" w:eastAsia="Times New Roman" w:hAnsi="Times New Roman"/>
        </w:rPr>
        <w:t xml:space="preserve">Some investors argue the cash is "not really excess" because SHEIN runs a structurally negative working-capital model:</w:t>
      </w:r>
    </w:p>
    <w:p>
      <w:pPr>
        <w:pStyle w:val="ListParagraph"/>
        <w:numPr>
          <w:ilvl w:val="0"/>
          <w:numId w:val="3"/>
        </w:numPr>
        <w:spacing w:after="60" w:line="252"/>
      </w:pPr>
      <w:r>
        <w:rPr>
          <w:rFonts w:ascii="Times New Roman" w:cs="Times New Roman" w:eastAsia="Times New Roman" w:hAnsi="Times New Roman"/>
        </w:rPr>
        <w:t xml:space="preserve">Customers prepay.</w:t>
      </w:r>
    </w:p>
    <w:p>
      <w:pPr>
        <w:pStyle w:val="ListParagraph"/>
        <w:numPr>
          <w:ilvl w:val="0"/>
          <w:numId w:val="3"/>
        </w:numPr>
        <w:spacing w:after="60" w:line="252"/>
      </w:pPr>
      <w:r>
        <w:rPr>
          <w:rFonts w:ascii="Times New Roman" w:cs="Times New Roman" w:eastAsia="Times New Roman" w:hAnsi="Times New Roman"/>
        </w:rPr>
        <w:t xml:space="preserve">Suppliers are paid in about 34 days.</w:t>
      </w:r>
    </w:p>
    <w:p>
      <w:pPr>
        <w:pStyle w:val="ListParagraph"/>
        <w:numPr>
          <w:ilvl w:val="0"/>
          <w:numId w:val="3"/>
        </w:numPr>
        <w:spacing w:after="60" w:line="252"/>
      </w:pPr>
      <w:r>
        <w:rPr>
          <w:rFonts w:ascii="Times New Roman" w:cs="Times New Roman" w:eastAsia="Times New Roman" w:hAnsi="Times New Roman"/>
        </w:rPr>
        <w:t xml:space="preserve">Inventory turns in about 36 days.</w:t>
      </w:r>
    </w:p>
    <w:p>
      <w:pPr>
        <w:spacing w:after="120" w:line="264"/>
        <w:jc w:val="both"/>
      </w:pPr>
      <w:r>
        <w:rPr>
          <w:rFonts w:ascii="Times New Roman" w:cs="Times New Roman" w:eastAsia="Times New Roman" w:hAnsi="Times New Roman"/>
        </w:rPr>
        <w:t xml:space="preserve">We agree the float is operational: operating net working capital was –US$5.0bn at 30 June 2026 and –US$4.0bn at year-end 2025. But negative working capital is a permanent feature of a growing online retailer, not a liability that falls due. It only unwinds if the business shrinks materially. Our DCF already captures the seasonal second-half unwind of ~US$0.9bn. Even treating the full year-end float as debt-like would still leave about HK$15 per share of net cash.</w:t>
      </w:r>
    </w:p>
    <w:p>
      <w:pPr>
        <w:spacing w:after="120" w:line="264"/>
        <w:jc w:val="both"/>
      </w:pPr>
      <w:r>
        <w:rPr>
          <w:rFonts w:ascii="Times New Roman" w:cs="Times New Roman" w:eastAsia="Times New Roman" w:hAnsi="Times New Roman"/>
        </w:rPr>
        <w:t xml:space="preserve">The market is effectively ascribing an enterprise value of about </w:t>
      </w:r>
      <w:r>
        <w:rPr>
          <w:rFonts w:ascii="Times New Roman" w:cs="Times New Roman" w:eastAsia="Times New Roman" w:hAnsi="Times New Roman"/>
          <w:b/>
          <w:bCs/>
        </w:rPr>
        <w:t xml:space="preserve">US$3.5bn</w:t>
      </w:r>
      <w:r>
        <w:rPr>
          <w:rFonts w:ascii="Times New Roman" w:cs="Times New Roman" w:eastAsia="Times New Roman" w:hAnsi="Times New Roman"/>
        </w:rPr>
        <w:t xml:space="preserve"> to a business that will generate, on our estimates, US$1.4bn of adjusted EBIT in FY2027E. That is </w:t>
      </w:r>
      <w:r>
        <w:rPr>
          <w:rFonts w:ascii="Times New Roman" w:cs="Times New Roman" w:eastAsia="Times New Roman" w:hAnsi="Times New Roman"/>
          <w:b/>
          <w:bCs/>
        </w:rPr>
        <w:t xml:space="preserve">2.5x EV/adjusted EBIT</w:t>
      </w:r>
      <w:r>
        <w:rPr>
          <w:rFonts w:ascii="Times New Roman" w:cs="Times New Roman" w:eastAsia="Times New Roman" w:hAnsi="Times New Roman"/>
        </w:rPr>
        <w:t xml:space="preserve">, vs. a peer median of 24.1x trailing EV/EBIT.</w:t>
      </w:r>
    </w:p>
    <w:p>
      <w:pPr>
        <w:keepNext/>
        <w:spacing w:after="60" w:before="160"/>
      </w:pPr>
      <w:r>
        <w:rPr>
          <w:rFonts w:ascii="Times New Roman" w:cs="Times New Roman" w:eastAsia="Times New Roman" w:hAnsi="Times New Roman"/>
          <w:b/>
          <w:bCs/>
          <w:color w:val="1F3A5F"/>
          <w:sz w:val="18"/>
          <w:szCs w:val="18"/>
        </w:rPr>
        <w:t xml:space="preserve">Figure 3: </w:t>
      </w:r>
      <w:r>
        <w:rPr>
          <w:rFonts w:ascii="Times New Roman" w:cs="Times New Roman" w:eastAsia="Times New Roman" w:hAnsi="Times New Roman"/>
          <w:b/>
          <w:bCs/>
          <w:color w:val="1F3A5F"/>
          <w:sz w:val="18"/>
          <w:szCs w:val="18"/>
        </w:rPr>
        <w:t xml:space="preserve">Pro forma cash bridge at listing vs market capitalisation (US$bn)</w:t>
      </w:r>
    </w:p>
    <w:p>
      <w:pPr>
        <w:keepNext/>
        <w:spacing w:after="20"/>
        <w:jc w:val="center"/>
      </w:pPr>
      <w:r>
        <w:drawing>
          <wp:inline distT="0" distB="0" distL="0" distR="0">
            <wp:extent cx="5762625" cy="2924175"/>
            <wp:effectExtent t="0" r="0" b="0" l="0"/>
            <wp:docPr id="1" name="chart_26_pro_forma_cash_bridge.png" descr="Pro forma cash bridge at listing vs market capitalisation (US$bn)" title="Pro forma cash bridge at listing vs market capitalisation (US$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2"/>
        <w:keepNext/>
      </w:pPr>
      <w:bookmarkStart w:name="h_3" w:id="3"/>
      <w:r>
        <w:t xml:space="preserve">Pillar 2: LATR is a genuine, hard-to-replicate operating advantage</w:t>
      </w:r>
      <w:bookmarkEnd w:id="3"/>
    </w:p>
    <w:p>
      <w:pPr>
        <w:spacing w:after="120" w:line="264"/>
        <w:jc w:val="both"/>
      </w:pPr>
      <w:r>
        <w:rPr>
          <w:rFonts w:ascii="Times New Roman" w:cs="Times New Roman" w:eastAsia="Times New Roman" w:hAnsi="Times New Roman"/>
        </w:rPr>
        <w:t xml:space="preserve">SHEIN's Large-scale Automated Test and Reorder (LATR) model does three things at once:</w:t>
      </w:r>
    </w:p>
    <w:p>
      <w:pPr>
        <w:pStyle w:val="ListParagraph"/>
        <w:numPr>
          <w:ilvl w:val="0"/>
          <w:numId w:val="3"/>
        </w:numPr>
        <w:spacing w:after="60" w:line="252"/>
      </w:pPr>
      <w:r>
        <w:rPr>
          <w:rFonts w:ascii="Times New Roman" w:cs="Times New Roman" w:eastAsia="Times New Roman" w:hAnsi="Times New Roman"/>
          <w:b/>
          <w:bCs/>
        </w:rPr>
        <w:t xml:space="preserve">Tests small.</w:t>
      </w:r>
      <w:r>
        <w:rPr>
          <w:rFonts w:ascii="Times New Roman" w:cs="Times New Roman" w:eastAsia="Times New Roman" w:hAnsi="Times New Roman"/>
        </w:rPr>
        <w:t xml:space="preserve"> It launches roughly 4,700 new apparel styles per day in initial batches of 100-200 units.</w:t>
      </w:r>
    </w:p>
    <w:p>
      <w:pPr>
        <w:pStyle w:val="ListParagraph"/>
        <w:numPr>
          <w:ilvl w:val="0"/>
          <w:numId w:val="3"/>
        </w:numPr>
        <w:spacing w:after="60" w:line="252"/>
      </w:pPr>
      <w:r>
        <w:rPr>
          <w:rFonts w:ascii="Times New Roman" w:cs="Times New Roman" w:eastAsia="Times New Roman" w:hAnsi="Times New Roman"/>
          <w:b/>
          <w:bCs/>
        </w:rPr>
        <w:t xml:space="preserve">Reorders fast.</w:t>
      </w:r>
      <w:r>
        <w:rPr>
          <w:rFonts w:ascii="Times New Roman" w:cs="Times New Roman" w:eastAsia="Times New Roman" w:hAnsi="Times New Roman"/>
        </w:rPr>
        <w:t xml:space="preserve"> Winners are restocked in as few as five days through more than 7,500 digitally integrated contract manufacturers.</w:t>
      </w:r>
    </w:p>
    <w:p>
      <w:pPr>
        <w:pStyle w:val="ListParagraph"/>
        <w:numPr>
          <w:ilvl w:val="0"/>
          <w:numId w:val="3"/>
        </w:numPr>
        <w:spacing w:after="60" w:line="252"/>
      </w:pPr>
      <w:r>
        <w:rPr>
          <w:rFonts w:ascii="Times New Roman" w:cs="Times New Roman" w:eastAsia="Times New Roman" w:hAnsi="Times New Roman"/>
          <w:b/>
          <w:bCs/>
        </w:rPr>
        <w:t xml:space="preserve">Keeps inventory lean.</w:t>
      </w:r>
      <w:r>
        <w:rPr>
          <w:rFonts w:ascii="Times New Roman" w:cs="Times New Roman" w:eastAsia="Times New Roman" w:hAnsi="Times New Roman"/>
        </w:rPr>
        <w:t xml:space="preserve"> Inventory turns in about 36 days, with write-downs of only 1-2% of cost of sales.</w:t>
      </w:r>
    </w:p>
    <w:p>
      <w:pPr>
        <w:spacing w:after="120" w:line="264"/>
        <w:jc w:val="both"/>
      </w:pPr>
      <w:r>
        <w:rPr>
          <w:rFonts w:ascii="Times New Roman" w:cs="Times New Roman" w:eastAsia="Times New Roman" w:hAnsi="Times New Roman"/>
        </w:rPr>
        <w:t xml:space="preserve">The consultant hired for the IPO estimates that fashion-industry inventory waste can reach 30%. The economics show up in SHEIN's contribution margin after fulfilment, which rose from 18.1% in FY2023 to 22.3% in FY2025 even as the marketplace mix increased.</w:t>
      </w:r>
    </w:p>
    <w:p>
      <w:pPr>
        <w:spacing w:after="120" w:line="264"/>
        <w:jc w:val="both"/>
      </w:pPr>
      <w:r>
        <w:rPr>
          <w:rFonts w:ascii="Times New Roman" w:cs="Times New Roman" w:eastAsia="Times New Roman" w:hAnsi="Times New Roman"/>
        </w:rPr>
        <w:t xml:space="preserve">Per-order economics in FY2025 illustrate the model:</w:t>
      </w:r>
    </w:p>
    <w:p>
      <w:pPr>
        <w:pStyle w:val="ListParagraph"/>
        <w:numPr>
          <w:ilvl w:val="0"/>
          <w:numId w:val="3"/>
        </w:numPr>
        <w:spacing w:after="60" w:line="252"/>
      </w:pPr>
      <w:r>
        <w:rPr>
          <w:rFonts w:ascii="Times New Roman" w:cs="Times New Roman" w:eastAsia="Times New Roman" w:hAnsi="Times New Roman"/>
        </w:rPr>
        <w:t xml:space="preserve">Net revenue of </w:t>
      </w:r>
      <w:r>
        <w:rPr>
          <w:rFonts w:ascii="Times New Roman" w:cs="Times New Roman" w:eastAsia="Times New Roman" w:hAnsi="Times New Roman"/>
          <w:b/>
          <w:bCs/>
        </w:rPr>
        <w:t xml:space="preserve">US$38.8</w:t>
      </w:r>
      <w:r>
        <w:rPr>
          <w:rFonts w:ascii="Times New Roman" w:cs="Times New Roman" w:eastAsia="Times New Roman" w:hAnsi="Times New Roman"/>
        </w:rPr>
        <w:t xml:space="preserve"> per order.</w:t>
      </w:r>
    </w:p>
    <w:p>
      <w:pPr>
        <w:pStyle w:val="ListParagraph"/>
        <w:numPr>
          <w:ilvl w:val="0"/>
          <w:numId w:val="3"/>
        </w:numPr>
        <w:spacing w:after="60" w:line="252"/>
      </w:pPr>
      <w:r>
        <w:rPr>
          <w:rFonts w:ascii="Times New Roman" w:cs="Times New Roman" w:eastAsia="Times New Roman" w:hAnsi="Times New Roman"/>
        </w:rPr>
        <w:t xml:space="preserve">Cost of sales of US$12.5, fulfilment of US$17.7 and marketing of US$5.7.</w:t>
      </w:r>
    </w:p>
    <w:p>
      <w:pPr>
        <w:pStyle w:val="ListParagraph"/>
        <w:numPr>
          <w:ilvl w:val="0"/>
          <w:numId w:val="3"/>
        </w:numPr>
        <w:spacing w:after="60" w:line="252"/>
      </w:pPr>
      <w:r>
        <w:rPr>
          <w:rFonts w:ascii="Times New Roman" w:cs="Times New Roman" w:eastAsia="Times New Roman" w:hAnsi="Times New Roman"/>
        </w:rPr>
        <w:t xml:space="preserve">Technology, content and G&amp;A of US$1.3.</w:t>
      </w:r>
    </w:p>
    <w:p>
      <w:pPr>
        <w:pStyle w:val="ListParagraph"/>
        <w:numPr>
          <w:ilvl w:val="0"/>
          <w:numId w:val="3"/>
        </w:numPr>
        <w:spacing w:after="60" w:line="252"/>
      </w:pPr>
      <w:r>
        <w:rPr>
          <w:rFonts w:ascii="Times New Roman" w:cs="Times New Roman" w:eastAsia="Times New Roman" w:hAnsi="Times New Roman"/>
        </w:rPr>
        <w:t xml:space="preserve">That leaves about </w:t>
      </w:r>
      <w:r>
        <w:rPr>
          <w:rFonts w:ascii="Times New Roman" w:cs="Times New Roman" w:eastAsia="Times New Roman" w:hAnsi="Times New Roman"/>
          <w:b/>
          <w:bCs/>
        </w:rPr>
        <w:t xml:space="preserve">US$1.58</w:t>
      </w:r>
      <w:r>
        <w:rPr>
          <w:rFonts w:ascii="Times New Roman" w:cs="Times New Roman" w:eastAsia="Times New Roman" w:hAnsi="Times New Roman"/>
        </w:rPr>
        <w:t xml:space="preserve"> of operating income per order.</w:t>
      </w:r>
    </w:p>
    <w:p>
      <w:pPr>
        <w:spacing w:after="120" w:line="264"/>
        <w:jc w:val="both"/>
      </w:pPr>
      <w:r>
        <w:rPr>
          <w:rFonts w:ascii="Times New Roman" w:cs="Times New Roman" w:eastAsia="Times New Roman" w:hAnsi="Times New Roman"/>
        </w:rPr>
        <w:t xml:space="preserve">Fulfilment is the dominant cost line. Every US$1 of per-order fulfilment savings on 1.2bn FY2027E orders adds ~US$1.2bn of EBIT, almost as much as our entire FY2027E adjusted EBIT forecast. This is why freight rates, duty treatment and local-warehouse density matter so much for the equity. It is also why we think the 2Q26 margin compression (freight) is more reversible than the market assumes.</w:t>
      </w:r>
    </w:p>
    <w:p>
      <w:pPr>
        <w:keepNext/>
        <w:spacing w:after="60" w:before="160"/>
      </w:pPr>
      <w:r>
        <w:rPr>
          <w:rFonts w:ascii="Times New Roman" w:cs="Times New Roman" w:eastAsia="Times New Roman" w:hAnsi="Times New Roman"/>
          <w:b/>
          <w:bCs/>
          <w:color w:val="1F3A5F"/>
          <w:sz w:val="18"/>
          <w:szCs w:val="18"/>
        </w:rPr>
        <w:t xml:space="preserve">Figure 4: </w:t>
      </w:r>
      <w:r>
        <w:rPr>
          <w:rFonts w:ascii="Times New Roman" w:cs="Times New Roman" w:eastAsia="Times New Roman" w:hAnsi="Times New Roman"/>
          <w:b/>
          <w:bCs/>
          <w:color w:val="1F3A5F"/>
          <w:sz w:val="18"/>
          <w:szCs w:val="18"/>
        </w:rPr>
        <w:t xml:space="preserve">FY2025 unit economics per order (US$)</w:t>
      </w:r>
    </w:p>
    <w:p>
      <w:pPr>
        <w:keepNext/>
        <w:spacing w:after="20"/>
        <w:jc w:val="center"/>
      </w:pPr>
      <w:r>
        <w:drawing>
          <wp:inline distT="0" distB="0" distL="0" distR="0">
            <wp:extent cx="5762625" cy="2924175"/>
            <wp:effectExtent t="0" r="0" b="0" l="0"/>
            <wp:docPr id="2" name="chart_20_unit_economics_per_order.png" descr="FY2025 unit economics per order (US$)" title="FY2025 unit economics per order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2"/>
        <w:keepNext/>
      </w:pPr>
      <w:bookmarkStart w:name="h_4" w:id="4"/>
      <w:r>
        <w:t xml:space="preserve">Pillar 3: Demand is intact; the revenue slowdown is mostly mix and trade policy</w:t>
      </w:r>
      <w:bookmarkEnd w:id="4"/>
    </w:p>
    <w:p>
      <w:pPr>
        <w:spacing w:after="120" w:line="264"/>
        <w:jc w:val="both"/>
      </w:pPr>
      <w:r>
        <w:rPr>
          <w:rFonts w:ascii="Times New Roman" w:cs="Times New Roman" w:eastAsia="Times New Roman" w:hAnsi="Times New Roman"/>
        </w:rPr>
        <w:t xml:space="preserve">Reported net revenue growth slowed from 41.1% in FY2023 to 8.0% in FY2025 and 1.0% in 1H26. The underlying demand signals are healthier than the headline suggests:</w:t>
      </w:r>
    </w:p>
    <w:p>
      <w:pPr>
        <w:pStyle w:val="ListParagraph"/>
        <w:numPr>
          <w:ilvl w:val="0"/>
          <w:numId w:val="3"/>
        </w:numPr>
        <w:spacing w:after="60" w:line="252"/>
      </w:pPr>
      <w:r>
        <w:rPr>
          <w:rFonts w:ascii="Times New Roman" w:cs="Times New Roman" w:eastAsia="Times New Roman" w:hAnsi="Times New Roman"/>
          <w:b/>
          <w:bCs/>
        </w:rPr>
        <w:t xml:space="preserve">Customers and orders are still growing.</w:t>
      </w:r>
      <w:r>
        <w:rPr>
          <w:rFonts w:ascii="Times New Roman" w:cs="Times New Roman" w:eastAsia="Times New Roman" w:hAnsi="Times New Roman"/>
        </w:rPr>
        <w:t xml:space="preserve"> Active customers rose from 254m to 291m over the twelve months to June 2026 (+14.6%). Orders rose 6.4% in 1H26 and 7.6% in 2Q26.</w:t>
      </w:r>
    </w:p>
    <w:p>
      <w:pPr>
        <w:pStyle w:val="ListParagraph"/>
        <w:numPr>
          <w:ilvl w:val="0"/>
          <w:numId w:val="3"/>
        </w:numPr>
        <w:spacing w:after="60" w:line="252"/>
      </w:pPr>
      <w:r>
        <w:rPr>
          <w:rFonts w:ascii="Times New Roman" w:cs="Times New Roman" w:eastAsia="Times New Roman" w:hAnsi="Times New Roman"/>
          <w:b/>
          <w:bCs/>
        </w:rPr>
        <w:t xml:space="preserve">Revenue per order is being diluted by mix, not weak demand.</w:t>
      </w:r>
    </w:p>
    <w:p>
      <w:pPr>
        <w:pStyle w:val="ListParagraph"/>
        <w:numPr>
          <w:ilvl w:val="1"/>
          <w:numId w:val="3"/>
        </w:numPr>
        <w:spacing w:after="60" w:line="252"/>
      </w:pPr>
      <w:r>
        <w:rPr>
          <w:rFonts w:ascii="Times New Roman" w:cs="Times New Roman" w:eastAsia="Times New Roman" w:hAnsi="Times New Roman"/>
        </w:rPr>
        <w:t xml:space="preserve">The marketplace, where SHEIN books only its commission and fulfilment fees as revenue, rose to 13.4% of 1H26 revenue from 10.8% in 1H25.</w:t>
      </w:r>
    </w:p>
    <w:p>
      <w:pPr>
        <w:pStyle w:val="ListParagraph"/>
        <w:numPr>
          <w:ilvl w:val="1"/>
          <w:numId w:val="3"/>
        </w:numPr>
        <w:spacing w:after="60" w:line="252"/>
      </w:pPr>
      <w:r>
        <w:rPr>
          <w:rFonts w:ascii="Times New Roman" w:cs="Times New Roman" w:eastAsia="Times New Roman" w:hAnsi="Times New Roman"/>
        </w:rPr>
        <w:t xml:space="preserve">The fastest-growing region (rest of the world, +16.0% in 1H26, led by Latin America) has lower basket values.</w:t>
      </w:r>
    </w:p>
    <w:p>
      <w:pPr>
        <w:pStyle w:val="ListParagraph"/>
        <w:numPr>
          <w:ilvl w:val="0"/>
          <w:numId w:val="3"/>
        </w:numPr>
        <w:spacing w:after="60" w:line="252"/>
      </w:pPr>
      <w:r>
        <w:rPr>
          <w:rFonts w:ascii="Times New Roman" w:cs="Times New Roman" w:eastAsia="Times New Roman" w:hAnsi="Times New Roman"/>
          <w:b/>
          <w:bCs/>
        </w:rPr>
        <w:t xml:space="preserve">Implied gross sales are growing faster than reported revenue.</w:t>
      </w:r>
      <w:r>
        <w:rPr>
          <w:rFonts w:ascii="Times New Roman" w:cs="Times New Roman" w:eastAsia="Times New Roman" w:hAnsi="Times New Roman"/>
        </w:rPr>
        <w:t xml:space="preserve"> Using an assumed 25% blended take rate, first-party revenue plus marketplace GMV grew ~4.9% in FY2026E, vs. 0.1% reported revenue growth.</w:t>
      </w:r>
    </w:p>
    <w:p>
      <w:pPr>
        <w:spacing w:after="120" w:line="264"/>
        <w:jc w:val="both"/>
      </w:pPr>
      <w:r>
        <w:rPr>
          <w:rFonts w:ascii="Times New Roman" w:cs="Times New Roman" w:eastAsia="Times New Roman" w:hAnsi="Times New Roman"/>
        </w:rPr>
        <w:t xml:space="preserve">The two genuinely negative drivers are regional and policy-driven:</w:t>
      </w:r>
    </w:p>
    <w:p>
      <w:pPr>
        <w:pStyle w:val="ListParagraph"/>
        <w:numPr>
          <w:ilvl w:val="0"/>
          <w:numId w:val="3"/>
        </w:numPr>
        <w:spacing w:after="60" w:line="252"/>
      </w:pPr>
      <w:r>
        <w:rPr>
          <w:rFonts w:ascii="Times New Roman" w:cs="Times New Roman" w:eastAsia="Times New Roman" w:hAnsi="Times New Roman"/>
          <w:b/>
          <w:bCs/>
        </w:rPr>
        <w:t xml:space="preserve">US (–9.9% in 1H26).</w:t>
      </w:r>
      <w:r>
        <w:rPr>
          <w:rFonts w:ascii="Times New Roman" w:cs="Times New Roman" w:eastAsia="Times New Roman" w:hAnsi="Times New Roman"/>
        </w:rPr>
        <w:t xml:space="preserve"> This reflects the May-2025 removal of the de minimis exemption.</w:t>
      </w:r>
    </w:p>
    <w:p>
      <w:pPr>
        <w:pStyle w:val="ListParagraph"/>
        <w:numPr>
          <w:ilvl w:val="0"/>
          <w:numId w:val="3"/>
        </w:numPr>
        <w:spacing w:after="60" w:line="252"/>
      </w:pPr>
      <w:r>
        <w:rPr>
          <w:rFonts w:ascii="Times New Roman" w:cs="Times New Roman" w:eastAsia="Times New Roman" w:hAnsi="Times New Roman"/>
          <w:b/>
          <w:bCs/>
        </w:rPr>
        <w:t xml:space="preserve">Europe (–13.9% in 2Q26).</w:t>
      </w:r>
      <w:r>
        <w:rPr>
          <w:rFonts w:ascii="Times New Roman" w:cs="Times New Roman" w:eastAsia="Times New Roman" w:hAnsi="Times New Roman"/>
        </w:rPr>
        <w:t xml:space="preserve"> SHEIN raised prices and cut advertising ahead of the EU's €3-per-item duty on low-value parcels from 1-Jul-2026.</w:t>
      </w:r>
    </w:p>
    <w:p>
      <w:pPr>
        <w:spacing w:after="120" w:line="264"/>
        <w:jc w:val="both"/>
      </w:pPr>
      <w:r>
        <w:rPr>
          <w:rFonts w:ascii="Times New Roman" w:cs="Times New Roman" w:eastAsia="Times New Roman" w:hAnsi="Times New Roman"/>
        </w:rPr>
        <w:t xml:space="preserve">The US experience is instructive: after a sharp initial drop, the decline narrowed to 6.0% in 2Q26 as consumer behaviour normalised. We expect a similar path in Europe over 2H26-1H27, supported by localised inventory (18 European warehouses, 1.0m m²).</w:t>
      </w:r>
    </w:p>
    <w:p>
      <w:pPr>
        <w:pStyle w:val="Heading2"/>
        <w:keepNext/>
      </w:pPr>
      <w:bookmarkStart w:name="h_5" w:id="5"/>
      <w:r>
        <w:t xml:space="preserve">Pillar 4: Margin recovery is plausible and not heroic</w:t>
      </w:r>
      <w:bookmarkEnd w:id="5"/>
    </w:p>
    <w:p>
      <w:pPr>
        <w:spacing w:after="120" w:line="264"/>
        <w:jc w:val="both"/>
      </w:pPr>
      <w:r>
        <w:rPr>
          <w:rFonts w:ascii="Times New Roman" w:cs="Times New Roman" w:eastAsia="Times New Roman" w:hAnsi="Times New Roman"/>
        </w:rPr>
        <w:t xml:space="preserve">Our base case takes the EBIT margin from 2.5% in FY2026E to 3.0% in FY2027E, 3.7% in FY2028E and 4.6% by FY2031E. Adjusted EBIT margins run from 2.7% to 4.9% over the same period. These are not heroic assumptions. SHEIN delivered 4.3% in FY2023 and 4.1% in FY2025, and 5.2% in 1H25.</w:t>
      </w:r>
    </w:p>
    <w:p>
      <w:pPr>
        <w:spacing w:after="120" w:line="264"/>
        <w:jc w:val="both"/>
      </w:pPr>
      <w:r>
        <w:rPr>
          <w:rFonts w:ascii="Times New Roman" w:cs="Times New Roman" w:eastAsia="Times New Roman" w:hAnsi="Times New Roman"/>
        </w:rPr>
        <w:t xml:space="preserve">The recovery rests on four levers:</w:t>
      </w:r>
    </w:p>
    <w:p>
      <w:pPr>
        <w:pStyle w:val="ListParagraph"/>
        <w:numPr>
          <w:ilvl w:val="0"/>
          <w:numId w:val="3"/>
        </w:numPr>
        <w:spacing w:after="60" w:line="252"/>
      </w:pPr>
      <w:r>
        <w:rPr>
          <w:rFonts w:ascii="Times New Roman" w:cs="Times New Roman" w:eastAsia="Times New Roman" w:hAnsi="Times New Roman"/>
          <w:b/>
          <w:bCs/>
        </w:rPr>
        <w:t xml:space="preserve">Freight normalisation.</w:t>
      </w:r>
      <w:r>
        <w:rPr>
          <w:rFonts w:ascii="Times New Roman" w:cs="Times New Roman" w:eastAsia="Times New Roman" w:hAnsi="Times New Roman"/>
        </w:rPr>
        <w:t xml:space="preserve"> 2Q26 fulfilment was 50.4% of revenue vs. 43.1% a year earlier. Management attributes most of the gap to oil and freight, and has long-term air-freight capacity agreements.</w:t>
      </w:r>
    </w:p>
    <w:p>
      <w:pPr>
        <w:pStyle w:val="ListParagraph"/>
        <w:numPr>
          <w:ilvl w:val="0"/>
          <w:numId w:val="3"/>
        </w:numPr>
        <w:spacing w:after="60" w:line="252"/>
      </w:pPr>
      <w:r>
        <w:rPr>
          <w:rFonts w:ascii="Times New Roman" w:cs="Times New Roman" w:eastAsia="Times New Roman" w:hAnsi="Times New Roman"/>
          <w:b/>
          <w:bCs/>
        </w:rPr>
        <w:t xml:space="preserve">Higher price points.</w:t>
      </w:r>
      <w:r>
        <w:rPr>
          <w:rFonts w:ascii="Times New Roman" w:cs="Times New Roman" w:eastAsia="Times New Roman" w:hAnsi="Times New Roman"/>
        </w:rPr>
        <w:t xml:space="preserve"> The chairman's first priority is to broaden the price range toward higher-priced brands, which lifts revenue per order against a largely fixed per-parcel fulfilment cost. The acquisitions of Everlane, MUSERA and Aloruh illustrate the direction.</w:t>
      </w:r>
    </w:p>
    <w:p>
      <w:pPr>
        <w:pStyle w:val="ListParagraph"/>
        <w:numPr>
          <w:ilvl w:val="0"/>
          <w:numId w:val="3"/>
        </w:numPr>
        <w:spacing w:after="60" w:line="252"/>
      </w:pPr>
      <w:r>
        <w:rPr>
          <w:rFonts w:ascii="Times New Roman" w:cs="Times New Roman" w:eastAsia="Times New Roman" w:hAnsi="Times New Roman"/>
          <w:b/>
          <w:bCs/>
        </w:rPr>
        <w:t xml:space="preserve">Higher-margin revenue streams.</w:t>
      </w:r>
      <w:r>
        <w:rPr>
          <w:rFonts w:ascii="Times New Roman" w:cs="Times New Roman" w:eastAsia="Times New Roman" w:hAnsi="Times New Roman"/>
        </w:rPr>
        <w:t xml:space="preserve"> Brand-enablement (SHEIN Xcelerator) operating margins are about twice the group's. Marketplace commissions carry no cost of sales.</w:t>
      </w:r>
    </w:p>
    <w:p>
      <w:pPr>
        <w:pStyle w:val="ListParagraph"/>
        <w:numPr>
          <w:ilvl w:val="0"/>
          <w:numId w:val="3"/>
        </w:numPr>
        <w:spacing w:after="60" w:line="252"/>
      </w:pPr>
      <w:r>
        <w:rPr>
          <w:rFonts w:ascii="Times New Roman" w:cs="Times New Roman" w:eastAsia="Times New Roman" w:hAnsi="Times New Roman"/>
          <w:b/>
          <w:bCs/>
        </w:rPr>
        <w:t xml:space="preserve">Marketing discipline.</w:t>
      </w:r>
      <w:r>
        <w:rPr>
          <w:rFonts w:ascii="Times New Roman" w:cs="Times New Roman" w:eastAsia="Times New Roman" w:hAnsi="Times New Roman"/>
        </w:rPr>
        <w:t xml:space="preserve"> Marketing rose from 10.7% of revenue in FY2024 to 14.8% in FY2025. We assume it eases to 13.2% by FY2029E, still well above FY2024.</w:t>
      </w:r>
    </w:p>
    <w:p>
      <w:pPr>
        <w:spacing w:after="120" w:line="264"/>
        <w:jc w:val="both"/>
      </w:pPr>
      <w:r>
        <w:rPr>
          <w:rFonts w:ascii="Times New Roman" w:cs="Times New Roman" w:eastAsia="Times New Roman" w:hAnsi="Times New Roman"/>
        </w:rPr>
        <w:t xml:space="preserve">Our base case keeps fulfilment at 50.0-50.5% of revenue throughout, above the 45.6% FY2025 level. Duty costs are assumed to be a permanent feature of the model.</w:t>
      </w:r>
    </w:p>
    <w:p>
      <w:pPr>
        <w:pStyle w:val="Heading2"/>
        <w:keepNext/>
      </w:pPr>
      <w:bookmarkStart w:name="h_6" w:id="6"/>
      <w:r>
        <w:t xml:space="preserve">Pillar 5: Shareholder returns and governance commitments put a floor under the equity story</w:t>
      </w:r>
      <w:bookmarkEnd w:id="6"/>
    </w:p>
    <w:p>
      <w:pPr>
        <w:spacing w:after="120" w:line="264"/>
        <w:jc w:val="both"/>
      </w:pPr>
      <w:r>
        <w:rPr>
          <w:rFonts w:ascii="Times New Roman" w:cs="Times New Roman" w:eastAsia="Times New Roman" w:hAnsi="Times New Roman"/>
        </w:rPr>
        <w:t xml:space="preserve">SHEIN's board has adopted a dividend policy targeting </w:t>
      </w:r>
      <w:r>
        <w:rPr>
          <w:rFonts w:ascii="Times New Roman" w:cs="Times New Roman" w:eastAsia="Times New Roman" w:hAnsi="Times New Roman"/>
          <w:b/>
          <w:bCs/>
        </w:rPr>
        <w:t xml:space="preserve">at least 50% of annual net profit</w:t>
      </w:r>
      <w:r>
        <w:rPr>
          <w:rFonts w:ascii="Times New Roman" w:cs="Times New Roman" w:eastAsia="Times New Roman" w:hAnsi="Times New Roman"/>
        </w:rPr>
        <w:t xml:space="preserve"> after significant capital expenditure. Applying 50% to our adjusted net income, the first dividend would be about US$575m (HK$1.02 per share, 3.3% yield), declared with FY2026 results around March 2027. It would rise to HK$1.29 (4.2%) for FY2027E. Note that IFRS net income in FY2026E will be inflated by ~US$5.9bn of non-cash fair-value gains on the preferred shares, so a payout based on reported earnings would be far larger. We assume the board uses adjusted earnings.</w:t>
      </w:r>
    </w:p>
    <w:p>
      <w:pPr>
        <w:spacing w:after="120" w:line="264"/>
        <w:jc w:val="both"/>
      </w:pPr>
      <w:r>
        <w:rPr>
          <w:rFonts w:ascii="Times New Roman" w:cs="Times New Roman" w:eastAsia="Times New Roman" w:hAnsi="Times New Roman"/>
        </w:rPr>
        <w:t xml:space="preserve">The company also has a general repurchase mandate from listing. With the shares 36% below the IPO price and cash covering most of the market value, a buyback would be an obvious lever.</w:t>
      </w:r>
    </w:p>
    <w:p>
      <w:pPr>
        <w:spacing w:after="120" w:line="264"/>
        <w:jc w:val="both"/>
      </w:pPr>
      <w:r>
        <w:rPr>
          <w:rFonts w:ascii="Times New Roman" w:cs="Times New Roman" w:eastAsia="Times New Roman" w:hAnsi="Times New Roman"/>
        </w:rPr>
        <w:t xml:space="preserve">We are not naive about governance:</w:t>
      </w:r>
    </w:p>
    <w:p>
      <w:pPr>
        <w:pStyle w:val="ListParagraph"/>
        <w:numPr>
          <w:ilvl w:val="0"/>
          <w:numId w:val="3"/>
        </w:numPr>
        <w:spacing w:after="60" w:line="252"/>
      </w:pPr>
      <w:r>
        <w:rPr>
          <w:rFonts w:ascii="Times New Roman" w:cs="Times New Roman" w:eastAsia="Times New Roman" w:hAnsi="Times New Roman"/>
        </w:rPr>
        <w:t xml:space="preserve">The four founders control </w:t>
      </w:r>
      <w:r>
        <w:rPr>
          <w:rFonts w:ascii="Times New Roman" w:cs="Times New Roman" w:eastAsia="Times New Roman" w:hAnsi="Times New Roman"/>
          <w:b/>
          <w:bCs/>
        </w:rPr>
        <w:t xml:space="preserve">83.3% of the votes</w:t>
      </w:r>
      <w:r>
        <w:rPr>
          <w:rFonts w:ascii="Times New Roman" w:cs="Times New Roman" w:eastAsia="Times New Roman" w:hAnsi="Times New Roman"/>
        </w:rPr>
        <w:t xml:space="preserve"> through Class A shares.</w:t>
      </w:r>
    </w:p>
    <w:p>
      <w:pPr>
        <w:pStyle w:val="ListParagraph"/>
        <w:numPr>
          <w:ilvl w:val="0"/>
          <w:numId w:val="3"/>
        </w:numPr>
        <w:spacing w:after="60" w:line="252"/>
      </w:pPr>
      <w:r>
        <w:rPr>
          <w:rFonts w:ascii="Times New Roman" w:cs="Times New Roman" w:eastAsia="Times New Roman" w:hAnsi="Times New Roman"/>
        </w:rPr>
        <w:t xml:space="preserve">The CEO also chairs the board.</w:t>
      </w:r>
    </w:p>
    <w:p>
      <w:pPr>
        <w:pStyle w:val="ListParagraph"/>
        <w:numPr>
          <w:ilvl w:val="0"/>
          <w:numId w:val="3"/>
        </w:numPr>
        <w:spacing w:after="60" w:line="252"/>
      </w:pPr>
      <w:r>
        <w:rPr>
          <w:rFonts w:ascii="Times New Roman" w:cs="Times New Roman" w:eastAsia="Times New Roman" w:hAnsi="Times New Roman"/>
        </w:rPr>
        <w:t xml:space="preserve">About US$3.5bn of cash went to preferred holders around the listing.</w:t>
      </w:r>
    </w:p>
    <w:p>
      <w:pPr>
        <w:spacing w:after="120" w:line="264"/>
        <w:jc w:val="both"/>
      </w:pPr>
      <w:r>
        <w:rPr>
          <w:rFonts w:ascii="Times New Roman" w:cs="Times New Roman" w:eastAsia="Times New Roman" w:hAnsi="Times New Roman"/>
        </w:rPr>
        <w:t xml:space="preserve">However, the founders' 24-month lock-up, a credible independent-director slate and the dividend commitment align the controlling shareholders with minorities more than the share price implies.</w:t>
      </w:r>
    </w:p>
    <w:p>
      <w:pPr>
        <w:keepNext/>
        <w:spacing w:after="60" w:before="160"/>
      </w:pPr>
      <w:r>
        <w:rPr>
          <w:rFonts w:ascii="Times New Roman" w:cs="Times New Roman" w:eastAsia="Times New Roman" w:hAnsi="Times New Roman"/>
          <w:b/>
          <w:bCs/>
          <w:color w:val="1F3A5F"/>
          <w:sz w:val="18"/>
          <w:szCs w:val="18"/>
        </w:rPr>
        <w:t xml:space="preserve">Figure 5: </w:t>
      </w:r>
      <w:r>
        <w:rPr>
          <w:rFonts w:ascii="Times New Roman" w:cs="Times New Roman" w:eastAsia="Times New Roman" w:hAnsi="Times New Roman"/>
          <w:b/>
          <w:bCs/>
          <w:color w:val="1F3A5F"/>
          <w:sz w:val="18"/>
          <w:szCs w:val="18"/>
        </w:rPr>
        <w:t xml:space="preserve">Valuation multiples since listing on our FY2027E estimates</w:t>
      </w:r>
    </w:p>
    <w:p>
      <w:pPr>
        <w:keepNext/>
        <w:spacing w:after="20"/>
        <w:jc w:val="center"/>
      </w:pPr>
      <w:r>
        <w:drawing>
          <wp:inline distT="0" distB="0" distL="0" distR="0">
            <wp:extent cx="5762625" cy="2609850"/>
            <wp:effectExtent t="0" r="0" b="0" l="0"/>
            <wp:docPr id="3" name="chart_34_historical_valuation_multiples.png" descr="Valuation multiples since listing on our FY2027E estimates" title="Valuation multiples since listing on our FY2027E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609850"/>
                    </a:xfrm>
                    <a:prstGeom prst="rect">
                      <a:avLst/>
                    </a:prstGeom>
                  </pic:spPr>
                </pic:pic>
              </a:graphicData>
            </a:graphic>
          </wp:inline>
        </w:drawing>
      </w:r>
    </w:p>
    <w:p>
      <w:pPr>
        <w:spacing w:after="120"/>
      </w:pPr>
    </w:p>
    <w:p>
      <w:pPr>
        <w:pStyle w:val="Heading1"/>
        <w:keepNext/>
      </w:pPr>
      <w:bookmarkStart w:name="h_7" w:id="7"/>
      <w:r>
        <w:t xml:space="preserve">Key Risks</w:t>
      </w:r>
      <w:bookmarkEnd w:id="7"/>
    </w:p>
    <w:p>
      <w:pPr>
        <w:spacing w:after="120" w:line="264"/>
        <w:jc w:val="both"/>
      </w:pPr>
      <w:r>
        <w:rPr>
          <w:rFonts w:ascii="Times New Roman" w:cs="Times New Roman" w:eastAsia="Times New Roman" w:hAnsi="Times New Roman"/>
        </w:rPr>
        <w:t xml:space="preserve">We categorise the principal risks below and give a probability and share-price impact assessment for each. A detailed discussion of each risk follows the table.</w:t>
      </w:r>
    </w:p>
    <w:p>
      <w:pPr>
        <w:keepNext/>
        <w:spacing w:after="60" w:before="160"/>
      </w:pPr>
      <w:r>
        <w:rPr>
          <w:rFonts w:ascii="Times New Roman" w:cs="Times New Roman" w:eastAsia="Times New Roman" w:hAnsi="Times New Roman"/>
          <w:b/>
          <w:bCs/>
          <w:color w:val="1F3A5F"/>
          <w:sz w:val="18"/>
          <w:szCs w:val="18"/>
        </w:rPr>
        <w:t xml:space="preserve">Figure 6: </w:t>
      </w:r>
      <w:r>
        <w:rPr>
          <w:rFonts w:ascii="Times New Roman" w:cs="Times New Roman" w:eastAsia="Times New Roman" w:hAnsi="Times New Roman"/>
          <w:b/>
          <w:bCs/>
          <w:color w:val="1F3A5F"/>
          <w:sz w:val="18"/>
          <w:szCs w:val="18"/>
        </w:rPr>
        <w:t xml:space="preserve">Risk matrix: probability and estimated share-price impact</w:t>
      </w:r>
    </w:p>
    <w:tbl>
      <w:tblPr>
        <w:tblW w:type="dxa" w:w="95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0"/>
        <w:gridCol w:w="1321"/>
        <w:gridCol w:w="1225"/>
        <w:gridCol w:w="1225"/>
        <w:gridCol w:w="2917"/>
      </w:tblGrid>
      <w:tr>
        <w:trPr>
          <w:cantSplit/>
          <w:tblHeader/>
        </w:trPr>
        <w:tc>
          <w:tcPr>
            <w:tcW w:type="dxa" w:w="291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Risk</w:t>
            </w:r>
          </w:p>
        </w:tc>
        <w:tc>
          <w:tcPr>
            <w:tcW w:type="dxa" w:w="1321"/>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Category</w:t>
            </w:r>
          </w:p>
        </w:tc>
        <w:tc>
          <w:tcPr>
            <w:tcW w:type="dxa" w:w="1225"/>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Probability</w:t>
            </w:r>
          </w:p>
        </w:tc>
        <w:tc>
          <w:tcPr>
            <w:tcW w:type="dxa" w:w="1225"/>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Impact on value</w:t>
            </w:r>
          </w:p>
        </w:tc>
        <w:tc>
          <w:tcPr>
            <w:tcW w:type="dxa" w:w="2917"/>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Mitigant / what we assume</w:t>
            </w:r>
          </w:p>
        </w:tc>
      </w:tr>
      <w:tr>
        <w:trPr>
          <w:cantSplit/>
        </w:trPr>
        <w:tc>
          <w:tcPr>
            <w:tcW w:type="dxa" w:w="291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EU duty impact worse than the US precedent</w:t>
            </w:r>
          </w:p>
        </w:tc>
        <w:tc>
          <w:tcPr>
            <w:tcW w:type="dxa" w:w="132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Trade policy</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Medium</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w:t>
            </w:r>
          </w:p>
        </w:tc>
        <w:tc>
          <w:tcPr>
            <w:tcW w:type="dxa" w:w="291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Bear case: Europe –10% in FY27E, –2% in FY28E</w:t>
            </w:r>
          </w:p>
        </w:tc>
      </w:tr>
      <w:tr>
        <w:trPr>
          <w:cantSplit/>
        </w:trPr>
        <w:tc>
          <w:tcPr>
            <w:tcW w:type="dxa" w:w="291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Large EU DSA or US FTC penalty</w:t>
            </w:r>
          </w:p>
        </w:tc>
        <w:tc>
          <w:tcPr>
            <w:tcW w:type="dxa" w:w="132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Regulatory</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Medium</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 to –20%</w:t>
            </w:r>
          </w:p>
        </w:tc>
        <w:tc>
          <w:tcPr>
            <w:tcW w:type="dxa" w:w="291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US$1.0bn reserve deducted in DCF; DSA cap 6% of turnover</w:t>
            </w:r>
          </w:p>
        </w:tc>
      </w:tr>
      <w:tr>
        <w:trPr>
          <w:cantSplit/>
        </w:trPr>
        <w:tc>
          <w:tcPr>
            <w:tcW w:type="dxa" w:w="291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Pre-IPO lock-up expiry (~1-Mar-2027)</w:t>
            </w:r>
          </w:p>
        </w:tc>
        <w:tc>
          <w:tcPr>
            <w:tcW w:type="dxa" w:w="132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Technical</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High</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 (temporary)</w:t>
            </w:r>
          </w:p>
        </w:tc>
        <w:tc>
          <w:tcPr>
            <w:tcW w:type="dxa" w:w="291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~34% of shares; cost bases from US$0.01 to US$23.72</w:t>
            </w:r>
          </w:p>
        </w:tc>
      </w:tr>
      <w:tr>
        <w:trPr>
          <w:cantSplit/>
        </w:trPr>
        <w:tc>
          <w:tcPr>
            <w:tcW w:type="dxa" w:w="291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Margin fails to recover (freight, duties, competition)</w:t>
            </w:r>
          </w:p>
        </w:tc>
        <w:tc>
          <w:tcPr>
            <w:tcW w:type="dxa" w:w="132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Operating</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Medium</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w:t>
            </w:r>
          </w:p>
        </w:tc>
        <w:tc>
          <w:tcPr>
            <w:tcW w:type="dxa" w:w="291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Bear case 1.8% FY27E adj. EBIT margin → HK$29.6</w:t>
            </w:r>
          </w:p>
        </w:tc>
      </w:tr>
      <w:tr>
        <w:trPr>
          <w:cantSplit/>
        </w:trPr>
        <w:tc>
          <w:tcPr>
            <w:tcW w:type="dxa" w:w="291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US-China escalation (tariff truce ends 10-Nov-2026)</w:t>
            </w:r>
          </w:p>
        </w:tc>
        <w:tc>
          <w:tcPr>
            <w:tcW w:type="dxa" w:w="132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Geopolitical</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Medium</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291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 22% of FY26E revenue</w:t>
            </w:r>
          </w:p>
        </w:tc>
      </w:tr>
      <w:tr>
        <w:trPr>
          <w:cantSplit/>
        </w:trPr>
        <w:tc>
          <w:tcPr>
            <w:tcW w:type="dxa" w:w="291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Supply-chain labour or forced-labour allegations</w:t>
            </w:r>
          </w:p>
        </w:tc>
        <w:tc>
          <w:tcPr>
            <w:tcW w:type="dxa" w:w="132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ESG</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Low-Medium</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291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5,150 SRS audits in 2025; &gt;99% third-party</w:t>
            </w:r>
          </w:p>
        </w:tc>
      </w:tr>
      <w:tr>
        <w:trPr>
          <w:cantSplit/>
        </w:trPr>
        <w:tc>
          <w:tcPr>
            <w:tcW w:type="dxa" w:w="291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Capital misallocation / large M&amp;A</w:t>
            </w:r>
          </w:p>
        </w:tc>
        <w:tc>
          <w:tcPr>
            <w:tcW w:type="dxa" w:w="132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Governance</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Low</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291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Dividend policy; INED oversight</w:t>
            </w:r>
          </w:p>
        </w:tc>
      </w:tr>
      <w:tr>
        <w:trPr>
          <w:cantSplit/>
        </w:trPr>
        <w:tc>
          <w:tcPr>
            <w:tcW w:type="dxa" w:w="291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Competitive escalation (Temu, TikTok Shop, Amazon Haul)</w:t>
            </w:r>
          </w:p>
        </w:tc>
        <w:tc>
          <w:tcPr>
            <w:tcW w:type="dxa" w:w="132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Competition</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Medium</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291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Marketing held at 13.2-13.8% of revenue</w:t>
            </w:r>
          </w:p>
        </w:tc>
      </w:tr>
      <w:tr>
        <w:trPr>
          <w:cantSplit/>
        </w:trPr>
        <w:tc>
          <w:tcPr>
            <w:tcW w:type="dxa" w:w="291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Interest-rate cuts reduce interest income</w:t>
            </w:r>
          </w:p>
        </w:tc>
        <w:tc>
          <w:tcPr>
            <w:tcW w:type="dxa" w:w="132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Financial</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Medium</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w:t>
            </w:r>
          </w:p>
        </w:tc>
        <w:tc>
          <w:tcPr>
            <w:tcW w:type="dxa" w:w="291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Yield falls from 4.1% (FY26E) to 3.3% in our model</w:t>
            </w:r>
          </w:p>
        </w:tc>
      </w:tr>
      <w:tr>
        <w:trPr>
          <w:cantSplit/>
        </w:trPr>
        <w:tc>
          <w:tcPr>
            <w:tcW w:type="dxa" w:w="291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Upside:</w:t>
            </w:r>
            <w:r>
              <w:rPr>
                <w:rFonts w:ascii="Times New Roman" w:cs="Times New Roman" w:eastAsia="Times New Roman" w:hAnsi="Times New Roman"/>
                <w:b w:val="false"/>
                <w:bCs w:val="false"/>
                <w:i w:val="false"/>
                <w:iCs w:val="false"/>
                <w:color w:val="000000"/>
                <w:sz w:val="16"/>
                <w:szCs w:val="16"/>
              </w:rPr>
              <w:t xml:space="preserve"> buyback / special dividend</w:t>
            </w:r>
          </w:p>
        </w:tc>
        <w:tc>
          <w:tcPr>
            <w:tcW w:type="dxa" w:w="132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Capital return</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Low-Medium</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291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Not in estimates</w:t>
            </w:r>
          </w:p>
        </w:tc>
      </w:tr>
      <w:tr>
        <w:trPr>
          <w:cantSplit/>
        </w:trPr>
        <w:tc>
          <w:tcPr>
            <w:tcW w:type="dxa" w:w="2910"/>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6"/>
                <w:szCs w:val="16"/>
              </w:rPr>
              <w:t xml:space="preserve">Upside:</w:t>
            </w:r>
            <w:r>
              <w:rPr>
                <w:rFonts w:ascii="Times New Roman" w:cs="Times New Roman" w:eastAsia="Times New Roman" w:hAnsi="Times New Roman"/>
                <w:b w:val="false"/>
                <w:bCs w:val="false"/>
                <w:i w:val="false"/>
                <w:iCs w:val="false"/>
                <w:color w:val="000000"/>
                <w:sz w:val="16"/>
                <w:szCs w:val="16"/>
              </w:rPr>
              <w:t xml:space="preserve"> faster freight normalisation</w:t>
            </w:r>
          </w:p>
        </w:tc>
        <w:tc>
          <w:tcPr>
            <w:tcW w:type="dxa" w:w="1321"/>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Operating</w:t>
            </w:r>
          </w:p>
        </w:tc>
        <w:tc>
          <w:tcPr>
            <w:tcW w:type="dxa" w:w="1225"/>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Medium</w:t>
            </w:r>
          </w:p>
        </w:tc>
        <w:tc>
          <w:tcPr>
            <w:tcW w:type="dxa" w:w="1225"/>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+10-15%</w:t>
            </w:r>
          </w:p>
        </w:tc>
        <w:tc>
          <w:tcPr>
            <w:tcW w:type="dxa" w:w="2917"/>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1pp of fulfilment ratio ≈ US$0.44bn EBIT</w:t>
            </w:r>
          </w:p>
        </w:tc>
      </w:tr>
    </w:tbl>
    <w:p>
      <w:pPr>
        <w:spacing w:after="120"/>
      </w:pPr>
    </w:p>
    <w:p>
      <w:pPr>
        <w:pStyle w:val="Heading3"/>
        <w:keepNext/>
      </w:pPr>
      <w:bookmarkStart w:name="h_8" w:id="8"/>
      <w:r>
        <w:t xml:space="preserve">Company-specific risks</w:t>
      </w:r>
      <w:bookmarkEnd w:id="8"/>
    </w:p>
    <w:p>
      <w:pPr>
        <w:tabs>
          <w:tab w:val="left" w:pos="400"/>
        </w:tabs>
        <w:spacing w:after="80" w:line="252"/>
        <w:ind w:left="400" w:hanging="400"/>
      </w:pPr>
      <w:r>
        <w:rPr>
          <w:rFonts w:ascii="Times New Roman" w:cs="Times New Roman" w:eastAsia="Times New Roman" w:hAnsi="Times New Roman"/>
        </w:rPr>
        <w:t xml:space="preserve">1.	</w:t>
      </w:r>
      <w:r>
        <w:rPr>
          <w:rFonts w:ascii="Times New Roman" w:cs="Times New Roman" w:eastAsia="Times New Roman" w:hAnsi="Times New Roman"/>
          <w:b/>
          <w:bCs/>
        </w:rPr>
        <w:t xml:space="preserve">Trade-policy and duty risk (High).</w:t>
      </w:r>
      <w:r>
        <w:rPr>
          <w:rFonts w:ascii="Times New Roman" w:cs="Times New Roman" w:eastAsia="Times New Roman" w:hAnsi="Times New Roman"/>
        </w:rPr>
        <w:t xml:space="preserve"> Over 90% of 2025 revenue shipped from Chinese warehouses. The US ended de minimis in 2025 (tariff rates on China-origin goods now 10-87.5% versus 0-62.5% earlier); the EU abolished its €150 exemption from July 2026 and will add a handling fee. SHEIN warns EU trends could be "in line with or exceed" the US experience, where revenue fell 9.9% in 1H26. Duties are booked in fulfilment expenses. Further escalation (e.g., the China-US tariff truce expiring on 10 November 2026) is a direct margin risk.</w:t>
      </w:r>
    </w:p>
    <w:p>
      <w:pPr>
        <w:tabs>
          <w:tab w:val="left" w:pos="400"/>
        </w:tabs>
        <w:spacing w:after="80" w:line="252"/>
        <w:ind w:left="400" w:hanging="400"/>
      </w:pPr>
      <w:r>
        <w:rPr>
          <w:rFonts w:ascii="Times New Roman" w:cs="Times New Roman" w:eastAsia="Times New Roman" w:hAnsi="Times New Roman"/>
        </w:rPr>
        <w:t xml:space="preserve">2.	</w:t>
      </w:r>
      <w:r>
        <w:rPr>
          <w:rFonts w:ascii="Times New Roman" w:cs="Times New Roman" w:eastAsia="Times New Roman" w:hAnsi="Times New Roman"/>
          <w:b/>
          <w:bCs/>
        </w:rPr>
        <w:t xml:space="preserve">Regulatory and legal risk (High).</w:t>
      </w:r>
      <w:r>
        <w:rPr>
          <w:rFonts w:ascii="Times New Roman" w:cs="Times New Roman" w:eastAsia="Times New Roman" w:hAnsi="Times New Roman"/>
        </w:rPr>
        <w:t xml:space="preserve"> Active matters include: an EU Digital Services Act formal investigation (opened February 2026; DSA fines can reach 6% of global turnover); an FTC investigation of US operations that could lead to a "significant" settlement; a CNIL €150m fine under appeal; €22.5m DGCCRF fines (June 2026) being contested; an Irish DPC inquiry into EU-to-China data transfers (April 2026); and Temu litigation in the US and UK. Provisions were ~US$80m at March 2026 plus the CNIL provision. We deduct a US$1.0bn contingency reserve in our valuation.</w:t>
      </w:r>
    </w:p>
    <w:p>
      <w:pPr>
        <w:tabs>
          <w:tab w:val="left" w:pos="400"/>
        </w:tabs>
        <w:spacing w:after="80" w:line="252"/>
        <w:ind w:left="400" w:hanging="400"/>
      </w:pPr>
      <w:r>
        <w:rPr>
          <w:rFonts w:ascii="Times New Roman" w:cs="Times New Roman" w:eastAsia="Times New Roman" w:hAnsi="Times New Roman"/>
        </w:rPr>
        <w:t xml:space="preserve">3.	</w:t>
      </w:r>
      <w:r>
        <w:rPr>
          <w:rFonts w:ascii="Times New Roman" w:cs="Times New Roman" w:eastAsia="Times New Roman" w:hAnsi="Times New Roman"/>
          <w:b/>
          <w:bCs/>
        </w:rPr>
        <w:t xml:space="preserve">Margin-recovery execution risk (High).</w:t>
      </w:r>
      <w:r>
        <w:rPr>
          <w:rFonts w:ascii="Times New Roman" w:cs="Times New Roman" w:eastAsia="Times New Roman" w:hAnsi="Times New Roman"/>
        </w:rPr>
        <w:t xml:space="preserve"> Operating margin fell to 2.4% in 1H26 (2Q26: 2.1%) from 5.2% in 1H25 as fulfilment costs rose to 50.4% of revenue. Our base case assumes margins recover to ~3.0% in 2027 and ~4.6% by 2031; failure to pass on duties, sustained high freight, or the costs of local inventory could keep margins near 2%.</w:t>
      </w:r>
    </w:p>
    <w:p>
      <w:pPr>
        <w:tabs>
          <w:tab w:val="left" w:pos="400"/>
        </w:tabs>
        <w:spacing w:after="80" w:line="252"/>
        <w:ind w:left="400" w:hanging="400"/>
      </w:pPr>
      <w:r>
        <w:rPr>
          <w:rFonts w:ascii="Times New Roman" w:cs="Times New Roman" w:eastAsia="Times New Roman" w:hAnsi="Times New Roman"/>
        </w:rPr>
        <w:t xml:space="preserve">4.	</w:t>
      </w:r>
      <w:r>
        <w:rPr>
          <w:rFonts w:ascii="Times New Roman" w:cs="Times New Roman" w:eastAsia="Times New Roman" w:hAnsi="Times New Roman"/>
          <w:b/>
          <w:bCs/>
        </w:rPr>
        <w:t xml:space="preserve">Labour, supply-chain and ESG risk (Medium-High).</w:t>
      </w:r>
      <w:r>
        <w:rPr>
          <w:rFonts w:ascii="Times New Roman" w:cs="Times New Roman" w:eastAsia="Times New Roman" w:hAnsi="Times New Roman"/>
        </w:rPr>
        <w:t xml:space="preserve"> SHEIN relies on thousands of SME suppliers and their subcontractors; audits cannot detect every violation. Allegations of labour abuses, forced labour in upstream cotton, or chemical-safety failures could trigger import restrictions (e.g., under US forced-labour law), consumer boycotts or ESG exclusions from institutional portfolios.</w:t>
      </w:r>
    </w:p>
    <w:p>
      <w:pPr>
        <w:tabs>
          <w:tab w:val="left" w:pos="400"/>
        </w:tabs>
        <w:spacing w:after="80" w:line="252"/>
        <w:ind w:left="400" w:hanging="400"/>
      </w:pPr>
      <w:r>
        <w:rPr>
          <w:rFonts w:ascii="Times New Roman" w:cs="Times New Roman" w:eastAsia="Times New Roman" w:hAnsi="Times New Roman"/>
        </w:rPr>
        <w:t xml:space="preserve">5.	</w:t>
      </w:r>
      <w:r>
        <w:rPr>
          <w:rFonts w:ascii="Times New Roman" w:cs="Times New Roman" w:eastAsia="Times New Roman" w:hAnsi="Times New Roman"/>
          <w:b/>
          <w:bCs/>
        </w:rPr>
        <w:t xml:space="preserve">Brand, IP and product-safety risk (Medium).</w:t>
      </w:r>
      <w:r>
        <w:rPr>
          <w:rFonts w:ascii="Times New Roman" w:cs="Times New Roman" w:eastAsia="Times New Roman" w:hAnsi="Times New Roman"/>
        </w:rPr>
        <w:t xml:space="preserve"> SHEIN is regularly subject to IP-infringement claims and product-safety findings (particularly on the marketplace); French authorities pursued SHEIN in 2025 over inappropriate marketplace products. Negative publicity can erode customer trust.</w:t>
      </w:r>
    </w:p>
    <w:p>
      <w:pPr>
        <w:tabs>
          <w:tab w:val="left" w:pos="400"/>
        </w:tabs>
        <w:spacing w:after="80" w:line="252"/>
        <w:ind w:left="400" w:hanging="400"/>
      </w:pPr>
      <w:r>
        <w:rPr>
          <w:rFonts w:ascii="Times New Roman" w:cs="Times New Roman" w:eastAsia="Times New Roman" w:hAnsi="Times New Roman"/>
        </w:rPr>
        <w:t xml:space="preserve">6.	</w:t>
      </w:r>
      <w:r>
        <w:rPr>
          <w:rFonts w:ascii="Times New Roman" w:cs="Times New Roman" w:eastAsia="Times New Roman" w:hAnsi="Times New Roman"/>
          <w:b/>
          <w:bCs/>
        </w:rPr>
        <w:t xml:space="preserve">Governance and capital-allocation risk (Medium).</w:t>
      </w:r>
      <w:r>
        <w:rPr>
          <w:rFonts w:ascii="Times New Roman" w:cs="Times New Roman" w:eastAsia="Times New Roman" w:hAnsi="Times New Roman"/>
        </w:rPr>
        <w:t xml:space="preserve"> WVR structure gives founders 83% of votes; CEO also chairs the Board; pre-IPO arrangements transferred ~US$3.5bn of cash to preferred holders. Minority shareholders have limited recourse if cash is deployed into low-return acquisitions (SPARC generated losses; Everlane is small).</w:t>
      </w:r>
    </w:p>
    <w:p>
      <w:pPr>
        <w:pStyle w:val="Heading3"/>
        <w:keepNext/>
      </w:pPr>
      <w:bookmarkStart w:name="h_9" w:id="9"/>
      <w:r>
        <w:t xml:space="preserve">Industry and market risks</w:t>
      </w:r>
      <w:bookmarkEnd w:id="9"/>
    </w:p>
    <w:p>
      <w:pPr>
        <w:tabs>
          <w:tab w:val="left" w:pos="400"/>
        </w:tabs>
        <w:spacing w:after="80" w:line="252"/>
        <w:ind w:left="400" w:hanging="400"/>
      </w:pPr>
      <w:r>
        <w:rPr>
          <w:rFonts w:ascii="Times New Roman" w:cs="Times New Roman" w:eastAsia="Times New Roman" w:hAnsi="Times New Roman"/>
        </w:rPr>
        <w:t xml:space="preserve">7.	</w:t>
      </w:r>
      <w:r>
        <w:rPr>
          <w:rFonts w:ascii="Times New Roman" w:cs="Times New Roman" w:eastAsia="Times New Roman" w:hAnsi="Times New Roman"/>
          <w:b/>
          <w:bCs/>
        </w:rPr>
        <w:t xml:space="preserve">Competitive intensity (High).</w:t>
      </w:r>
      <w:r>
        <w:rPr>
          <w:rFonts w:ascii="Times New Roman" w:cs="Times New Roman" w:eastAsia="Times New Roman" w:hAnsi="Times New Roman"/>
        </w:rPr>
        <w:t xml:space="preserve"> Temu, AliExpress, TikTok Shop and Amazon Haul compete for the same value customer; aggressive subsidies by better-funded platforms could force higher marketing spend (already 14.8% of revenue in 2025).</w:t>
      </w:r>
    </w:p>
    <w:p>
      <w:pPr>
        <w:tabs>
          <w:tab w:val="left" w:pos="400"/>
        </w:tabs>
        <w:spacing w:after="80" w:line="252"/>
        <w:ind w:left="400" w:hanging="400"/>
      </w:pPr>
      <w:r>
        <w:rPr>
          <w:rFonts w:ascii="Times New Roman" w:cs="Times New Roman" w:eastAsia="Times New Roman" w:hAnsi="Times New Roman"/>
        </w:rPr>
        <w:t xml:space="preserve">8.	</w:t>
      </w:r>
      <w:r>
        <w:rPr>
          <w:rFonts w:ascii="Times New Roman" w:cs="Times New Roman" w:eastAsia="Times New Roman" w:hAnsi="Times New Roman"/>
          <w:b/>
          <w:bCs/>
        </w:rPr>
        <w:t xml:space="preserve">Fashion and consumer-demand risk (Medium).</w:t>
      </w:r>
      <w:r>
        <w:rPr>
          <w:rFonts w:ascii="Times New Roman" w:cs="Times New Roman" w:eastAsia="Times New Roman" w:hAnsi="Times New Roman"/>
        </w:rPr>
        <w:t xml:space="preserve"> SHEIN's customers are young and price-sensitive; a consumer slowdown or inflation shock in key markets would hit order volumes. Management expects the "challenging global consumer environment" to persist near term.</w:t>
      </w:r>
    </w:p>
    <w:p>
      <w:pPr>
        <w:tabs>
          <w:tab w:val="left" w:pos="400"/>
        </w:tabs>
        <w:spacing w:after="80" w:line="252"/>
        <w:ind w:left="400" w:hanging="400"/>
      </w:pPr>
      <w:r>
        <w:rPr>
          <w:rFonts w:ascii="Times New Roman" w:cs="Times New Roman" w:eastAsia="Times New Roman" w:hAnsi="Times New Roman"/>
        </w:rPr>
        <w:t xml:space="preserve">9.	</w:t>
      </w:r>
      <w:r>
        <w:rPr>
          <w:rFonts w:ascii="Times New Roman" w:cs="Times New Roman" w:eastAsia="Times New Roman" w:hAnsi="Times New Roman"/>
          <w:b/>
          <w:bCs/>
        </w:rPr>
        <w:t xml:space="preserve">Channel and platform-dependence risk (Medium).</w:t>
      </w:r>
      <w:r>
        <w:rPr>
          <w:rFonts w:ascii="Times New Roman" w:cs="Times New Roman" w:eastAsia="Times New Roman" w:hAnsi="Times New Roman"/>
        </w:rPr>
        <w:t xml:space="preserve"> Customer acquisition depends on Google, Meta, TikTok and app stores; changes in algorithms, privacy rules (e.g., cookie-consent enforcement) or ad pricing could raise acquisition costs.</w:t>
      </w:r>
    </w:p>
    <w:p>
      <w:pPr>
        <w:pStyle w:val="Heading3"/>
        <w:keepNext/>
      </w:pPr>
      <w:bookmarkStart w:name="h_10" w:id="10"/>
      <w:r>
        <w:t xml:space="preserve">Financial risks</w:t>
      </w:r>
      <w:bookmarkEnd w:id="10"/>
    </w:p>
    <w:p>
      <w:pPr>
        <w:tabs>
          <w:tab w:val="left" w:pos="400"/>
        </w:tabs>
        <w:spacing w:after="80" w:line="252"/>
        <w:ind w:left="400" w:hanging="400"/>
      </w:pPr>
      <w:r>
        <w:rPr>
          <w:rFonts w:ascii="Times New Roman" w:cs="Times New Roman" w:eastAsia="Times New Roman" w:hAnsi="Times New Roman"/>
        </w:rPr>
        <w:t xml:space="preserve">10.	</w:t>
      </w:r>
      <w:r>
        <w:rPr>
          <w:rFonts w:ascii="Times New Roman" w:cs="Times New Roman" w:eastAsia="Times New Roman" w:hAnsi="Times New Roman"/>
          <w:b/>
          <w:bCs/>
        </w:rPr>
        <w:t xml:space="preserve">Freight, oil and FX risk (Medium).</w:t>
      </w:r>
      <w:r>
        <w:rPr>
          <w:rFonts w:ascii="Times New Roman" w:cs="Times New Roman" w:eastAsia="Times New Roman" w:hAnsi="Times New Roman"/>
        </w:rPr>
        <w:t xml:space="preserve"> The Iran conflict raised oil prices and freight costs in 1H26 and disrupted Middle East demand (a low-single-digit percentage-point drag on 2026 revenue). SHEIN does not hedge FX; exchange losses were US$151m in 1H26.</w:t>
      </w:r>
    </w:p>
    <w:p>
      <w:pPr>
        <w:tabs>
          <w:tab w:val="left" w:pos="400"/>
        </w:tabs>
        <w:spacing w:after="80" w:line="252"/>
        <w:ind w:left="400" w:hanging="400"/>
      </w:pPr>
      <w:r>
        <w:rPr>
          <w:rFonts w:ascii="Times New Roman" w:cs="Times New Roman" w:eastAsia="Times New Roman" w:hAnsi="Times New Roman"/>
        </w:rPr>
        <w:t xml:space="preserve">11.	</w:t>
      </w:r>
      <w:r>
        <w:rPr>
          <w:rFonts w:ascii="Times New Roman" w:cs="Times New Roman" w:eastAsia="Times New Roman" w:hAnsi="Times New Roman"/>
          <w:b/>
          <w:bCs/>
        </w:rPr>
        <w:t xml:space="preserve">Share-overhang and liquidity risk (High, near term).</w:t>
      </w:r>
      <w:r>
        <w:rPr>
          <w:rFonts w:ascii="Times New Roman" w:cs="Times New Roman" w:eastAsia="Times New Roman" w:hAnsi="Times New Roman"/>
        </w:rPr>
        <w:t xml:space="preserve"> The IPO float was only 6.6% of shares, much of it placed with existing holders; stabilisation absorbed another 15%. The six-month lock-up for pre-IPO investors (~34% of shares, many with very low cost bases) and cornerstones expires around 1 March 2027 and could weigh on the share price.</w:t>
      </w:r>
    </w:p>
    <w:p>
      <w:pPr>
        <w:tabs>
          <w:tab w:val="left" w:pos="400"/>
        </w:tabs>
        <w:spacing w:after="80" w:line="252"/>
        <w:ind w:left="400" w:hanging="400"/>
      </w:pPr>
      <w:r>
        <w:rPr>
          <w:rFonts w:ascii="Times New Roman" w:cs="Times New Roman" w:eastAsia="Times New Roman" w:hAnsi="Times New Roman"/>
        </w:rPr>
        <w:t xml:space="preserve">12.	</w:t>
      </w:r>
      <w:r>
        <w:rPr>
          <w:rFonts w:ascii="Times New Roman" w:cs="Times New Roman" w:eastAsia="Times New Roman" w:hAnsi="Times New Roman"/>
          <w:b/>
          <w:bCs/>
        </w:rPr>
        <w:t xml:space="preserve">Tax risk (Medium).</w:t>
      </w:r>
      <w:r>
        <w:rPr>
          <w:rFonts w:ascii="Times New Roman" w:cs="Times New Roman" w:eastAsia="Times New Roman" w:hAnsi="Times New Roman"/>
        </w:rPr>
        <w:t xml:space="preserve"> OECD Pillar Two minimum tax, transfer-pricing scrutiny and potential tax-residency challenges could raise the effective tax rate (core ETR ~26% in 1H26 versus ~21% in 2025).</w:t>
      </w:r>
    </w:p>
    <w:p>
      <w:pPr>
        <w:pStyle w:val="Heading3"/>
        <w:keepNext/>
      </w:pPr>
      <w:bookmarkStart w:name="h_11" w:id="11"/>
      <w:r>
        <w:t xml:space="preserve">Macroeconomic risks</w:t>
      </w:r>
      <w:bookmarkEnd w:id="11"/>
    </w:p>
    <w:p>
      <w:pPr>
        <w:tabs>
          <w:tab w:val="left" w:pos="400"/>
        </w:tabs>
        <w:spacing w:after="80" w:line="252"/>
        <w:ind w:left="400" w:hanging="400"/>
      </w:pPr>
      <w:r>
        <w:rPr>
          <w:rFonts w:ascii="Times New Roman" w:cs="Times New Roman" w:eastAsia="Times New Roman" w:hAnsi="Times New Roman"/>
        </w:rPr>
        <w:t xml:space="preserve">13.	</w:t>
      </w:r>
      <w:r>
        <w:rPr>
          <w:rFonts w:ascii="Times New Roman" w:cs="Times New Roman" w:eastAsia="Times New Roman" w:hAnsi="Times New Roman"/>
          <w:b/>
          <w:bCs/>
        </w:rPr>
        <w:t xml:space="preserve">Geopolitical risk (High).</w:t>
      </w:r>
      <w:r>
        <w:rPr>
          <w:rFonts w:ascii="Times New Roman" w:cs="Times New Roman" w:eastAsia="Times New Roman" w:hAnsi="Times New Roman"/>
        </w:rPr>
        <w:t xml:space="preserve"> US-China tensions, sanctions or data-security actions (as seen with other China-linked apps) could restrict SHEIN's ability to operate in the US, which is still 22% of revenue.</w:t>
      </w:r>
    </w:p>
    <w:p>
      <w:pPr>
        <w:tabs>
          <w:tab w:val="left" w:pos="400"/>
        </w:tabs>
        <w:spacing w:after="80" w:line="252"/>
        <w:ind w:left="400" w:hanging="400"/>
      </w:pPr>
      <w:r>
        <w:rPr>
          <w:rFonts w:ascii="Times New Roman" w:cs="Times New Roman" w:eastAsia="Times New Roman" w:hAnsi="Times New Roman"/>
        </w:rPr>
        <w:t xml:space="preserve">14.	</w:t>
      </w:r>
      <w:r>
        <w:rPr>
          <w:rFonts w:ascii="Times New Roman" w:cs="Times New Roman" w:eastAsia="Times New Roman" w:hAnsi="Times New Roman"/>
          <w:b/>
          <w:bCs/>
        </w:rPr>
        <w:t xml:space="preserve">Global recession / interest-rate risk (Medium).</w:t>
      </w:r>
      <w:r>
        <w:rPr>
          <w:rFonts w:ascii="Times New Roman" w:cs="Times New Roman" w:eastAsia="Times New Roman" w:hAnsi="Times New Roman"/>
        </w:rPr>
        <w:t xml:space="preserve"> A recession would depress discretionary spending; conversely, lower interest rates would reduce interest income, which was ~27% of 2027E adjusted pre-tax profit in our model.</w:t>
      </w:r>
    </w:p>
    <w:p>
      <w:pPr>
        <w:pStyle w:val="Heading1"/>
        <w:keepNext/>
      </w:pPr>
      <w:bookmarkStart w:name="h_12" w:id="12"/>
      <w:r>
        <w:t xml:space="preserve">Catalysts and What Would Change Our View</w:t>
      </w:r>
      <w:bookmarkEnd w:id="12"/>
    </w:p>
    <w:p>
      <w:pPr>
        <w:keepNext/>
        <w:spacing w:after="60" w:before="160"/>
      </w:pPr>
      <w:r>
        <w:rPr>
          <w:rFonts w:ascii="Times New Roman" w:cs="Times New Roman" w:eastAsia="Times New Roman" w:hAnsi="Times New Roman"/>
          <w:b/>
          <w:bCs/>
          <w:color w:val="1F3A5F"/>
          <w:sz w:val="18"/>
          <w:szCs w:val="18"/>
        </w:rPr>
        <w:t xml:space="preserve">Figure 7: </w:t>
      </w:r>
      <w:r>
        <w:rPr>
          <w:rFonts w:ascii="Times New Roman" w:cs="Times New Roman" w:eastAsia="Times New Roman" w:hAnsi="Times New Roman"/>
          <w:b/>
          <w:bCs/>
          <w:color w:val="1F3A5F"/>
          <w:sz w:val="18"/>
          <w:szCs w:val="18"/>
        </w:rPr>
        <w:t xml:space="preserve">Upcoming catalysts</w:t>
      </w:r>
    </w:p>
    <w:tbl>
      <w:tblPr>
        <w:tblW w:type="dxa" w:w="95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2"/>
        <w:gridCol w:w="5326"/>
        <w:gridCol w:w="2640"/>
      </w:tblGrid>
      <w:tr>
        <w:trPr>
          <w:cantSplit/>
          <w:tblHeader/>
        </w:trPr>
        <w:tc>
          <w:tcPr>
            <w:tcW w:type="dxa" w:w="163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Timing</w:t>
            </w:r>
          </w:p>
        </w:tc>
        <w:tc>
          <w:tcPr>
            <w:tcW w:type="dxa" w:w="532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Catalyst</w:t>
            </w:r>
          </w:p>
        </w:tc>
        <w:tc>
          <w:tcPr>
            <w:tcW w:type="dxa" w:w="264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Expected direction</w:t>
            </w:r>
          </w:p>
        </w:tc>
      </w:tr>
      <w:tr>
        <w:trPr>
          <w:cantSplit/>
        </w:trPr>
        <w:tc>
          <w:tcPr>
            <w:tcW w:type="dxa" w:w="16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Oct-Nov 2026</w:t>
            </w:r>
          </w:p>
        </w:tc>
        <w:tc>
          <w:tcPr>
            <w:tcW w:type="dxa" w:w="532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11.11, Black Friday and Cyber Monday trading; web-traffic and app data</w:t>
            </w:r>
          </w:p>
        </w:tc>
        <w:tc>
          <w:tcPr>
            <w:tcW w:type="dxa" w:w="26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Positive if order growth holds 6-8%</w:t>
            </w:r>
          </w:p>
        </w:tc>
      </w:tr>
      <w:tr>
        <w:trPr>
          <w:cantSplit/>
        </w:trPr>
        <w:tc>
          <w:tcPr>
            <w:tcW w:type="dxa" w:w="16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10-Nov-2026</w:t>
            </w:r>
          </w:p>
        </w:tc>
        <w:tc>
          <w:tcPr>
            <w:tcW w:type="dxa" w:w="532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Expiry of the US-China tariff-reduction truce</w:t>
            </w:r>
          </w:p>
        </w:tc>
        <w:tc>
          <w:tcPr>
            <w:tcW w:type="dxa" w:w="264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Binary; extension positive</w:t>
            </w:r>
          </w:p>
        </w:tc>
      </w:tr>
      <w:tr>
        <w:trPr>
          <w:cantSplit/>
        </w:trPr>
        <w:tc>
          <w:tcPr>
            <w:tcW w:type="dxa" w:w="16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Nov-2026 onward</w:t>
            </w:r>
          </w:p>
        </w:tc>
        <w:tc>
          <w:tcPr>
            <w:tcW w:type="dxa" w:w="532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EU volume data after the 1-Jul-2026 duty; local-warehouse ramp</w:t>
            </w:r>
          </w:p>
        </w:tc>
        <w:tc>
          <w:tcPr>
            <w:tcW w:type="dxa" w:w="26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Key test of the Europe thesis</w:t>
            </w:r>
          </w:p>
        </w:tc>
      </w:tr>
      <w:tr>
        <w:trPr>
          <w:cantSplit/>
        </w:trPr>
        <w:tc>
          <w:tcPr>
            <w:tcW w:type="dxa" w:w="16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Late 2026 / 2027</w:t>
            </w:r>
          </w:p>
        </w:tc>
        <w:tc>
          <w:tcPr>
            <w:tcW w:type="dxa" w:w="532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EU Digital Services Act, FTC and Irish DPC outcomes</w:t>
            </w:r>
          </w:p>
        </w:tc>
        <w:tc>
          <w:tcPr>
            <w:tcW w:type="dxa" w:w="264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Resolution removes overhang even if costly</w:t>
            </w:r>
          </w:p>
        </w:tc>
      </w:tr>
      <w:tr>
        <w:trPr>
          <w:cantSplit/>
        </w:trPr>
        <w:tc>
          <w:tcPr>
            <w:tcW w:type="dxa" w:w="16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~Mar-2027</w:t>
            </w:r>
          </w:p>
        </w:tc>
        <w:tc>
          <w:tcPr>
            <w:tcW w:type="dxa" w:w="532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FY2026 results; first dividend declaration (we estimate HK$1.02)</w:t>
            </w:r>
          </w:p>
        </w:tc>
        <w:tc>
          <w:tcPr>
            <w:tcW w:type="dxa" w:w="26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Positive</w:t>
            </w:r>
          </w:p>
        </w:tc>
      </w:tr>
      <w:tr>
        <w:trPr>
          <w:cantSplit/>
        </w:trPr>
        <w:tc>
          <w:tcPr>
            <w:tcW w:type="dxa" w:w="16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~1-Mar-2027</w:t>
            </w:r>
          </w:p>
        </w:tc>
        <w:tc>
          <w:tcPr>
            <w:tcW w:type="dxa" w:w="532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Six-month lock-up expiry for pre-IPO and cornerstone investors</w:t>
            </w:r>
          </w:p>
        </w:tc>
        <w:tc>
          <w:tcPr>
            <w:tcW w:type="dxa" w:w="264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Negative technical; creates entry point</w:t>
            </w:r>
          </w:p>
        </w:tc>
      </w:tr>
      <w:tr>
        <w:trPr>
          <w:cantSplit/>
        </w:trPr>
        <w:tc>
          <w:tcPr>
            <w:tcW w:type="dxa" w:w="16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2027</w:t>
            </w:r>
          </w:p>
        </w:tc>
        <w:tc>
          <w:tcPr>
            <w:tcW w:type="dxa" w:w="532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Potential Hang Seng Composite Index / Southbound Stock Connect eligibility</w:t>
            </w:r>
          </w:p>
        </w:tc>
        <w:tc>
          <w:tcPr>
            <w:tcW w:type="dxa" w:w="26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Positive (broader investor base)</w:t>
            </w:r>
          </w:p>
        </w:tc>
      </w:tr>
      <w:tr>
        <w:trPr>
          <w:cantSplit/>
        </w:trPr>
        <w:tc>
          <w:tcPr>
            <w:tcW w:type="dxa" w:w="1632"/>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Any time</w:t>
            </w:r>
          </w:p>
        </w:tc>
        <w:tc>
          <w:tcPr>
            <w:tcW w:type="dxa" w:w="532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Share repurchase under the general mandate</w:t>
            </w:r>
          </w:p>
        </w:tc>
        <w:tc>
          <w:tcPr>
            <w:tcW w:type="dxa" w:w="2640"/>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Positive</w:t>
            </w:r>
          </w:p>
        </w:tc>
      </w:tr>
    </w:tbl>
    <w:p>
      <w:pPr>
        <w:spacing w:after="120"/>
      </w:pPr>
    </w:p>
    <w:p>
      <w:pPr>
        <w:spacing w:after="120" w:line="264"/>
        <w:jc w:val="both"/>
      </w:pPr>
      <w:r>
        <w:rPr>
          <w:rFonts w:ascii="Times New Roman" w:cs="Times New Roman" w:eastAsia="Times New Roman" w:hAnsi="Times New Roman"/>
          <w:b/>
          <w:bCs/>
        </w:rPr>
        <w:t xml:space="preserve">What would make us more negative:</w:t>
      </w:r>
    </w:p>
    <w:p>
      <w:pPr>
        <w:pStyle w:val="ListParagraph"/>
        <w:numPr>
          <w:ilvl w:val="0"/>
          <w:numId w:val="3"/>
        </w:numPr>
        <w:spacing w:after="60" w:line="252"/>
      </w:pPr>
      <w:r>
        <w:rPr>
          <w:rFonts w:ascii="Times New Roman" w:cs="Times New Roman" w:eastAsia="Times New Roman" w:hAnsi="Times New Roman"/>
        </w:rPr>
        <w:t xml:space="preserve">Evidence that European volumes are structurally impaired, i.e. revenue declining double digits into 2H27.</w:t>
      </w:r>
    </w:p>
    <w:p>
      <w:pPr>
        <w:pStyle w:val="ListParagraph"/>
        <w:numPr>
          <w:ilvl w:val="0"/>
          <w:numId w:val="3"/>
        </w:numPr>
        <w:spacing w:after="60" w:line="252"/>
      </w:pPr>
      <w:r>
        <w:rPr>
          <w:rFonts w:ascii="Times New Roman" w:cs="Times New Roman" w:eastAsia="Times New Roman" w:hAnsi="Times New Roman"/>
        </w:rPr>
        <w:t xml:space="preserve">Fulfilment staying above 51% of revenue after freight normalises.</w:t>
      </w:r>
    </w:p>
    <w:p>
      <w:pPr>
        <w:pStyle w:val="ListParagraph"/>
        <w:numPr>
          <w:ilvl w:val="0"/>
          <w:numId w:val="3"/>
        </w:numPr>
        <w:spacing w:after="60" w:line="252"/>
      </w:pPr>
      <w:r>
        <w:rPr>
          <w:rFonts w:ascii="Times New Roman" w:cs="Times New Roman" w:eastAsia="Times New Roman" w:hAnsi="Times New Roman"/>
        </w:rPr>
        <w:t xml:space="preserve">A regulatory penalty well above our US$1.0bn reserve.</w:t>
      </w:r>
    </w:p>
    <w:p>
      <w:pPr>
        <w:pStyle w:val="ListParagraph"/>
        <w:numPr>
          <w:ilvl w:val="0"/>
          <w:numId w:val="3"/>
        </w:numPr>
        <w:spacing w:after="60" w:line="252"/>
      </w:pPr>
      <w:r>
        <w:rPr>
          <w:rFonts w:ascii="Times New Roman" w:cs="Times New Roman" w:eastAsia="Times New Roman" w:hAnsi="Times New Roman"/>
        </w:rPr>
        <w:t xml:space="preserve">Cash deployed into large, low-return acquisitions.</w:t>
      </w:r>
    </w:p>
    <w:p>
      <w:pPr>
        <w:spacing w:after="120" w:line="264"/>
        <w:jc w:val="both"/>
      </w:pPr>
      <w:r>
        <w:rPr>
          <w:rFonts w:ascii="Times New Roman" w:cs="Times New Roman" w:eastAsia="Times New Roman" w:hAnsi="Times New Roman"/>
          <w:b/>
          <w:bCs/>
        </w:rPr>
        <w:t xml:space="preserve">What would make us more positive:</w:t>
      </w:r>
    </w:p>
    <w:p>
      <w:pPr>
        <w:pStyle w:val="ListParagraph"/>
        <w:numPr>
          <w:ilvl w:val="0"/>
          <w:numId w:val="3"/>
        </w:numPr>
        <w:spacing w:after="60" w:line="252"/>
      </w:pPr>
      <w:r>
        <w:rPr>
          <w:rFonts w:ascii="Times New Roman" w:cs="Times New Roman" w:eastAsia="Times New Roman" w:hAnsi="Times New Roman"/>
        </w:rPr>
        <w:t xml:space="preserve">A buyback.</w:t>
      </w:r>
    </w:p>
    <w:p>
      <w:pPr>
        <w:pStyle w:val="ListParagraph"/>
        <w:numPr>
          <w:ilvl w:val="0"/>
          <w:numId w:val="3"/>
        </w:numPr>
        <w:spacing w:after="60" w:line="252"/>
      </w:pPr>
      <w:r>
        <w:rPr>
          <w:rFonts w:ascii="Times New Roman" w:cs="Times New Roman" w:eastAsia="Times New Roman" w:hAnsi="Times New Roman"/>
        </w:rPr>
        <w:t xml:space="preserve">A payout above 50%.</w:t>
      </w:r>
    </w:p>
    <w:p>
      <w:pPr>
        <w:pStyle w:val="ListParagraph"/>
        <w:numPr>
          <w:ilvl w:val="0"/>
          <w:numId w:val="3"/>
        </w:numPr>
        <w:spacing w:after="60" w:line="252"/>
      </w:pPr>
      <w:r>
        <w:rPr>
          <w:rFonts w:ascii="Times New Roman" w:cs="Times New Roman" w:eastAsia="Times New Roman" w:hAnsi="Times New Roman"/>
        </w:rPr>
        <w:t xml:space="preserve">Confirmation that 2H26 adjusted margins are recovering toward 3%.</w:t>
      </w:r>
    </w:p>
    <w:p>
      <w:pPr>
        <w:pStyle w:val="Heading1"/>
        <w:keepNext/>
        <w:pageBreakBefore/>
      </w:pPr>
      <w:bookmarkStart w:name="h_13" w:id="13"/>
      <w:r>
        <w:t xml:space="preserve">Company 101</w:t>
      </w:r>
      <w:bookmarkEnd w:id="13"/>
    </w:p>
    <w:p>
      <w:pPr>
        <w:spacing w:after="120" w:line="264"/>
        <w:jc w:val="both"/>
      </w:pPr>
      <w:r>
        <w:rPr>
          <w:rFonts w:ascii="Times New Roman" w:cs="Times New Roman" w:eastAsia="Times New Roman" w:hAnsi="Times New Roman"/>
        </w:rPr>
        <w:t xml:space="preserve">This section describes SHEIN's business, history, management, products, customers, industry and competitive position. It draws mainly on the Global Offering prospectus of 24 August 2026 and the 2026 Interim Report of 28 September 2026. Market data are from China Insights Consultancy (CIC), the industry consultant engaged for the IPO, as reproduced in the prospectus.</w:t>
      </w:r>
    </w:p>
    <w:p>
      <w:pPr>
        <w:pStyle w:val="Heading2"/>
        <w:keepNext/>
      </w:pPr>
      <w:bookmarkStart w:name="h_14" w:id="14"/>
      <w:r>
        <w:t xml:space="preserve">Company Overview</w:t>
      </w:r>
      <w:bookmarkEnd w:id="14"/>
    </w:p>
    <w:p>
      <w:pPr>
        <w:spacing w:after="120" w:line="264"/>
        <w:jc w:val="both"/>
      </w:pPr>
      <w:r>
        <w:rPr>
          <w:rFonts w:ascii="Times New Roman" w:cs="Times New Roman" w:eastAsia="Times New Roman" w:hAnsi="Times New Roman"/>
        </w:rPr>
        <w:t xml:space="preserve">SHEIN Global Holdings Ltd ("SHEIN", "the Company") is the world's largest online fashion destination by apparel and footwear retail sales value and, according to the industry consultant engaged for the IPO (China Insights Consultancy, "CIC"), the third-largest apparel and footwear company globally with a 1.9% share of a US$1.74trn market in 2025 — behind only a US athletic-wear leader (3.0%) and a Spanish fast-fashion group (2.5%), and ahead of a German athletic brand (1.7%) and a Japanese casual-wear retailer (1.3%). In 2025 SHEIN generated net revenues of </w:t>
      </w:r>
      <w:r>
        <w:rPr>
          <w:rFonts w:ascii="Times New Roman" w:cs="Times New Roman" w:eastAsia="Times New Roman" w:hAnsi="Times New Roman"/>
          <w:b/>
          <w:bCs/>
        </w:rPr>
        <w:t xml:space="preserve">US$41.8bn</w:t>
      </w:r>
      <w:r>
        <w:rPr>
          <w:rFonts w:ascii="Times New Roman" w:cs="Times New Roman" w:eastAsia="Times New Roman" w:hAnsi="Times New Roman"/>
        </w:rPr>
        <w:t xml:space="preserve"> (+8.0% YoY), operating income of </w:t>
      </w:r>
      <w:r>
        <w:rPr>
          <w:rFonts w:ascii="Times New Roman" w:cs="Times New Roman" w:eastAsia="Times New Roman" w:hAnsi="Times New Roman"/>
          <w:b/>
          <w:bCs/>
        </w:rPr>
        <w:t xml:space="preserve">US$1.71bn</w:t>
      </w:r>
      <w:r>
        <w:rPr>
          <w:rFonts w:ascii="Times New Roman" w:cs="Times New Roman" w:eastAsia="Times New Roman" w:hAnsi="Times New Roman"/>
        </w:rPr>
        <w:t xml:space="preserve"> (4.1% margin) and IFRS net income of </w:t>
      </w:r>
      <w:r>
        <w:rPr>
          <w:rFonts w:ascii="Times New Roman" w:cs="Times New Roman" w:eastAsia="Times New Roman" w:hAnsi="Times New Roman"/>
          <w:b/>
          <w:bCs/>
        </w:rPr>
        <w:t xml:space="preserve">US$2.06bn</w:t>
      </w:r>
      <w:r>
        <w:rPr>
          <w:rFonts w:ascii="Times New Roman" w:cs="Times New Roman" w:eastAsia="Times New Roman" w:hAnsi="Times New Roman"/>
        </w:rPr>
        <w:t xml:space="preserve">, serving approximately </w:t>
      </w:r>
      <w:r>
        <w:rPr>
          <w:rFonts w:ascii="Times New Roman" w:cs="Times New Roman" w:eastAsia="Times New Roman" w:hAnsi="Times New Roman"/>
          <w:b/>
          <w:bCs/>
        </w:rPr>
        <w:t xml:space="preserve">273 million active customers</w:t>
      </w:r>
      <w:r>
        <w:rPr>
          <w:rFonts w:ascii="Times New Roman" w:cs="Times New Roman" w:eastAsia="Times New Roman" w:hAnsi="Times New Roman"/>
        </w:rPr>
        <w:t xml:space="preserve"> across roughly </w:t>
      </w:r>
      <w:r>
        <w:rPr>
          <w:rFonts w:ascii="Times New Roman" w:cs="Times New Roman" w:eastAsia="Times New Roman" w:hAnsi="Times New Roman"/>
          <w:b/>
          <w:bCs/>
        </w:rPr>
        <w:t xml:space="preserve">160 markets</w:t>
      </w:r>
      <w:r>
        <w:rPr>
          <w:rFonts w:ascii="Times New Roman" w:cs="Times New Roman" w:eastAsia="Times New Roman" w:hAnsi="Times New Roman"/>
        </w:rPr>
        <w:t xml:space="preserve"> and fulfilling </w:t>
      </w:r>
      <w:r>
        <w:rPr>
          <w:rFonts w:ascii="Times New Roman" w:cs="Times New Roman" w:eastAsia="Times New Roman" w:hAnsi="Times New Roman"/>
          <w:b/>
          <w:bCs/>
        </w:rPr>
        <w:t xml:space="preserve">1.08 billion orders</w:t>
      </w:r>
      <w:r>
        <w:rPr>
          <w:rFonts w:ascii="Times New Roman" w:cs="Times New Roman" w:eastAsia="Times New Roman" w:hAnsi="Times New Roman"/>
        </w:rPr>
        <w:t xml:space="preserve">. Net revenues have compounded at 14.2% p.a. over 2023-25 and active customers at 21.2% p.a.</w:t>
      </w:r>
    </w:p>
    <w:p>
      <w:pPr>
        <w:spacing w:after="120" w:line="264"/>
        <w:jc w:val="both"/>
      </w:pPr>
      <w:r>
        <w:rPr>
          <w:rFonts w:ascii="Times New Roman" w:cs="Times New Roman" w:eastAsia="Times New Roman" w:hAnsi="Times New Roman"/>
        </w:rPr>
        <w:t xml:space="preserve">The business model is best described as a </w:t>
      </w:r>
      <w:r>
        <w:rPr>
          <w:rFonts w:ascii="Times New Roman" w:cs="Times New Roman" w:eastAsia="Times New Roman" w:hAnsi="Times New Roman"/>
          <w:b/>
          <w:bCs/>
        </w:rPr>
        <w:t xml:space="preserve">vertically integrated, first-party-led online fashion brand collection</w:t>
      </w:r>
      <w:r>
        <w:rPr>
          <w:rFonts w:ascii="Times New Roman" w:cs="Times New Roman" w:eastAsia="Times New Roman" w:hAnsi="Times New Roman"/>
        </w:rPr>
        <w:t xml:space="preserve"> with a growing marketplace attached. SHEIN designs (with 370+ in-house designers and a network of contract manufacturers and independent designers), commissions production from more than </w:t>
      </w:r>
      <w:r>
        <w:rPr>
          <w:rFonts w:ascii="Times New Roman" w:cs="Times New Roman" w:eastAsia="Times New Roman" w:hAnsi="Times New Roman"/>
          <w:b/>
          <w:bCs/>
        </w:rPr>
        <w:t xml:space="preserve">7,500 contract manufacturers</w:t>
      </w:r>
      <w:r>
        <w:rPr>
          <w:rFonts w:ascii="Times New Roman" w:cs="Times New Roman" w:eastAsia="Times New Roman" w:hAnsi="Times New Roman"/>
        </w:rPr>
        <w:t xml:space="preserve"> (predominantly SMEs in the Pearl River Delta), stores the output mostly in central warehouses in mainland China, and ships it directly to consumers through its own apps and websites. It does not operate physical stores at scale. Revenue is recognised on delivery; the substantial majority of customers pay in advance, which, combined with ~34-day supplier terms and ~36-day inventory turnover, produces a structurally </w:t>
      </w:r>
      <w:r>
        <w:rPr>
          <w:rFonts w:ascii="Times New Roman" w:cs="Times New Roman" w:eastAsia="Times New Roman" w:hAnsi="Times New Roman"/>
          <w:b/>
          <w:bCs/>
        </w:rPr>
        <w:t xml:space="preserve">negative working capital</w:t>
      </w:r>
      <w:r>
        <w:rPr>
          <w:rFonts w:ascii="Times New Roman" w:cs="Times New Roman" w:eastAsia="Times New Roman" w:hAnsi="Times New Roman"/>
        </w:rPr>
        <w:t xml:space="preserve"> position (–US$5.0bn at 30 June 2026) and a large cash pile.</w:t>
      </w:r>
    </w:p>
    <w:p>
      <w:pPr>
        <w:spacing w:after="120" w:line="264"/>
        <w:jc w:val="both"/>
      </w:pPr>
      <w:r>
        <w:rPr>
          <w:rFonts w:ascii="Times New Roman" w:cs="Times New Roman" w:eastAsia="Times New Roman" w:hAnsi="Times New Roman"/>
        </w:rPr>
        <w:t xml:space="preserve">The Company's core intellectual property is an operating model it calls </w:t>
      </w:r>
      <w:r>
        <w:rPr>
          <w:rFonts w:ascii="Times New Roman" w:cs="Times New Roman" w:eastAsia="Times New Roman" w:hAnsi="Times New Roman"/>
          <w:b/>
          <w:bCs/>
        </w:rPr>
        <w:t xml:space="preserve">LATR — Large-scale Automated Test and Reorder</w:t>
      </w:r>
      <w:r>
        <w:rPr>
          <w:rFonts w:ascii="Times New Roman" w:cs="Times New Roman" w:eastAsia="Times New Roman" w:hAnsi="Times New Roman"/>
        </w:rPr>
        <w:t xml:space="preserve">. New styles are launched in initial batches of roughly 100-200 units, customer response is measured in real time, and winners are reordered — restocking in as few as five days — while losers are dropped. SHEIN argues LATR resolves the fashion industry's "trilemma" of assortment breadth, design-refresh speed and inventory efficiency. The numbers support the claim: more than </w:t>
      </w:r>
      <w:r>
        <w:rPr>
          <w:rFonts w:ascii="Times New Roman" w:cs="Times New Roman" w:eastAsia="Times New Roman" w:hAnsi="Times New Roman"/>
          <w:b/>
          <w:bCs/>
        </w:rPr>
        <w:t xml:space="preserve">2 million apparel styles</w:t>
      </w:r>
      <w:r>
        <w:rPr>
          <w:rFonts w:ascii="Times New Roman" w:cs="Times New Roman" w:eastAsia="Times New Roman" w:hAnsi="Times New Roman"/>
        </w:rPr>
        <w:t xml:space="preserve"> were live at 31 March 2026, customers could discover ~</w:t>
      </w:r>
      <w:r>
        <w:rPr>
          <w:rFonts w:ascii="Times New Roman" w:cs="Times New Roman" w:eastAsia="Times New Roman" w:hAnsi="Times New Roman"/>
          <w:b/>
          <w:bCs/>
        </w:rPr>
        <w:t xml:space="preserve">4,700 new apparel styles per day</w:t>
      </w:r>
      <w:r>
        <w:rPr>
          <w:rFonts w:ascii="Times New Roman" w:cs="Times New Roman" w:eastAsia="Times New Roman" w:hAnsi="Times New Roman"/>
        </w:rPr>
        <w:t xml:space="preserve"> in 1Q26, inventory turnover was </w:t>
      </w:r>
      <w:r>
        <w:rPr>
          <w:rFonts w:ascii="Times New Roman" w:cs="Times New Roman" w:eastAsia="Times New Roman" w:hAnsi="Times New Roman"/>
          <w:b/>
          <w:bCs/>
        </w:rPr>
        <w:t xml:space="preserve">36 days</w:t>
      </w:r>
      <w:r>
        <w:rPr>
          <w:rFonts w:ascii="Times New Roman" w:cs="Times New Roman" w:eastAsia="Times New Roman" w:hAnsi="Times New Roman"/>
        </w:rPr>
        <w:t xml:space="preserve"> in 2025 and inventory write-downs have run at only ~1-2% of cost of sales.</w:t>
      </w:r>
    </w:p>
    <w:p>
      <w:pPr>
        <w:spacing w:after="120" w:line="264"/>
        <w:jc w:val="both"/>
      </w:pPr>
      <w:r>
        <w:rPr>
          <w:rFonts w:ascii="Times New Roman" w:cs="Times New Roman" w:eastAsia="Times New Roman" w:hAnsi="Times New Roman"/>
        </w:rPr>
        <w:t xml:space="preserve">Revenue is generated in two ways. </w:t>
      </w:r>
      <w:r>
        <w:rPr>
          <w:rFonts w:ascii="Times New Roman" w:cs="Times New Roman" w:eastAsia="Times New Roman" w:hAnsi="Times New Roman"/>
          <w:b/>
          <w:bCs/>
        </w:rPr>
        <w:t xml:space="preserve">Product revenues</w:t>
      </w:r>
      <w:r>
        <w:rPr>
          <w:rFonts w:ascii="Times New Roman" w:cs="Times New Roman" w:eastAsia="Times New Roman" w:hAnsi="Times New Roman"/>
        </w:rPr>
        <w:t xml:space="preserve"> (US$37.1bn in 2025, 88.7% of the total) come from first-party sales of company brands (SHEIN, MOTF, Glowmode, SHEGLAM, MUSERA, Aloruh and others) and partnership brands. </w:t>
      </w:r>
      <w:r>
        <w:rPr>
          <w:rFonts w:ascii="Times New Roman" w:cs="Times New Roman" w:eastAsia="Times New Roman" w:hAnsi="Times New Roman"/>
          <w:b/>
          <w:bCs/>
        </w:rPr>
        <w:t xml:space="preserve">Service revenues</w:t>
      </w:r>
      <w:r>
        <w:rPr>
          <w:rFonts w:ascii="Times New Roman" w:cs="Times New Roman" w:eastAsia="Times New Roman" w:hAnsi="Times New Roman"/>
        </w:rPr>
        <w:t xml:space="preserve"> (US$4.7bn, 11.3%) are commissions (generally 10-20% of transaction value) and fulfilment fees charged to third-party merchants on the marketplace launched in 2022-23, plus fees from brand-enablement partners. Because service revenue is recognised net, the rising marketplace mix depresses reported revenue per order and inflates fulfilment costs as a percentage of revenue — a key analytical nuance for the stock.</w:t>
      </w:r>
    </w:p>
    <w:p>
      <w:pPr>
        <w:spacing w:after="120" w:line="264"/>
        <w:jc w:val="both"/>
      </w:pPr>
      <w:r>
        <w:rPr>
          <w:rFonts w:ascii="Times New Roman" w:cs="Times New Roman" w:eastAsia="Times New Roman" w:hAnsi="Times New Roman"/>
        </w:rPr>
        <w:t xml:space="preserve">Geographically SHEIN is diversified: in 2025 the </w:t>
      </w:r>
      <w:r>
        <w:rPr>
          <w:rFonts w:ascii="Times New Roman" w:cs="Times New Roman" w:eastAsia="Times New Roman" w:hAnsi="Times New Roman"/>
          <w:b/>
          <w:bCs/>
        </w:rPr>
        <w:t xml:space="preserve">United States</w:t>
      </w:r>
      <w:r>
        <w:rPr>
          <w:rFonts w:ascii="Times New Roman" w:cs="Times New Roman" w:eastAsia="Times New Roman" w:hAnsi="Times New Roman"/>
        </w:rPr>
        <w:t xml:space="preserve"> contributed 24.1% of net revenues (US$10.1bn), </w:t>
      </w:r>
      <w:r>
        <w:rPr>
          <w:rFonts w:ascii="Times New Roman" w:cs="Times New Roman" w:eastAsia="Times New Roman" w:hAnsi="Times New Roman"/>
          <w:b/>
          <w:bCs/>
        </w:rPr>
        <w:t xml:space="preserve">Europe</w:t>
      </w:r>
      <w:r>
        <w:rPr>
          <w:rFonts w:ascii="Times New Roman" w:cs="Times New Roman" w:eastAsia="Times New Roman" w:hAnsi="Times New Roman"/>
        </w:rPr>
        <w:t xml:space="preserve"> 35.4% (US$14.8bn) and the </w:t>
      </w:r>
      <w:r>
        <w:rPr>
          <w:rFonts w:ascii="Times New Roman" w:cs="Times New Roman" w:eastAsia="Times New Roman" w:hAnsi="Times New Roman"/>
          <w:b/>
          <w:bCs/>
        </w:rPr>
        <w:t xml:space="preserve">rest of the world</w:t>
      </w:r>
      <w:r>
        <w:rPr>
          <w:rFonts w:ascii="Times New Roman" w:cs="Times New Roman" w:eastAsia="Times New Roman" w:hAnsi="Times New Roman"/>
        </w:rPr>
        <w:t xml:space="preserve"> 40.5% (US$16.9bn; led by Latin America and the Middle East). By category, apparel is 63.8% and "others" (footwear, accessories, beauty, home and lifestyle) 36.2%. No customer exceeds 10% of revenue and the top five suppliers account for ~16% of purchases.</w:t>
      </w:r>
    </w:p>
    <w:p>
      <w:pPr>
        <w:spacing w:after="120" w:line="264"/>
        <w:jc w:val="both"/>
      </w:pPr>
      <w:r>
        <w:rPr>
          <w:rFonts w:ascii="Times New Roman" w:cs="Times New Roman" w:eastAsia="Times New Roman" w:hAnsi="Times New Roman"/>
        </w:rPr>
        <w:t xml:space="preserve">SHEIN is headquartered in Singapore (since late 2021), incorporated in the Cayman Islands, and conducts operations through subsidiaries in China, Singapore, the US, Ireland, the UK and the UAE. It employed 17,585 people at 30 June 2026, ~79% of them in mainland China. The Company listed in Hong Kong on 1 September 2026 under a weighted-voting-rights (WVR) structure, raising HK$13.6bn gross (HK$13.2bn net) by selling 279,992,500 new Class B shares at HK$48.56, valuing it at ~US$26bn — roughly a quarter of the ~US$100bn private valuation reached in 2022. The shares have since fallen to HK$30.84 (–36.5%), taking the fully diluted market capitalisation to ~US$17.4bn.</w:t>
      </w:r>
    </w:p>
    <w:p>
      <w:pPr>
        <w:spacing w:after="120" w:line="264"/>
        <w:jc w:val="both"/>
      </w:pPr>
      <w:r>
        <w:rPr>
          <w:rFonts w:ascii="Times New Roman" w:cs="Times New Roman" w:eastAsia="Times New Roman" w:hAnsi="Times New Roman"/>
          <w:b/>
          <w:bCs/>
        </w:rPr>
        <w:t xml:space="preserve">The current investment debate</w:t>
      </w:r>
      <w:r>
        <w:rPr>
          <w:rFonts w:ascii="Times New Roman" w:cs="Times New Roman" w:eastAsia="Times New Roman" w:hAnsi="Times New Roman"/>
        </w:rPr>
        <w:t xml:space="preserve"> centres on four issues: (1) the removal of de minimis/low-value import exemptions in the US (May/August 2025) and the EU (1 July 2026), which raises landed costs on the direct-from-China model; (2) margin compression in 2026 — operating margin fell to 2.4% in 1H26 from 5.2% in 1H25 as freight rates spiked during the Iran conflict and the Company chose to absorb costs; (3) regulatory exposure in the EU and US (EU Digital Services Act investigation, FTC investigation, French and Irish data/consumer proceedings); and (4) governance and capital allocation, following ~US$3.5bn of cash paid to preferred shareholders around the listing. Against this, SHEIN has </w:t>
      </w:r>
      <w:r>
        <w:rPr>
          <w:rFonts w:ascii="Times New Roman" w:cs="Times New Roman" w:eastAsia="Times New Roman" w:hAnsi="Times New Roman"/>
          <w:b/>
          <w:bCs/>
        </w:rPr>
        <w:t xml:space="preserve">US$13.5bn of pro forma unrestricted cash</w:t>
      </w:r>
      <w:r>
        <w:rPr>
          <w:rFonts w:ascii="Times New Roman" w:cs="Times New Roman" w:eastAsia="Times New Roman" w:hAnsi="Times New Roman"/>
        </w:rPr>
        <w:t xml:space="preserve"> (~78% of its market value; US$13.9bn including investments), still-growing order volumes (+6.4% in 1H26) and customers (+14.6% LTM to 291m), and a dividend policy targeting at least 50% of annual net profit.</w:t>
      </w:r>
    </w:p>
    <w:p>
      <w:pPr>
        <w:keepNext/>
        <w:spacing w:after="60" w:before="160"/>
      </w:pPr>
      <w:r>
        <w:rPr>
          <w:rFonts w:ascii="Times New Roman" w:cs="Times New Roman" w:eastAsia="Times New Roman" w:hAnsi="Times New Roman"/>
          <w:b/>
          <w:bCs/>
          <w:color w:val="1F3A5F"/>
          <w:sz w:val="18"/>
          <w:szCs w:val="18"/>
        </w:rPr>
        <w:t xml:space="preserve">Figure 8: </w:t>
      </w:r>
      <w:r>
        <w:rPr>
          <w:rFonts w:ascii="Times New Roman" w:cs="Times New Roman" w:eastAsia="Times New Roman" w:hAnsi="Times New Roman"/>
          <w:b/>
          <w:bCs/>
          <w:color w:val="1F3A5F"/>
          <w:sz w:val="18"/>
          <w:szCs w:val="18"/>
        </w:rPr>
        <w:t xml:space="preserve">SHEIN at a glance: scale, reach and financial profile</w:t>
      </w:r>
    </w:p>
    <w:p>
      <w:pPr>
        <w:keepNext/>
        <w:spacing w:after="20"/>
        <w:jc w:val="center"/>
      </w:pPr>
      <w:r>
        <w:drawing>
          <wp:inline distT="0" distB="0" distL="0" distR="0">
            <wp:extent cx="5762625" cy="2762250"/>
            <wp:effectExtent t="0" r="0" b="0" l="0"/>
            <wp:docPr id="4" name="chart_05_company_overview.png" descr="SHEIN at a glance: scale, reach and financial profile" title="SHEIN at a glance: scale, reach and financial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762250"/>
                    </a:xfrm>
                    <a:prstGeom prst="rect">
                      <a:avLst/>
                    </a:prstGeom>
                  </pic:spPr>
                </pic:pic>
              </a:graphicData>
            </a:graphic>
          </wp:inline>
        </w:drawing>
      </w:r>
    </w:p>
    <w:p>
      <w:pPr>
        <w:spacing w:after="120"/>
      </w:pPr>
    </w:p>
    <w:p>
      <w:pPr>
        <w:pStyle w:val="Heading2"/>
        <w:keepNext/>
      </w:pPr>
      <w:bookmarkStart w:name="h_15" w:id="15"/>
      <w:r>
        <w:t xml:space="preserve">Company History</w:t>
      </w:r>
      <w:bookmarkEnd w:id="15"/>
    </w:p>
    <w:p>
      <w:pPr>
        <w:spacing w:after="120" w:line="264"/>
        <w:jc w:val="both"/>
      </w:pPr>
      <w:r>
        <w:rPr>
          <w:rFonts w:ascii="Times New Roman" w:cs="Times New Roman" w:eastAsia="Times New Roman" w:hAnsi="Times New Roman"/>
          <w:b/>
          <w:bCs/>
        </w:rPr>
        <w:t xml:space="preserve">Origins (2008-2014).</w:t>
      </w:r>
      <w:r>
        <w:rPr>
          <w:rFonts w:ascii="Times New Roman" w:cs="Times New Roman" w:eastAsia="Times New Roman" w:hAnsi="Times New Roman"/>
        </w:rPr>
        <w:t xml:space="preserve"> Press accounts trace SHEIN's roots to a cross-border e-commerce business started in Nanjing in 2008 by Xu Yangtian, a search-engine-marketing specialist who sold apparel to overseas buyers online. The Prospectus dates the business's formal launch to </w:t>
      </w:r>
      <w:r>
        <w:rPr>
          <w:rFonts w:ascii="Times New Roman" w:cs="Times New Roman" w:eastAsia="Times New Roman" w:hAnsi="Times New Roman"/>
          <w:b/>
          <w:bCs/>
        </w:rPr>
        <w:t xml:space="preserve">2012</w:t>
      </w:r>
      <w:r>
        <w:rPr>
          <w:rFonts w:ascii="Times New Roman" w:cs="Times New Roman" w:eastAsia="Times New Roman" w:hAnsi="Times New Roman"/>
        </w:rPr>
        <w:t xml:space="preserve">, when Mr Xu and his three co-founders — Miao Miao, Gu Xiaoqing and Ren Xiaoqing, all former colleagues at a company providing search-engine marketing services to Chinese exporters — started the venture. The founders' background matters: SHEIN was built by digital marketers rather than by merchants or designers, and its early edge came from performance marketing, social-media and influencer engagement and data-driven merchandising. The </w:t>
      </w:r>
      <w:r>
        <w:rPr>
          <w:rFonts w:ascii="Times New Roman" w:cs="Times New Roman" w:eastAsia="Times New Roman" w:hAnsi="Times New Roman"/>
          <w:b/>
          <w:bCs/>
        </w:rPr>
        <w:t xml:space="preserve">SHEIN</w:t>
      </w:r>
      <w:r>
        <w:rPr>
          <w:rFonts w:ascii="Times New Roman" w:cs="Times New Roman" w:eastAsia="Times New Roman" w:hAnsi="Times New Roman"/>
        </w:rPr>
        <w:t xml:space="preserve"> brand was introduced in 2013, and the Cayman holding company (then named Elite Depot Limited) was incorporated on 12 May 2014.</w:t>
      </w:r>
    </w:p>
    <w:p>
      <w:pPr>
        <w:spacing w:after="120" w:line="264"/>
        <w:jc w:val="both"/>
      </w:pPr>
      <w:r>
        <w:rPr>
          <w:rFonts w:ascii="Times New Roman" w:cs="Times New Roman" w:eastAsia="Times New Roman" w:hAnsi="Times New Roman"/>
          <w:b/>
          <w:bCs/>
        </w:rPr>
        <w:t xml:space="preserve">Building the machine (2014-2019).</w:t>
      </w:r>
      <w:r>
        <w:rPr>
          <w:rFonts w:ascii="Times New Roman" w:cs="Times New Roman" w:eastAsia="Times New Roman" w:hAnsi="Times New Roman"/>
        </w:rPr>
        <w:t xml:space="preserve"> In 2014 SHEIN pilot-tested LATR, and in 2015 it debuted its mobile app. During this period the Company built its operational base in Guangzhou, embedding itself in the dense garment-manufacturing cluster of the Pearl River Delta and progressively digitising its suppliers through free cloud-based production-management software. Financing followed the model's traction: a Series A in 2015 (US$5m at a US$53m pre-money valuation), a Series B from 2016 (RMB169m at RMB1.1bn), and a Series C in 2018-19 (US$243m at US$2.4bn). Annual active customers reached 10 million in 2018.</w:t>
      </w:r>
    </w:p>
    <w:p>
      <w:pPr>
        <w:spacing w:after="120" w:line="264"/>
        <w:jc w:val="both"/>
      </w:pPr>
      <w:r>
        <w:rPr>
          <w:rFonts w:ascii="Times New Roman" w:cs="Times New Roman" w:eastAsia="Times New Roman" w:hAnsi="Times New Roman"/>
          <w:b/>
          <w:bCs/>
        </w:rPr>
        <w:t xml:space="preserve">Hyper-growth (2020-2022).</w:t>
      </w:r>
      <w:r>
        <w:rPr>
          <w:rFonts w:ascii="Times New Roman" w:cs="Times New Roman" w:eastAsia="Times New Roman" w:hAnsi="Times New Roman"/>
        </w:rPr>
        <w:t xml:space="preserve"> The pandemic shift to online shopping, combined with SHEIN's TikTok- and Instagram-native marketing, turned the Company into a global phenomenon. Active customers passed 50 million in 2020 and 100 million in 2021, the year SHEIN launched the </w:t>
      </w:r>
      <w:r>
        <w:rPr>
          <w:rFonts w:ascii="Times New Roman" w:cs="Times New Roman" w:eastAsia="Times New Roman" w:hAnsi="Times New Roman"/>
          <w:b/>
          <w:bCs/>
        </w:rPr>
        <w:t xml:space="preserve">SHEIN X</w:t>
      </w:r>
      <w:r>
        <w:rPr>
          <w:rFonts w:ascii="Times New Roman" w:cs="Times New Roman" w:eastAsia="Times New Roman" w:hAnsi="Times New Roman"/>
        </w:rPr>
        <w:t xml:space="preserve"> designer-incubation programme and moved its headquarters to Singapore. A Series C+ in March 2020 valued the Company at US$5bn; a Series D in 2022 raised US$1.8bn at a </w:t>
      </w:r>
      <w:r>
        <w:rPr>
          <w:rFonts w:ascii="Times New Roman" w:cs="Times New Roman" w:eastAsia="Times New Roman" w:hAnsi="Times New Roman"/>
          <w:b/>
          <w:bCs/>
        </w:rPr>
        <w:t xml:space="preserve">US$98.2bn</w:t>
      </w:r>
      <w:r>
        <w:rPr>
          <w:rFonts w:ascii="Times New Roman" w:cs="Times New Roman" w:eastAsia="Times New Roman" w:hAnsi="Times New Roman"/>
        </w:rPr>
        <w:t xml:space="preserve"> pre-money valuation (US$23.72 per share, split-adjusted). Net revenues exceeded US$20bn in 2022. This was the valuation peak.</w:t>
      </w:r>
    </w:p>
    <w:p>
      <w:pPr>
        <w:spacing w:after="120" w:line="264"/>
        <w:jc w:val="both"/>
      </w:pPr>
      <w:r>
        <w:rPr>
          <w:rFonts w:ascii="Times New Roman" w:cs="Times New Roman" w:eastAsia="Times New Roman" w:hAnsi="Times New Roman"/>
          <w:b/>
          <w:bCs/>
        </w:rPr>
        <w:t xml:space="preserve">Marketplace, scrutiny and re-rating (2023-2025).</w:t>
      </w:r>
      <w:r>
        <w:rPr>
          <w:rFonts w:ascii="Times New Roman" w:cs="Times New Roman" w:eastAsia="Times New Roman" w:hAnsi="Times New Roman"/>
        </w:rPr>
        <w:t xml:space="preserve"> In 2023 SHEIN officially launched its marketplace for third-party merchants and raised US$1.7bn in a Series D+ at a </w:t>
      </w:r>
      <w:r>
        <w:rPr>
          <w:rFonts w:ascii="Times New Roman" w:cs="Times New Roman" w:eastAsia="Times New Roman" w:hAnsi="Times New Roman"/>
          <w:b/>
          <w:bCs/>
        </w:rPr>
        <w:t xml:space="preserve">US$64.0bn</w:t>
      </w:r>
      <w:r>
        <w:rPr>
          <w:rFonts w:ascii="Times New Roman" w:cs="Times New Roman" w:eastAsia="Times New Roman" w:hAnsi="Times New Roman"/>
        </w:rPr>
        <w:t xml:space="preserve"> pre-money valuation — a 35% down-round. It also took a roughly one-third stake in SPARC Group (then operator of brands including Forever 21) in exchange for Class B shares, a partnership intended to combine SPARC's physical retail with SHEIN's on-demand supply chain; the investment has since produced cumulative associate losses. Temu's aggressive entry into Western markets in 2023 triggered litigation in both directions (the US antitrust complaint by Temu, and SHEIN's UK copyright claims). Revenue grew 41.1% in 2023 and 20.7% in 2024; active customers passed 200 million in 2024. A planned New York listing stalled amid US political scrutiny, as did a London listing attempt; the Company ultimately filed in Hong Kong. In 2025 growth slowed to 8.0% as the US removed the de minimis exemption for Chinese imports (effective 2 May 2025) and then for all countries (29 August 2025); US revenue fell 3.5%. In October 2025 SHEIN upgraded SHEIN X into the </w:t>
      </w:r>
      <w:r>
        <w:rPr>
          <w:rFonts w:ascii="Times New Roman" w:cs="Times New Roman" w:eastAsia="Times New Roman" w:hAnsi="Times New Roman"/>
          <w:b/>
          <w:bCs/>
        </w:rPr>
        <w:t xml:space="preserve">SHEIN Xcelerator Programme</w:t>
      </w:r>
      <w:r>
        <w:rPr>
          <w:rFonts w:ascii="Times New Roman" w:cs="Times New Roman" w:eastAsia="Times New Roman" w:hAnsi="Times New Roman"/>
        </w:rPr>
        <w:t xml:space="preserve">, a brand-enablement platform. Regulatory costs rose: a €40m DGCCRF settlement in France (July 2025) and a €150m CNIL cookie-consent fine (September 2025, under appeal).</w:t>
      </w:r>
    </w:p>
    <w:p>
      <w:pPr>
        <w:spacing w:after="120" w:line="264"/>
        <w:jc w:val="both"/>
      </w:pPr>
      <w:r>
        <w:rPr>
          <w:rFonts w:ascii="Times New Roman" w:cs="Times New Roman" w:eastAsia="Times New Roman" w:hAnsi="Times New Roman"/>
          <w:b/>
          <w:bCs/>
        </w:rPr>
        <w:t xml:space="preserve">Road to listing (2026).</w:t>
      </w:r>
      <w:r>
        <w:rPr>
          <w:rFonts w:ascii="Times New Roman" w:cs="Times New Roman" w:eastAsia="Times New Roman" w:hAnsi="Times New Roman"/>
        </w:rPr>
        <w:t xml:space="preserve"> In March 2026 the preferred shareholders' redemption date was extended from 4 March to 31 December 2026 in exchange for ~US$1.1bn of 8% p.a. distributions (paid March-September 2026), a 12% p.a. coupon from 5 March to listing (~US$230m), and a full-ratchet style "Conversion Adjustment" for Series Pre-D, D and D+ holders, settled at listing by </w:t>
      </w:r>
      <w:r>
        <w:rPr>
          <w:rFonts w:ascii="Times New Roman" w:cs="Times New Roman" w:eastAsia="Times New Roman" w:hAnsi="Times New Roman"/>
          <w:b/>
          <w:bCs/>
        </w:rPr>
        <w:t xml:space="preserve">US$2.2bn of cash</w:t>
      </w:r>
      <w:r>
        <w:rPr>
          <w:rFonts w:ascii="Times New Roman" w:cs="Times New Roman" w:eastAsia="Times New Roman" w:hAnsi="Times New Roman"/>
        </w:rPr>
        <w:t xml:space="preserve"> plus 19.6 million additional shares. The EU approved the end of the €150 customs-duty exemption in February 2026 (effective 1 July 2026, with a €3 flat duty per item category). In the second quarter SHEIN acquired </w:t>
      </w:r>
      <w:r>
        <w:rPr>
          <w:rFonts w:ascii="Times New Roman" w:cs="Times New Roman" w:eastAsia="Times New Roman" w:hAnsi="Times New Roman"/>
          <w:b/>
          <w:bCs/>
        </w:rPr>
        <w:t xml:space="preserve">Everlane</w:t>
      </w:r>
      <w:r>
        <w:rPr>
          <w:rFonts w:ascii="Times New Roman" w:cs="Times New Roman" w:eastAsia="Times New Roman" w:hAnsi="Times New Roman"/>
        </w:rPr>
        <w:t xml:space="preserve">, a US premium basics brand, for US$78m (mostly repayment of Everlane debt). The Hong Kong IPO priced in late August 2026 at HK$48.56, near the mid-point of the HK$47.60-49.50 range; the retail tranche was 5.63x covered and the international book 2.59x, with seven cornerstone investors — mostly existing shareholders (Boyu, Tiger Global, General Atlantic, a Tencent affiliate, Greenwoods) plus Taikang Life and UBS AM Singapore — taking 22.1% of the offer. The shares opened flat, fell as low as HK$43.72 on day one, and slid through September; the stabilising manager bought back the full 15% over-allocation at HK$35.90-48.56 and the over-allotment option </w:t>
      </w:r>
      <w:r>
        <w:rPr>
          <w:rFonts w:ascii="Times New Roman" w:cs="Times New Roman" w:eastAsia="Times New Roman" w:hAnsi="Times New Roman"/>
          <w:b/>
          <w:bCs/>
        </w:rPr>
        <w:t xml:space="preserve">lapsed</w:t>
      </w:r>
      <w:r>
        <w:rPr>
          <w:rFonts w:ascii="Times New Roman" w:cs="Times New Roman" w:eastAsia="Times New Roman" w:hAnsi="Times New Roman"/>
        </w:rPr>
        <w:t xml:space="preserve"> on 26 September. On 28 September SHEIN reported its first interim results (1H26 revenue +1.0%, operating income –52.9%); the stock fell 10.7% the next day and closed at a record low of HK$30.84 on 30 September.</w:t>
      </w:r>
    </w:p>
    <w:p>
      <w:pPr>
        <w:keepNext/>
        <w:spacing w:after="60" w:before="160"/>
      </w:pPr>
      <w:r>
        <w:rPr>
          <w:rFonts w:ascii="Times New Roman" w:cs="Times New Roman" w:eastAsia="Times New Roman" w:hAnsi="Times New Roman"/>
          <w:b/>
          <w:bCs/>
          <w:color w:val="1F3A5F"/>
          <w:sz w:val="18"/>
          <w:szCs w:val="18"/>
        </w:rPr>
        <w:t xml:space="preserve">Figure 9: </w:t>
      </w:r>
      <w:r>
        <w:rPr>
          <w:rFonts w:ascii="Times New Roman" w:cs="Times New Roman" w:eastAsia="Times New Roman" w:hAnsi="Times New Roman"/>
          <w:b/>
          <w:bCs/>
          <w:color w:val="1F3A5F"/>
          <w:sz w:val="18"/>
          <w:szCs w:val="18"/>
        </w:rPr>
        <w:t xml:space="preserve">Key milestones, 2012-2026</w:t>
      </w:r>
    </w:p>
    <w:p>
      <w:pPr>
        <w:keepNext/>
        <w:spacing w:after="20"/>
        <w:jc w:val="center"/>
      </w:pPr>
      <w:r>
        <w:drawing>
          <wp:inline distT="0" distB="0" distL="0" distR="0">
            <wp:extent cx="5762625" cy="2609850"/>
            <wp:effectExtent t="0" r="0" b="0" l="0"/>
            <wp:docPr id="5" name="chart_06_key_milestones_timeline.png" descr="Key milestones, 2012-2026" title="Key milestones, 2012-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609850"/>
                    </a:xfrm>
                    <a:prstGeom prst="rect">
                      <a:avLst/>
                    </a:prstGeom>
                  </pic:spPr>
                </pic:pic>
              </a:graphicData>
            </a:graphic>
          </wp:inline>
        </w:drawing>
      </w:r>
    </w:p>
    <w:p>
      <w:pPr>
        <w:spacing w:after="120"/>
      </w:pPr>
    </w:p>
    <w:p>
      <w:pPr>
        <w:pStyle w:val="Heading2"/>
        <w:keepNext/>
      </w:pPr>
      <w:bookmarkStart w:name="h_16" w:id="16"/>
      <w:r>
        <w:t xml:space="preserve">Management Team and Governance</w:t>
      </w:r>
      <w:bookmarkEnd w:id="16"/>
    </w:p>
    <w:p>
      <w:pPr>
        <w:spacing w:after="120" w:line="264"/>
        <w:jc w:val="both"/>
      </w:pPr>
      <w:r>
        <w:rPr>
          <w:rFonts w:ascii="Times New Roman" w:cs="Times New Roman" w:eastAsia="Times New Roman" w:hAnsi="Times New Roman"/>
        </w:rPr>
        <w:t xml:space="preserve">SHEIN remains founder-led and founder-controlled. All four co-founders sit on the seven-member Board as executive directors, and together they control </w:t>
      </w:r>
      <w:r>
        <w:rPr>
          <w:rFonts w:ascii="Times New Roman" w:cs="Times New Roman" w:eastAsia="Times New Roman" w:hAnsi="Times New Roman"/>
          <w:b/>
          <w:bCs/>
        </w:rPr>
        <w:t xml:space="preserve">83.3% of the votes</w:t>
      </w:r>
      <w:r>
        <w:rPr>
          <w:rFonts w:ascii="Times New Roman" w:cs="Times New Roman" w:eastAsia="Times New Roman" w:hAnsi="Times New Roman"/>
        </w:rPr>
        <w:t xml:space="preserve"> on ordinary resolutions through Class A shares carrying ten votes each. Two professional executives — the CFO and CTO — complete the senior management team disclosed in the Prospectus.</w:t>
      </w:r>
    </w:p>
    <w:p>
      <w:pPr>
        <w:keepNext/>
        <w:spacing w:after="60" w:before="160"/>
      </w:pPr>
      <w:r>
        <w:rPr>
          <w:rFonts w:ascii="Times New Roman" w:cs="Times New Roman" w:eastAsia="Times New Roman" w:hAnsi="Times New Roman"/>
          <w:b/>
          <w:bCs/>
          <w:color w:val="1F3A5F"/>
          <w:sz w:val="18"/>
          <w:szCs w:val="18"/>
        </w:rPr>
        <w:t xml:space="preserve">Figure 10: </w:t>
      </w:r>
      <w:r>
        <w:rPr>
          <w:rFonts w:ascii="Times New Roman" w:cs="Times New Roman" w:eastAsia="Times New Roman" w:hAnsi="Times New Roman"/>
          <w:b/>
          <w:bCs/>
          <w:color w:val="1F3A5F"/>
          <w:sz w:val="18"/>
          <w:szCs w:val="18"/>
        </w:rPr>
        <w:t xml:space="preserve">Board, weighted-voting-rights control and senior management</w:t>
      </w:r>
    </w:p>
    <w:p>
      <w:pPr>
        <w:keepNext/>
        <w:spacing w:after="20"/>
        <w:jc w:val="center"/>
      </w:pPr>
      <w:r>
        <w:drawing>
          <wp:inline distT="0" distB="0" distL="0" distR="0">
            <wp:extent cx="5762625" cy="3000375"/>
            <wp:effectExtent t="0" r="0" b="0" l="0"/>
            <wp:docPr id="6" name="chart_07_organizational_structure.png" descr="Board, weighted-voting-rights control and senior management" title="Board, weighted-voting-rights control and senio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000375"/>
                    </a:xfrm>
                    <a:prstGeom prst="rect">
                      <a:avLst/>
                    </a:prstGeom>
                  </pic:spPr>
                </pic:pic>
              </a:graphicData>
            </a:graphic>
          </wp:inline>
        </w:drawing>
      </w:r>
    </w:p>
    <w:p>
      <w:pPr>
        <w:spacing w:after="120"/>
      </w:pPr>
    </w:p>
    <w:p>
      <w:pPr>
        <w:pStyle w:val="Heading3"/>
        <w:keepNext/>
      </w:pPr>
      <w:bookmarkStart w:name="h_17" w:id="17"/>
      <w:r>
        <w:t xml:space="preserve">Xu Yangtian — Founder, Chairman and Chief Executive Officer (age 43)</w:t>
      </w:r>
      <w:bookmarkEnd w:id="17"/>
    </w:p>
    <w:p>
      <w:pPr>
        <w:spacing w:after="120" w:line="264"/>
        <w:jc w:val="both"/>
      </w:pPr>
      <w:r>
        <w:rPr>
          <w:rFonts w:ascii="Times New Roman" w:cs="Times New Roman" w:eastAsia="Times New Roman" w:hAnsi="Times New Roman"/>
        </w:rPr>
        <w:t xml:space="preserve">Mr Xu founded SHEIN and has served as chairman, executive director and CEO since inception; he is responsible for group strategy and business management. Before SHEIN he worked with his co-founders at a company providing search-engine marketing to Chinese export businesses, and he holds a bachelor's degree in international trade from Qingdao University of Technology (2007). His background explains much of SHEIN's DNA: an obsession with customer-acquisition efficiency, rapid A/B testing and data-driven decision-making that was later applied to merchandising through LATR. Mr Xu is famously low-profile — he has given almost no interviews and the first Chairman's Statement in the Interim Report is one of his few public written communications. That statement is revealing: he frames SHEIN as a "richly diversified brand collection" built on a "vertically integrated, first-party-led" model, commits that the first-party business "will always remain at the core", and sets three one-to-two-year priorities — broadening the price range towards higher-priced brands, raising quality and compliance investment, and more proactive consumer communication/brand marketing. He also defended the decision to absorb elevated freight costs in 2Q26 rather than raise prices, calling them transitory. After the IPO, Mr Xu beneficially owns 798,973,148 Class A and 487,090,102 Class B shares — </w:t>
      </w:r>
      <w:r>
        <w:rPr>
          <w:rFonts w:ascii="Times New Roman" w:cs="Times New Roman" w:eastAsia="Times New Roman" w:hAnsi="Times New Roman"/>
          <w:b/>
          <w:bCs/>
        </w:rPr>
        <w:t xml:space="preserve">30.3% of the share capital and 49.9% of the votes</w:t>
      </w:r>
      <w:r>
        <w:rPr>
          <w:rFonts w:ascii="Times New Roman" w:cs="Times New Roman" w:eastAsia="Times New Roman" w:hAnsi="Times New Roman"/>
        </w:rPr>
        <w:t xml:space="preserve"> — through Apex Sight Holdings, which he controls via a family trust. As the largest WVR beneficiary and the controlling shareholder, he effectively determines board composition and strategic direction. His holdings are subject to a </w:t>
      </w:r>
      <w:r>
        <w:rPr>
          <w:rFonts w:ascii="Times New Roman" w:cs="Times New Roman" w:eastAsia="Times New Roman" w:hAnsi="Times New Roman"/>
          <w:b/>
          <w:bCs/>
        </w:rPr>
        <w:t xml:space="preserve">24-month lock-up</w:t>
      </w:r>
      <w:r>
        <w:rPr>
          <w:rFonts w:ascii="Times New Roman" w:cs="Times New Roman" w:eastAsia="Times New Roman" w:hAnsi="Times New Roman"/>
        </w:rPr>
        <w:t xml:space="preserve">. For investors, Mr Xu's record is one of exceptional execution in building scale (net revenues above US$40bn within roughly 13 years of the 2012 launch) but also of a reserved, control-oriented style; the combination of CEO and chairman roles is a disclosed deviation from Hong Kong's Corporate Governance Code.</w:t>
      </w:r>
    </w:p>
    <w:p>
      <w:pPr>
        <w:pStyle w:val="Heading3"/>
        <w:keepNext/>
      </w:pPr>
      <w:bookmarkStart w:name="h_18" w:id="18"/>
      <w:r>
        <w:t xml:space="preserve">Miao Miao — Co-Founder, Executive Director and Chief Operating Officer (age 41)</w:t>
      </w:r>
      <w:bookmarkEnd w:id="18"/>
    </w:p>
    <w:p>
      <w:pPr>
        <w:spacing w:after="120" w:line="264"/>
        <w:jc w:val="both"/>
      </w:pPr>
      <w:r>
        <w:rPr>
          <w:rFonts w:ascii="Times New Roman" w:cs="Times New Roman" w:eastAsia="Times New Roman" w:hAnsi="Times New Roman"/>
        </w:rPr>
        <w:t xml:space="preserve">Ms Miao is a co-founder, has been an executive director since inception and chief operating officer since 2017, overseeing the Group's day-to-day operations. She also serves as a director or senior manager of several subsidiaries. Like Mr Xu she previously worked at the search-engine-marketing firm where the founders met, and she holds a bachelor's degree in management from Nanjing University of Posts and Telecommunications (2007). As COO she sits at the centre of the operational machinery that investors are underwriting: the fulfilment network (6.0m m² of leased warehouse space across 72 warehouses), customer service (25 centres) and the operating cadence that turned 715m orders in 2023 into 1.08bn in 2025 while cutting fulfilment cost per order from US$18.9 to US$17.7. Her operational remit also covers the tariff response — shifting to formal customs entry in the US, localising inventory in Europe and running the trade-compliance function — which is the single most important near-term execution task. Ms Miao beneficially owns 205,579,906 Class A and 471,329,694 Class B shares (the latter including 393,169,450 shares held by Trendy Group Holdings, a trust whose beneficiaries are the four founders' holding vehicles and whose votes she controls), giving her </w:t>
      </w:r>
      <w:r>
        <w:rPr>
          <w:rFonts w:ascii="Times New Roman" w:cs="Times New Roman" w:eastAsia="Times New Roman" w:hAnsi="Times New Roman"/>
          <w:b/>
          <w:bCs/>
        </w:rPr>
        <w:t xml:space="preserve">~14.9% of the votes</w:t>
      </w:r>
      <w:r>
        <w:rPr>
          <w:rFonts w:ascii="Times New Roman" w:cs="Times New Roman" w:eastAsia="Times New Roman" w:hAnsi="Times New Roman"/>
        </w:rPr>
        <w:t xml:space="preserve">. She sits on the Board's remuneration and nomination committees. Her dual role as operator and controller of the founders' shared trust makes her the second most influential person in the Company; her holdings are also locked up for 24 months.</w:t>
      </w:r>
    </w:p>
    <w:p>
      <w:pPr>
        <w:pStyle w:val="Heading3"/>
        <w:keepNext/>
      </w:pPr>
      <w:bookmarkStart w:name="h_19" w:id="19"/>
      <w:r>
        <w:t xml:space="preserve">Leigh Lei Gui — Chief Financial Officer (age 56)</w:t>
      </w:r>
      <w:bookmarkEnd w:id="19"/>
    </w:p>
    <w:p>
      <w:pPr>
        <w:spacing w:after="120" w:line="264"/>
        <w:jc w:val="both"/>
      </w:pPr>
      <w:r>
        <w:rPr>
          <w:rFonts w:ascii="Times New Roman" w:cs="Times New Roman" w:eastAsia="Times New Roman" w:hAnsi="Times New Roman"/>
        </w:rPr>
        <w:t xml:space="preserve">Mr Gui joined SHEIN as CFO in March 2021 and oversees finance. He is the Company's most important interface with public-market investors and the most experienced public-company executive on the team. Before SHEIN he was CFO of VIPKid (May 2020 to February 2021), and from 2005 to 2020 he held a series of finance roles at eBay and PayPal, including CFO of Greater China at eBay and PayPal, CFO of Asia-Pacific cross-border trade at eBay and CFO of international cross-border trade at eBay. That cross-border e-commerce background is directly relevant: he has managed the finance function for businesses exposed to customs regimes, FX, payment platforms and multi-jurisdiction tax. He holds a bachelor's degree in genetics from Wuhan University (1990), a master's in molecular biology from Rice University (1995) and an MBA from the University of Toronto (1999). Under his watch SHEIN has run a conservative treasury policy — deposits and certificates of deposit with highly rated banks, no leverage, no speculative trading, no FX hedging — and has built the Hong Kong reporting and non-IFRS framework (adjusted EBIT, adjusted net income) introduced with the Interim Report. Capital allocation is the area where his influence will be most scrutinised: the dividend policy (≥50% of net profit after significant capex) and the deployment of US$1.7bn of IPO proceeds (40% technology, 40% brand and global presence, 10% corporate responsibility, 10% general purposes). Mr Gui is not a director and is not a WVR beneficiary.</w:t>
      </w:r>
    </w:p>
    <w:p>
      <w:pPr>
        <w:pStyle w:val="Heading3"/>
        <w:keepNext/>
      </w:pPr>
      <w:bookmarkStart w:name="h_20" w:id="20"/>
      <w:r>
        <w:t xml:space="preserve">Gu Xiaoqing — Co-Founder, Executive Director and Chief Product Officer (age 44)</w:t>
      </w:r>
      <w:bookmarkEnd w:id="20"/>
    </w:p>
    <w:p>
      <w:pPr>
        <w:spacing w:after="120" w:line="264"/>
        <w:jc w:val="both"/>
      </w:pPr>
      <w:r>
        <w:rPr>
          <w:rFonts w:ascii="Times New Roman" w:cs="Times New Roman" w:eastAsia="Times New Roman" w:hAnsi="Times New Roman"/>
        </w:rPr>
        <w:t xml:space="preserve">Ms Gu is a co-founder, has been an executive director since inception and chief product officer since 2017, overseeing product management — the merchandising, design and category decisions that sit at the heart of LATR. She previously worked with the other founders at the search-engine-marketing firm and holds a bachelor of arts from Nanjing Tech University (2005). Product is where SHEIN's strategy is changing most visibly. The chairman's stated priority of moving up the price range is essentially a product-portfolio decision, and the Interim Report highlights product-led wins: MUSERA's expansion into sportswear, Aloruh's push into swimwear, sleepwear, sportswear and formal dresses, strong growth in childrenswear and sportswear, and the integration of the LATR supply chain with the "Design X" AI creative system for partner brands. The Everlane acquisition and the Xcelerator partners (AiiRZ, KIZN, Baby Phat, Fashion SZN) also fall within the product and brand agenda. Ms Gu will also carry much of the accountability for product-compliance issues — chemical-safety testing (800,000+ apparel inspections in 2025), IP screening (multi-layer image-recognition review) and marketplace listing controls — which have been a recurring source of regulatory action in France and the EU. She beneficially owns 205,579,906 Class A and 78,160,244 Class B shares (~12.6% of votes), locked up for 24 months.</w:t>
      </w:r>
    </w:p>
    <w:p>
      <w:pPr>
        <w:pStyle w:val="Heading3"/>
        <w:keepNext/>
      </w:pPr>
      <w:bookmarkStart w:name="h_21" w:id="21"/>
      <w:r>
        <w:t xml:space="preserve">Other key executives</w:t>
      </w:r>
      <w:bookmarkEnd w:id="21"/>
    </w:p>
    <w:p>
      <w:pPr>
        <w:pStyle w:val="ListParagraph"/>
        <w:numPr>
          <w:ilvl w:val="0"/>
          <w:numId w:val="3"/>
        </w:numPr>
        <w:spacing w:after="60" w:line="252"/>
      </w:pPr>
      <w:r>
        <w:rPr>
          <w:rFonts w:ascii="Times New Roman" w:cs="Times New Roman" w:eastAsia="Times New Roman" w:hAnsi="Times New Roman"/>
          <w:b/>
          <w:bCs/>
        </w:rPr>
        <w:t xml:space="preserve">Ren Xiaoqing — Co-Founder and Executive Director (age 40).</w:t>
      </w:r>
      <w:r>
        <w:rPr>
          <w:rFonts w:ascii="Times New Roman" w:cs="Times New Roman" w:eastAsia="Times New Roman" w:hAnsi="Times New Roman"/>
        </w:rPr>
        <w:t xml:space="preserve"> Formerly chief supply chain officer (from 2017), Mr Ren now oversees public affairs and corporate responsibility — a telling redeployment given SHEIN's regulatory and ESG exposure. He owns 205,579,906 Class A and 78,160,244 Class B shares (~12.6% of votes).</w:t>
      </w:r>
    </w:p>
    <w:p>
      <w:pPr>
        <w:pStyle w:val="ListParagraph"/>
        <w:numPr>
          <w:ilvl w:val="0"/>
          <w:numId w:val="3"/>
        </w:numPr>
        <w:spacing w:after="60" w:line="252"/>
      </w:pPr>
      <w:r>
        <w:rPr>
          <w:rFonts w:ascii="Times New Roman" w:cs="Times New Roman" w:eastAsia="Times New Roman" w:hAnsi="Times New Roman"/>
          <w:b/>
          <w:bCs/>
        </w:rPr>
        <w:t xml:space="preserve">Basten Hao Xu — Chief Technology Officer (age 38).</w:t>
      </w:r>
      <w:r>
        <w:rPr>
          <w:rFonts w:ascii="Times New Roman" w:cs="Times New Roman" w:eastAsia="Times New Roman" w:hAnsi="Times New Roman"/>
        </w:rPr>
        <w:t xml:space="preserve"> CTO since inception and responsible for technology development, including the 1,700+ in-house software systems that run LATR, supplier cloud tools and warehouse management. Holds a computer-science degree from Nanjing Agricultural University (2010).</w:t>
      </w:r>
    </w:p>
    <w:p>
      <w:pPr>
        <w:pStyle w:val="Heading3"/>
        <w:keepNext/>
      </w:pPr>
      <w:bookmarkStart w:name="h_22" w:id="22"/>
      <w:r>
        <w:t xml:space="preserve">Board, governance and ownership</w:t>
      </w:r>
      <w:bookmarkEnd w:id="22"/>
    </w:p>
    <w:p>
      <w:pPr>
        <w:pStyle w:val="ListParagraph"/>
        <w:numPr>
          <w:ilvl w:val="0"/>
          <w:numId w:val="3"/>
        </w:numPr>
        <w:spacing w:after="60" w:line="252"/>
      </w:pPr>
      <w:r>
        <w:rPr>
          <w:rFonts w:ascii="Times New Roman" w:cs="Times New Roman" w:eastAsia="Times New Roman" w:hAnsi="Times New Roman"/>
          <w:b/>
          <w:bCs/>
        </w:rPr>
        <w:t xml:space="preserve">Board:</w:t>
      </w:r>
      <w:r>
        <w:rPr>
          <w:rFonts w:ascii="Times New Roman" w:cs="Times New Roman" w:eastAsia="Times New Roman" w:hAnsi="Times New Roman"/>
        </w:rPr>
        <w:t xml:space="preserve"> seven directors — the four co-founders plus three independent non-executive directors: </w:t>
      </w:r>
      <w:r>
        <w:rPr>
          <w:rFonts w:ascii="Times New Roman" w:cs="Times New Roman" w:eastAsia="Times New Roman" w:hAnsi="Times New Roman"/>
          <w:b/>
          <w:bCs/>
        </w:rPr>
        <w:t xml:space="preserve">Denny Lee</w:t>
      </w:r>
      <w:r>
        <w:rPr>
          <w:rFonts w:ascii="Times New Roman" w:cs="Times New Roman" w:eastAsia="Times New Roman" w:hAnsi="Times New Roman"/>
        </w:rPr>
        <w:t xml:space="preserve"> (former NetEase CFO; audit-committee chair at NIO, New Oriental and Jianpu), </w:t>
      </w:r>
      <w:r>
        <w:rPr>
          <w:rFonts w:ascii="Times New Roman" w:cs="Times New Roman" w:eastAsia="Times New Roman" w:hAnsi="Times New Roman"/>
          <w:b/>
          <w:bCs/>
        </w:rPr>
        <w:t xml:space="preserve">Hongbin Cai</w:t>
      </w:r>
      <w:r>
        <w:rPr>
          <w:rFonts w:ascii="Times New Roman" w:cs="Times New Roman" w:eastAsia="Times New Roman" w:hAnsi="Times New Roman"/>
        </w:rPr>
        <w:t xml:space="preserve"> (Dean of HKU Business School; former Dean of Peking University's Guanghua School) and </w:t>
      </w:r>
      <w:r>
        <w:rPr>
          <w:rFonts w:ascii="Times New Roman" w:cs="Times New Roman" w:eastAsia="Times New Roman" w:hAnsi="Times New Roman"/>
          <w:b/>
          <w:bCs/>
        </w:rPr>
        <w:t xml:space="preserve">Lim Ming Yan</w:t>
      </w:r>
      <w:r>
        <w:rPr>
          <w:rFonts w:ascii="Times New Roman" w:cs="Times New Roman" w:eastAsia="Times New Roman" w:hAnsi="Times New Roman"/>
        </w:rPr>
        <w:t xml:space="preserve"> (Chairman of Changi Airport Group; former Group CEO of CapitaLand). Audit and corporate-governance committees are composed entirely of INEDs, as required for WVR issuers.</w:t>
      </w:r>
    </w:p>
    <w:p>
      <w:pPr>
        <w:pStyle w:val="ListParagraph"/>
        <w:numPr>
          <w:ilvl w:val="0"/>
          <w:numId w:val="3"/>
        </w:numPr>
        <w:spacing w:after="60" w:line="252"/>
      </w:pPr>
      <w:r>
        <w:rPr>
          <w:rFonts w:ascii="Times New Roman" w:cs="Times New Roman" w:eastAsia="Times New Roman" w:hAnsi="Times New Roman"/>
          <w:b/>
          <w:bCs/>
        </w:rPr>
        <w:t xml:space="preserve">Voting control:</w:t>
      </w:r>
      <w:r>
        <w:rPr>
          <w:rFonts w:ascii="Times New Roman" w:cs="Times New Roman" w:eastAsia="Times New Roman" w:hAnsi="Times New Roman"/>
        </w:rPr>
        <w:t xml:space="preserve"> Class A shares (ten votes) are held only by the founders; on reserved matters (e.g., changes to constitutional documents, appointment/removal of INEDs and auditors, winding up) all shares vote one-for-one.</w:t>
      </w:r>
    </w:p>
    <w:p>
      <w:pPr>
        <w:pStyle w:val="ListParagraph"/>
        <w:numPr>
          <w:ilvl w:val="0"/>
          <w:numId w:val="3"/>
        </w:numPr>
        <w:spacing w:after="60" w:line="252"/>
      </w:pPr>
      <w:r>
        <w:rPr>
          <w:rFonts w:ascii="Times New Roman" w:cs="Times New Roman" w:eastAsia="Times New Roman" w:hAnsi="Times New Roman"/>
          <w:b/>
          <w:bCs/>
        </w:rPr>
        <w:t xml:space="preserve">Economic ownership after IPO (4,246.2m shares):</w:t>
      </w:r>
      <w:r>
        <w:rPr>
          <w:rFonts w:ascii="Times New Roman" w:cs="Times New Roman" w:eastAsia="Times New Roman" w:hAnsi="Times New Roman"/>
        </w:rPr>
        <w:t xml:space="preserve"> founders ~2,531m shares (~59.6%, including Trendy Group); IDG ~7.2%, Sequoia China/HongShan-related ~3.8% of total, Sequoia Capital ~5.3%, Greenwoods ~3.9%; public float ~6.6% from the IPO.</w:t>
      </w:r>
    </w:p>
    <w:p>
      <w:pPr>
        <w:pStyle w:val="ListParagraph"/>
        <w:numPr>
          <w:ilvl w:val="0"/>
          <w:numId w:val="3"/>
        </w:numPr>
        <w:spacing w:after="60" w:line="252"/>
      </w:pPr>
      <w:r>
        <w:rPr>
          <w:rFonts w:ascii="Times New Roman" w:cs="Times New Roman" w:eastAsia="Times New Roman" w:hAnsi="Times New Roman"/>
          <w:b/>
          <w:bCs/>
        </w:rPr>
        <w:t xml:space="preserve">Lock-ups:</w:t>
      </w:r>
      <w:r>
        <w:rPr>
          <w:rFonts w:ascii="Times New Roman" w:cs="Times New Roman" w:eastAsia="Times New Roman" w:hAnsi="Times New Roman"/>
        </w:rPr>
        <w:t xml:space="preserve"> founders 24 months; pre-IPO investors and cornerstone investors </w:t>
      </w:r>
      <w:r>
        <w:rPr>
          <w:rFonts w:ascii="Times New Roman" w:cs="Times New Roman" w:eastAsia="Times New Roman" w:hAnsi="Times New Roman"/>
          <w:b/>
          <w:bCs/>
        </w:rPr>
        <w:t xml:space="preserve">six months (to ~1 March 2027)</w:t>
      </w:r>
      <w:r>
        <w:rPr>
          <w:rFonts w:ascii="Times New Roman" w:cs="Times New Roman" w:eastAsia="Times New Roman" w:hAnsi="Times New Roman"/>
        </w:rPr>
        <w:t xml:space="preserve">. Pre-IPO investors (~34% of shares) from Series A-C have deeply in-the-money positions (cost of US$0.01-1.28 per share vs. HK$30.84 ≈ US$3.93), creating a potential supply overhang when the lock-up ends.</w:t>
      </w:r>
    </w:p>
    <w:p>
      <w:pPr>
        <w:pStyle w:val="ListParagraph"/>
        <w:numPr>
          <w:ilvl w:val="0"/>
          <w:numId w:val="3"/>
        </w:numPr>
        <w:spacing w:after="60" w:line="252"/>
      </w:pPr>
      <w:r>
        <w:rPr>
          <w:rFonts w:ascii="Times New Roman" w:cs="Times New Roman" w:eastAsia="Times New Roman" w:hAnsi="Times New Roman"/>
          <w:b/>
          <w:bCs/>
        </w:rPr>
        <w:t xml:space="preserve">Remuneration:</w:t>
      </w:r>
      <w:r>
        <w:rPr>
          <w:rFonts w:ascii="Times New Roman" w:cs="Times New Roman" w:eastAsia="Times New Roman" w:hAnsi="Times New Roman"/>
        </w:rPr>
        <w:t xml:space="preserve"> directors' aggregate pay was ~US$3m a year in 2023-25; the five highest-paid individuals (none directors in 2025) received US$14m in 2025.</w:t>
      </w:r>
    </w:p>
    <w:p>
      <w:pPr>
        <w:pStyle w:val="ListParagraph"/>
        <w:numPr>
          <w:ilvl w:val="0"/>
          <w:numId w:val="3"/>
        </w:numPr>
        <w:spacing w:after="60" w:line="252"/>
      </w:pPr>
      <w:r>
        <w:rPr>
          <w:rFonts w:ascii="Times New Roman" w:cs="Times New Roman" w:eastAsia="Times New Roman" w:hAnsi="Times New Roman"/>
          <w:b/>
          <w:bCs/>
        </w:rPr>
        <w:t xml:space="preserve">Compliance adviser:</w:t>
      </w:r>
      <w:r>
        <w:rPr>
          <w:rFonts w:ascii="Times New Roman" w:cs="Times New Roman" w:eastAsia="Times New Roman" w:hAnsi="Times New Roman"/>
        </w:rPr>
        <w:t xml:space="preserve"> Somerley Capital (permanent, as required for WVR issuers). Auditor: Deloitte Touche Tohmatsu.</w:t>
      </w:r>
    </w:p>
    <w:p>
      <w:pPr>
        <w:spacing w:after="120" w:line="264"/>
        <w:jc w:val="both"/>
      </w:pPr>
      <w:r>
        <w:rPr>
          <w:rFonts w:ascii="Times New Roman" w:cs="Times New Roman" w:eastAsia="Times New Roman" w:hAnsi="Times New Roman"/>
          <w:b/>
          <w:bCs/>
        </w:rPr>
        <w:t xml:space="preserve">Assessment:</w:t>
      </w:r>
      <w:r>
        <w:rPr>
          <w:rFonts w:ascii="Times New Roman" w:cs="Times New Roman" w:eastAsia="Times New Roman" w:hAnsi="Times New Roman"/>
        </w:rPr>
        <w:t xml:space="preserve"> Governance is the weakest part of the equity story. Founders hold near-absolute control, the CEO is also chairman, management has limited public-market experience beyond the CFO, and the pre-IPO restructuring transferred ~US$3.5bn of cash (US$2.2bn Conversion Adjustment + ~US$1.3bn distributions) to preferred holders — cash that would otherwise belong to all shareholders. Offsetting features are an experienced INED slate, a stated ≥50% payout policy and the founders' 24-month lock-up, which aligns their horizon with minority holders.</w:t>
      </w:r>
    </w:p>
    <w:p>
      <w:pPr>
        <w:keepNext/>
        <w:spacing w:after="60" w:before="160"/>
      </w:pPr>
      <w:r>
        <w:rPr>
          <w:rFonts w:ascii="Times New Roman" w:cs="Times New Roman" w:eastAsia="Times New Roman" w:hAnsi="Times New Roman"/>
          <w:b/>
          <w:bCs/>
          <w:color w:val="1F3A5F"/>
          <w:sz w:val="18"/>
          <w:szCs w:val="18"/>
        </w:rPr>
        <w:t xml:space="preserve">Figure 11: </w:t>
      </w:r>
      <w:r>
        <w:rPr>
          <w:rFonts w:ascii="Times New Roman" w:cs="Times New Roman" w:eastAsia="Times New Roman" w:hAnsi="Times New Roman"/>
          <w:b/>
          <w:bCs/>
          <w:color w:val="1F3A5F"/>
          <w:sz w:val="18"/>
          <w:szCs w:val="18"/>
        </w:rPr>
        <w:t xml:space="preserve">Ownership structure after the IPO (% of share capital and % of votes)</w:t>
      </w:r>
    </w:p>
    <w:p>
      <w:pPr>
        <w:keepNext/>
        <w:spacing w:after="20"/>
        <w:jc w:val="center"/>
      </w:pPr>
      <w:r>
        <w:drawing>
          <wp:inline distT="0" distB="0" distL="0" distR="0">
            <wp:extent cx="5762625" cy="2762250"/>
            <wp:effectExtent t="0" r="0" b="0" l="0"/>
            <wp:docPr id="7" name="chart_27_ownership_structure.png" descr="Ownership structure after the IPO (% of share capital and % of votes)" title="Ownership structure after the IPO (% of share capital and % of v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762250"/>
                    </a:xfrm>
                    <a:prstGeom prst="rect">
                      <a:avLst/>
                    </a:prstGeom>
                  </pic:spPr>
                </pic:pic>
              </a:graphicData>
            </a:graphic>
          </wp:inline>
        </w:drawing>
      </w:r>
    </w:p>
    <w:p>
      <w:pPr>
        <w:spacing w:after="120"/>
      </w:pPr>
    </w:p>
    <w:p>
      <w:pPr>
        <w:pStyle w:val="Heading2"/>
        <w:keepNext/>
      </w:pPr>
      <w:bookmarkStart w:name="h_23" w:id="23"/>
      <w:r>
        <w:t xml:space="preserve">Products and Services</w:t>
      </w:r>
      <w:bookmarkEnd w:id="23"/>
    </w:p>
    <w:p>
      <w:pPr>
        <w:pStyle w:val="Heading3"/>
        <w:keepNext/>
      </w:pPr>
      <w:bookmarkStart w:name="h_24" w:id="24"/>
      <w:r>
        <w:t xml:space="preserve">First-party brand portfolio (88.7% of 2025 net revenues)</w:t>
      </w:r>
      <w:bookmarkEnd w:id="24"/>
    </w:p>
    <w:p>
      <w:pPr>
        <w:spacing w:after="120" w:line="264"/>
        <w:jc w:val="both"/>
      </w:pPr>
      <w:r>
        <w:rPr>
          <w:rFonts w:ascii="Times New Roman" w:cs="Times New Roman" w:eastAsia="Times New Roman" w:hAnsi="Times New Roman"/>
        </w:rPr>
        <w:t xml:space="preserve">SHEIN's first-party business sells company-branded and partnership-brand products sourced from contract manufacturers. The flagship </w:t>
      </w:r>
      <w:r>
        <w:rPr>
          <w:rFonts w:ascii="Times New Roman" w:cs="Times New Roman" w:eastAsia="Times New Roman" w:hAnsi="Times New Roman"/>
          <w:b/>
          <w:bCs/>
        </w:rPr>
        <w:t xml:space="preserve">SHEIN</w:t>
      </w:r>
      <w:r>
        <w:rPr>
          <w:rFonts w:ascii="Times New Roman" w:cs="Times New Roman" w:eastAsia="Times New Roman" w:hAnsi="Times New Roman"/>
        </w:rPr>
        <w:t xml:space="preserve"> brand focuses on value women's fashion; sub-brands extend the range: </w:t>
      </w:r>
      <w:r>
        <w:rPr>
          <w:rFonts w:ascii="Times New Roman" w:cs="Times New Roman" w:eastAsia="Times New Roman" w:hAnsi="Times New Roman"/>
          <w:b/>
          <w:bCs/>
        </w:rPr>
        <w:t xml:space="preserve">MOTF</w:t>
      </w:r>
      <w:r>
        <w:rPr>
          <w:rFonts w:ascii="Times New Roman" w:cs="Times New Roman" w:eastAsia="Times New Roman" w:hAnsi="Times New Roman"/>
        </w:rPr>
        <w:t xml:space="preserve"> (premium), </w:t>
      </w:r>
      <w:r>
        <w:rPr>
          <w:rFonts w:ascii="Times New Roman" w:cs="Times New Roman" w:eastAsia="Times New Roman" w:hAnsi="Times New Roman"/>
          <w:b/>
          <w:bCs/>
        </w:rPr>
        <w:t xml:space="preserve">Glowmode</w:t>
      </w:r>
      <w:r>
        <w:rPr>
          <w:rFonts w:ascii="Times New Roman" w:cs="Times New Roman" w:eastAsia="Times New Roman" w:hAnsi="Times New Roman"/>
        </w:rPr>
        <w:t xml:space="preserve"> (activewear), </w:t>
      </w:r>
      <w:r>
        <w:rPr>
          <w:rFonts w:ascii="Times New Roman" w:cs="Times New Roman" w:eastAsia="Times New Roman" w:hAnsi="Times New Roman"/>
          <w:b/>
          <w:bCs/>
        </w:rPr>
        <w:t xml:space="preserve">SHEGLAM</w:t>
      </w:r>
      <w:r>
        <w:rPr>
          <w:rFonts w:ascii="Times New Roman" w:cs="Times New Roman" w:eastAsia="Times New Roman" w:hAnsi="Times New Roman"/>
        </w:rPr>
        <w:t xml:space="preserve"> (cosmetics), </w:t>
      </w:r>
      <w:r>
        <w:rPr>
          <w:rFonts w:ascii="Times New Roman" w:cs="Times New Roman" w:eastAsia="Times New Roman" w:hAnsi="Times New Roman"/>
          <w:b/>
          <w:bCs/>
        </w:rPr>
        <w:t xml:space="preserve">MUSERA</w:t>
      </w:r>
      <w:r>
        <w:rPr>
          <w:rFonts w:ascii="Times New Roman" w:cs="Times New Roman" w:eastAsia="Times New Roman" w:hAnsi="Times New Roman"/>
        </w:rPr>
        <w:t xml:space="preserve"> (dresses, now sportswear) and </w:t>
      </w:r>
      <w:r>
        <w:rPr>
          <w:rFonts w:ascii="Times New Roman" w:cs="Times New Roman" w:eastAsia="Times New Roman" w:hAnsi="Times New Roman"/>
          <w:b/>
          <w:bCs/>
        </w:rPr>
        <w:t xml:space="preserve">Aloruh</w:t>
      </w:r>
      <w:r>
        <w:rPr>
          <w:rFonts w:ascii="Times New Roman" w:cs="Times New Roman" w:eastAsia="Times New Roman" w:hAnsi="Times New Roman"/>
        </w:rPr>
        <w:t xml:space="preserve"> (women's fashion expanding into swimwear, sleepwear and formal). </w:t>
      </w:r>
      <w:r>
        <w:rPr>
          <w:rFonts w:ascii="Times New Roman" w:cs="Times New Roman" w:eastAsia="Times New Roman" w:hAnsi="Times New Roman"/>
          <w:b/>
          <w:bCs/>
        </w:rPr>
        <w:t xml:space="preserve">Everlane</w:t>
      </w:r>
      <w:r>
        <w:rPr>
          <w:rFonts w:ascii="Times New Roman" w:cs="Times New Roman" w:eastAsia="Times New Roman" w:hAnsi="Times New Roman"/>
        </w:rPr>
        <w:t xml:space="preserve">, acquired in 2Q26, adds a US-heritage premium-basics brand with a sustainability positioning and an established US customer base. Categories span apparel (63.8% of 2025 revenues), footwear, accessories, beauty, home &amp; living, childrenswear, sportswear and lifestyle. The apparel share has declined from 68.8% in 2023 as SHEIN broadened into categories that raise order frequency and basket size, though some (home &amp; living) carry lower margins.</w:t>
      </w:r>
    </w:p>
    <w:p>
      <w:pPr>
        <w:spacing w:after="120" w:line="264"/>
        <w:jc w:val="both"/>
      </w:pPr>
      <w:r>
        <w:rPr>
          <w:rFonts w:ascii="Times New Roman" w:cs="Times New Roman" w:eastAsia="Times New Roman" w:hAnsi="Times New Roman"/>
          <w:b/>
          <w:bCs/>
        </w:rPr>
        <w:t xml:space="preserve">Pricing</w:t>
      </w:r>
      <w:r>
        <w:rPr>
          <w:rFonts w:ascii="Times New Roman" w:cs="Times New Roman" w:eastAsia="Times New Roman" w:hAnsi="Times New Roman"/>
        </w:rPr>
        <w:t xml:space="preserve"> is cost-plus with dynamic adjustment. Management's stated strategy is to keep the value core while adding higher-priced brands, which should lift the platform's average selling price and — given operating leverage on a per-order fulfilment cost base of ~US$18 — improve margins.</w:t>
      </w:r>
    </w:p>
    <w:p>
      <w:pPr>
        <w:keepNext/>
        <w:spacing w:after="60" w:before="160"/>
      </w:pPr>
      <w:r>
        <w:rPr>
          <w:rFonts w:ascii="Times New Roman" w:cs="Times New Roman" w:eastAsia="Times New Roman" w:hAnsi="Times New Roman"/>
          <w:b/>
          <w:bCs/>
          <w:color w:val="1F3A5F"/>
          <w:sz w:val="18"/>
          <w:szCs w:val="18"/>
        </w:rPr>
        <w:t xml:space="preserve">Figure 12: </w:t>
      </w:r>
      <w:r>
        <w:rPr>
          <w:rFonts w:ascii="Times New Roman" w:cs="Times New Roman" w:eastAsia="Times New Roman" w:hAnsi="Times New Roman"/>
          <w:b/>
          <w:bCs/>
          <w:color w:val="1F3A5F"/>
          <w:sz w:val="18"/>
          <w:szCs w:val="18"/>
        </w:rPr>
        <w:t xml:space="preserve">Brand and business-model portfolio</w:t>
      </w:r>
    </w:p>
    <w:p>
      <w:pPr>
        <w:keepNext/>
        <w:spacing w:after="20"/>
        <w:jc w:val="center"/>
      </w:pPr>
      <w:r>
        <w:drawing>
          <wp:inline distT="0" distB="0" distL="0" distR="0">
            <wp:extent cx="5762625" cy="2924175"/>
            <wp:effectExtent t="0" r="0" b="0" l="0"/>
            <wp:docPr id="8" name="chart_08_product_portfolio.png" descr="Brand and business-model portfolio" title="Brand and business-model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3"/>
        <w:keepNext/>
      </w:pPr>
      <w:bookmarkStart w:name="h_25" w:id="25"/>
      <w:r>
        <w:t xml:space="preserve">LATR: the operating system</w:t>
      </w:r>
      <w:bookmarkEnd w:id="25"/>
    </w:p>
    <w:p>
      <w:pPr>
        <w:spacing w:after="120" w:line="264"/>
        <w:jc w:val="both"/>
      </w:pPr>
      <w:r>
        <w:rPr>
          <w:rFonts w:ascii="Times New Roman" w:cs="Times New Roman" w:eastAsia="Times New Roman" w:hAnsi="Times New Roman"/>
        </w:rPr>
        <w:t xml:space="preserve">LATR is the heart of the product proposition. Its five steps are: (1) data-informed small initial batches of 100-200 units per style; (2) customer orders; (3) real-time sales insights and automated reorders, with orders auto-allocated to suppliers with spare capacity; (4) restock in as few as five days; and (5) traffic optimisation to surface winners. The economics are compelling: low upfront commitment per style, unsold inventory in the low single digits and write-downs of ~1-2% of cost of sales, compared with industry inventory waste that CIC estimates can reach 30%. The model's limit, as the chairman acknowledges, is that it is best suited to categories "driven by diversity, where demand changes rapidly".</w:t>
      </w:r>
    </w:p>
    <w:p>
      <w:pPr>
        <w:pStyle w:val="Heading3"/>
        <w:keepNext/>
      </w:pPr>
      <w:bookmarkStart w:name="h_26" w:id="26"/>
      <w:r>
        <w:t xml:space="preserve">Marketplace (service revenues; 11.3% of 2025 net revenues, 13.4% in 1H26)</w:t>
      </w:r>
      <w:bookmarkEnd w:id="26"/>
    </w:p>
    <w:p>
      <w:pPr>
        <w:spacing w:after="120" w:line="264"/>
        <w:jc w:val="both"/>
      </w:pPr>
      <w:r>
        <w:rPr>
          <w:rFonts w:ascii="Times New Roman" w:cs="Times New Roman" w:eastAsia="Times New Roman" w:hAnsi="Times New Roman"/>
        </w:rPr>
        <w:t xml:space="preserve">Launched in 2H22 and formally in 2023, the marketplace lets third-party merchants and brands sell to SHEIN's customers. SHEIN acts as agent and recognises service revenue: a </w:t>
      </w:r>
      <w:r>
        <w:rPr>
          <w:rFonts w:ascii="Times New Roman" w:cs="Times New Roman" w:eastAsia="Times New Roman" w:hAnsi="Times New Roman"/>
          <w:b/>
          <w:bCs/>
        </w:rPr>
        <w:t xml:space="preserve">commission of generally 10-20%</w:t>
      </w:r>
      <w:r>
        <w:rPr>
          <w:rFonts w:ascii="Times New Roman" w:cs="Times New Roman" w:eastAsia="Times New Roman" w:hAnsi="Times New Roman"/>
        </w:rPr>
        <w:t xml:space="preserve"> of transaction value plus </w:t>
      </w:r>
      <w:r>
        <w:rPr>
          <w:rFonts w:ascii="Times New Roman" w:cs="Times New Roman" w:eastAsia="Times New Roman" w:hAnsi="Times New Roman"/>
          <w:b/>
          <w:bCs/>
        </w:rPr>
        <w:t xml:space="preserve">fulfilment fees</w:t>
      </w:r>
      <w:r>
        <w:rPr>
          <w:rFonts w:ascii="Times New Roman" w:cs="Times New Roman" w:eastAsia="Times New Roman" w:hAnsi="Times New Roman"/>
        </w:rPr>
        <w:t xml:space="preserve"> for warehousing and delivery. Service revenues grew from US$0.9bn in 2023 to US$4.7bn in 2025 and +24.9% in 1H26 (+44.2% in 2Q26) as tariff changes pushed more volume through local-inventory merchants. Management describes the recent mix shift as a "short-term effect" of trade-policy changes and insists first-party remains the core. The marketplace does not incur cost of sales, which is why reported gross margin rose from 60.2% (2023) to 67.9% (2025) and ~70% in 1H26 — but because only the take rate is booked as revenue, it raises fulfilment and marketing costs as a percentage of revenue. SHEIN does not disclose GMV; at an assumed 25% blended take rate (our estimate), 2025 marketplace GMV would be ~US$19bn and total gross sales (first-party revenue plus marketplace GMV) ~US$56bn.</w:t>
      </w:r>
    </w:p>
    <w:p>
      <w:pPr>
        <w:keepNext/>
        <w:spacing w:after="60" w:before="160"/>
      </w:pPr>
      <w:r>
        <w:rPr>
          <w:rFonts w:ascii="Times New Roman" w:cs="Times New Roman" w:eastAsia="Times New Roman" w:hAnsi="Times New Roman"/>
          <w:b/>
          <w:bCs/>
          <w:color w:val="1F3A5F"/>
          <w:sz w:val="18"/>
          <w:szCs w:val="18"/>
        </w:rPr>
        <w:t xml:space="preserve">Figure 13: </w:t>
      </w:r>
      <w:r>
        <w:rPr>
          <w:rFonts w:ascii="Times New Roman" w:cs="Times New Roman" w:eastAsia="Times New Roman" w:hAnsi="Times New Roman"/>
          <w:b/>
          <w:bCs/>
          <w:color w:val="1F3A5F"/>
          <w:sz w:val="18"/>
          <w:szCs w:val="18"/>
        </w:rPr>
        <w:t xml:space="preserve">Net revenues by category: apparel vs. other categories (US$m)</w:t>
      </w:r>
    </w:p>
    <w:p>
      <w:pPr>
        <w:keepNext/>
        <w:spacing w:after="20"/>
        <w:jc w:val="center"/>
      </w:pPr>
      <w:r>
        <w:drawing>
          <wp:inline distT="0" distB="0" distL="0" distR="0">
            <wp:extent cx="5762625" cy="2924175"/>
            <wp:effectExtent t="0" r="0" b="0" l="0"/>
            <wp:docPr id="9" name="chart_19_revenue_by_category.png" descr="Net revenues by category: apparel vs. other categories (US$m)" title="Net revenues by category: apparel vs. other categories (U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3"/>
        <w:keepNext/>
      </w:pPr>
      <w:bookmarkStart w:name="h_27" w:id="27"/>
      <w:r>
        <w:t xml:space="preserve">Brand enablement: SHEIN Xcelerator</w:t>
      </w:r>
      <w:bookmarkEnd w:id="27"/>
    </w:p>
    <w:p>
      <w:pPr>
        <w:spacing w:after="120" w:line="264"/>
        <w:jc w:val="both"/>
      </w:pPr>
      <w:r>
        <w:rPr>
          <w:rFonts w:ascii="Times New Roman" w:cs="Times New Roman" w:eastAsia="Times New Roman" w:hAnsi="Times New Roman"/>
        </w:rPr>
        <w:t xml:space="preserve">The Xcelerator programme (upgraded from SHEIN X in October 2025) opens SHEIN's supply chain, design tools (including the Design X AI system), marketing and fulfilment to partner brands, from start-ups to established labels. The Prospectus cites one partner that grew sales ~15x in its second year while improving operating margin by 30+pp and cutting inventory days by two-thirds, and states that brand-enablement operating margin is roughly </w:t>
      </w:r>
      <w:r>
        <w:rPr>
          <w:rFonts w:ascii="Times New Roman" w:cs="Times New Roman" w:eastAsia="Times New Roman" w:hAnsi="Times New Roman"/>
          <w:b/>
          <w:bCs/>
        </w:rPr>
        <w:t xml:space="preserve">twice the group's</w:t>
      </w:r>
      <w:r>
        <w:rPr>
          <w:rFonts w:ascii="Times New Roman" w:cs="Times New Roman" w:eastAsia="Times New Roman" w:hAnsi="Times New Roman"/>
        </w:rPr>
        <w:t xml:space="preserve">. It is small — no more than 1% of revenue in 2025 — but it is the clearest path to a higher-margin, capital-light "infrastructure" revenue stream. Nearly 20 brands have been enabled.</w:t>
      </w:r>
    </w:p>
    <w:p>
      <w:pPr>
        <w:pStyle w:val="Heading3"/>
        <w:keepNext/>
      </w:pPr>
      <w:bookmarkStart w:name="h_28" w:id="28"/>
      <w:r>
        <w:t xml:space="preserve">Circularity and other services</w:t>
      </w:r>
      <w:bookmarkEnd w:id="28"/>
    </w:p>
    <w:p>
      <w:pPr>
        <w:spacing w:after="120" w:line="264"/>
        <w:jc w:val="both"/>
      </w:pPr>
      <w:r>
        <w:rPr>
          <w:rFonts w:ascii="Times New Roman" w:cs="Times New Roman" w:eastAsia="Times New Roman" w:hAnsi="Times New Roman"/>
          <w:b/>
          <w:bCs/>
        </w:rPr>
        <w:t xml:space="preserve">SHEIN Exchange</w:t>
      </w:r>
      <w:r>
        <w:rPr>
          <w:rFonts w:ascii="Times New Roman" w:cs="Times New Roman" w:eastAsia="Times New Roman" w:hAnsi="Times New Roman"/>
        </w:rPr>
        <w:t xml:space="preserve">, a peer-to-peer resale platform for items bought from or through SHEIN (US, France, UK, Germany), had 9.5 million active users at end-2025. It is strategically important for SHEIN's sustainability narrative rather than financially material.</w:t>
      </w:r>
    </w:p>
    <w:p>
      <w:pPr>
        <w:pStyle w:val="Heading3"/>
        <w:keepNext/>
      </w:pPr>
      <w:bookmarkStart w:name="h_29" w:id="29"/>
      <w:r>
        <w:t xml:space="preserve">Supply chain and fulfilment infrastructure</w:t>
      </w:r>
      <w:bookmarkEnd w:id="29"/>
    </w:p>
    <w:p>
      <w:pPr>
        <w:pStyle w:val="ListParagraph"/>
        <w:numPr>
          <w:ilvl w:val="0"/>
          <w:numId w:val="3"/>
        </w:numPr>
        <w:spacing w:after="60" w:line="252"/>
      </w:pPr>
      <w:r>
        <w:rPr>
          <w:rFonts w:ascii="Times New Roman" w:cs="Times New Roman" w:eastAsia="Times New Roman" w:hAnsi="Times New Roman"/>
          <w:b/>
          <w:bCs/>
        </w:rPr>
        <w:t xml:space="preserve">Suppliers:</w:t>
      </w:r>
      <w:r>
        <w:rPr>
          <w:rFonts w:ascii="Times New Roman" w:cs="Times New Roman" w:eastAsia="Times New Roman" w:hAnsi="Times New Roman"/>
        </w:rPr>
        <w:t xml:space="preserve"> ~7,500 contract manufacturers in 2025 (5,800 in 2023), no exclusivity, one-year renewable contracts, no minimum purchase commitments; free cloud software manages orders, production, QA and shipping. 5,150 on-site social-responsibility (SRS) audits in 2025 (&gt;99% by third-party auditors) covering suppliers representing ~95% of company-branded procurement value.</w:t>
      </w:r>
    </w:p>
    <w:p>
      <w:pPr>
        <w:pStyle w:val="ListParagraph"/>
        <w:numPr>
          <w:ilvl w:val="0"/>
          <w:numId w:val="3"/>
        </w:numPr>
        <w:spacing w:after="60" w:line="252"/>
      </w:pPr>
      <w:r>
        <w:rPr>
          <w:rFonts w:ascii="Times New Roman" w:cs="Times New Roman" w:eastAsia="Times New Roman" w:hAnsi="Times New Roman"/>
          <w:b/>
          <w:bCs/>
        </w:rPr>
        <w:t xml:space="preserve">Warehouses:</w:t>
      </w:r>
      <w:r>
        <w:rPr>
          <w:rFonts w:ascii="Times New Roman" w:cs="Times New Roman" w:eastAsia="Times New Roman" w:hAnsi="Times New Roman"/>
        </w:rPr>
        <w:t xml:space="preserve"> 6.0m m² leased at 30 June 2026 — 37 in China (4.1m m²), 6 in the US (0.4m m²), 18 in Europe (1.0m m²) and 11 elsewhere (0.5m m²). Over 90% of 2025 revenue shipped from central warehouses in mainland China; localisation (especially in Europe) is increasing.</w:t>
      </w:r>
    </w:p>
    <w:p>
      <w:pPr>
        <w:pStyle w:val="ListParagraph"/>
        <w:numPr>
          <w:ilvl w:val="0"/>
          <w:numId w:val="3"/>
        </w:numPr>
        <w:spacing w:after="60" w:line="252"/>
      </w:pPr>
      <w:r>
        <w:rPr>
          <w:rFonts w:ascii="Times New Roman" w:cs="Times New Roman" w:eastAsia="Times New Roman" w:hAnsi="Times New Roman"/>
          <w:b/>
          <w:bCs/>
        </w:rPr>
        <w:t xml:space="preserve">Delivery:</w:t>
      </w:r>
      <w:r>
        <w:rPr>
          <w:rFonts w:ascii="Times New Roman" w:cs="Times New Roman" w:eastAsia="Times New Roman" w:hAnsi="Times New Roman"/>
        </w:rPr>
        <w:t xml:space="preserve"> third-party logistics; &gt;90% of orders delivered within 10 business days of dispatch; long-term air-freight capacity agreements.</w:t>
      </w:r>
    </w:p>
    <w:p>
      <w:pPr>
        <w:pStyle w:val="ListParagraph"/>
        <w:numPr>
          <w:ilvl w:val="0"/>
          <w:numId w:val="3"/>
        </w:numPr>
        <w:spacing w:after="60" w:line="252"/>
      </w:pPr>
      <w:r>
        <w:rPr>
          <w:rFonts w:ascii="Times New Roman" w:cs="Times New Roman" w:eastAsia="Times New Roman" w:hAnsi="Times New Roman"/>
          <w:b/>
          <w:bCs/>
        </w:rPr>
        <w:t xml:space="preserve">Technology:</w:t>
      </w:r>
      <w:r>
        <w:rPr>
          <w:rFonts w:ascii="Times New Roman" w:cs="Times New Roman" w:eastAsia="Times New Roman" w:hAnsi="Times New Roman"/>
        </w:rPr>
        <w:t xml:space="preserve"> 1,700+ proprietary software systems; data hosted on AWS (EU data in Spain) and Microsoft Azure (US data in the US); ISO 27001/27701 and PCI DSS certified; ~190-person cybersecurity organisation. R&amp;D spend was US$451m in 1H26.</w:t>
      </w:r>
    </w:p>
    <w:p>
      <w:pPr>
        <w:pStyle w:val="Heading2"/>
        <w:keepNext/>
      </w:pPr>
      <w:bookmarkStart w:name="h_30" w:id="30"/>
      <w:r>
        <w:t xml:space="preserve">Customers and Go-to-Market</w:t>
      </w:r>
      <w:bookmarkEnd w:id="30"/>
    </w:p>
    <w:p>
      <w:pPr>
        <w:spacing w:after="120" w:line="264"/>
        <w:jc w:val="both"/>
      </w:pPr>
      <w:r>
        <w:rPr>
          <w:rFonts w:ascii="Times New Roman" w:cs="Times New Roman" w:eastAsia="Times New Roman" w:hAnsi="Times New Roman"/>
          <w:b/>
          <w:bCs/>
        </w:rPr>
        <w:t xml:space="preserve">Customer base.</w:t>
      </w:r>
      <w:r>
        <w:rPr>
          <w:rFonts w:ascii="Times New Roman" w:cs="Times New Roman" w:eastAsia="Times New Roman" w:hAnsi="Times New Roman"/>
        </w:rPr>
        <w:t xml:space="preserve"> SHEIN served ~273 million active customers in 2025 (291 million in the twelve months to June 2026), primarily young women. Order frequency has been steady at ~4 orders per customer per year (3.8 in 2023, 4.0 in 2024-25, 3.9 LTM March 2026), so growth has come from customer acquisition rather than deeper wallet share. Net revenue per active customer fell from ~US$173 in 2023 to ~US$153 in 2025, reflecting marketplace mix, faster growth in lower-AOV markets and category mix.</w:t>
      </w:r>
    </w:p>
    <w:p>
      <w:pPr>
        <w:spacing w:after="120" w:line="264"/>
        <w:jc w:val="both"/>
      </w:pPr>
      <w:r>
        <w:rPr>
          <w:rFonts w:ascii="Times New Roman" w:cs="Times New Roman" w:eastAsia="Times New Roman" w:hAnsi="Times New Roman"/>
          <w:b/>
          <w:bCs/>
        </w:rPr>
        <w:t xml:space="preserve">Geographic mix.</w:t>
      </w:r>
      <w:r>
        <w:rPr>
          <w:rFonts w:ascii="Times New Roman" w:cs="Times New Roman" w:eastAsia="Times New Roman" w:hAnsi="Times New Roman"/>
        </w:rPr>
        <w:t xml:space="preserve"> Growth has rotated sharply away from the US: US revenue fell 3.5% in 2025 and 9.9% in 1H26, while Europe grew 8.8% in 2025 before falling 13.9% in 2Q26 ahead of the EU duty change, and the rest of the world grew 15.4% in 2025 and 21.6% in 2Q26, led by Latin America. The rest of the world was 44% of revenue in 1H26 versus 39% in 2023.</w:t>
      </w:r>
    </w:p>
    <w:p>
      <w:pPr>
        <w:spacing w:after="120" w:line="264"/>
        <w:jc w:val="both"/>
      </w:pPr>
      <w:r>
        <w:rPr>
          <w:rFonts w:ascii="Times New Roman" w:cs="Times New Roman" w:eastAsia="Times New Roman" w:hAnsi="Times New Roman"/>
          <w:b/>
          <w:bCs/>
        </w:rPr>
        <w:t xml:space="preserve">Channels and marketing.</w:t>
      </w:r>
      <w:r>
        <w:rPr>
          <w:rFonts w:ascii="Times New Roman" w:cs="Times New Roman" w:eastAsia="Times New Roman" w:hAnsi="Times New Roman"/>
        </w:rPr>
        <w:t xml:space="preserve"> SHEIN sells almost exclusively through its own apps and websites (with local-language versions, personalised recommendations and region-specific layouts), supplemented by pop-ups, showrooms and events. Marketing is heavily digital: influencer partnerships (a practice SHEIN pioneered at scale), paid search, product-listing ads, paid social and SEO. Marketing spend rose from 10.7% of revenue in 2024 to 14.8% in 2025 (advertising up from US$4.0bn to US$5.0bn) as the Company fought for engagement against Temu and tariff-driven price increases; it eased to 13.6% in 2Q26 as European advertising was cut ahead of the duty change. 40% of IPO proceeds (~HK$5.3bn) is earmarked for brand-building and performance marketing over 48 months.</w:t>
      </w:r>
    </w:p>
    <w:p>
      <w:pPr>
        <w:spacing w:after="120" w:line="264"/>
        <w:jc w:val="both"/>
      </w:pPr>
      <w:r>
        <w:rPr>
          <w:rFonts w:ascii="Times New Roman" w:cs="Times New Roman" w:eastAsia="Times New Roman" w:hAnsi="Times New Roman"/>
          <w:b/>
          <w:bCs/>
        </w:rPr>
        <w:t xml:space="preserve">Customer terms.</w:t>
      </w:r>
      <w:r>
        <w:rPr>
          <w:rFonts w:ascii="Times New Roman" w:cs="Times New Roman" w:eastAsia="Times New Roman" w:hAnsi="Times New Roman"/>
        </w:rPr>
        <w:t xml:space="preserve"> Payment is taken at order; free shipping above thresholds; generous returns (free return shipping in selected regions); refunds may be issued without return. The prepayment model underpins the negative working-capital cycle (turnover days for net revenues of –12 to –13).</w:t>
      </w:r>
    </w:p>
    <w:p>
      <w:pPr>
        <w:spacing w:after="120" w:line="264"/>
        <w:jc w:val="both"/>
      </w:pPr>
      <w:r>
        <w:rPr>
          <w:rFonts w:ascii="Times New Roman" w:cs="Times New Roman" w:eastAsia="Times New Roman" w:hAnsi="Times New Roman"/>
          <w:b/>
          <w:bCs/>
        </w:rPr>
        <w:t xml:space="preserve">Seasonality.</w:t>
      </w:r>
      <w:r>
        <w:rPr>
          <w:rFonts w:ascii="Times New Roman" w:cs="Times New Roman" w:eastAsia="Times New Roman" w:hAnsi="Times New Roman"/>
        </w:rPr>
        <w:t xml:space="preserve"> The fourth quarter — 11.11, Black Friday, Cyber Monday and Christmas — is the largest promotional window. Working capital builds in the first half and unwinds in the second: operating cash flow was US$2.9bn in 1H25 but –US$39m in 2H25.</w:t>
      </w:r>
    </w:p>
    <w:p>
      <w:pPr>
        <w:keepNext/>
        <w:spacing w:after="60" w:before="160"/>
      </w:pPr>
      <w:r>
        <w:rPr>
          <w:rFonts w:ascii="Times New Roman" w:cs="Times New Roman" w:eastAsia="Times New Roman" w:hAnsi="Times New Roman"/>
          <w:b/>
          <w:bCs/>
          <w:color w:val="1F3A5F"/>
          <w:sz w:val="18"/>
          <w:szCs w:val="18"/>
        </w:rPr>
        <w:t xml:space="preserve">Figure 14: </w:t>
      </w:r>
      <w:r>
        <w:rPr>
          <w:rFonts w:ascii="Times New Roman" w:cs="Times New Roman" w:eastAsia="Times New Roman" w:hAnsi="Times New Roman"/>
          <w:b/>
          <w:bCs/>
          <w:color w:val="1F3A5F"/>
          <w:sz w:val="18"/>
          <w:szCs w:val="18"/>
        </w:rPr>
        <w:t xml:space="preserve">Active customers and orders, FY2023A-FY2031E</w:t>
      </w:r>
    </w:p>
    <w:p>
      <w:pPr>
        <w:keepNext/>
        <w:spacing w:after="20"/>
        <w:jc w:val="center"/>
      </w:pPr>
      <w:r>
        <w:drawing>
          <wp:inline distT="0" distB="0" distL="0" distR="0">
            <wp:extent cx="5762625" cy="2609850"/>
            <wp:effectExtent t="0" r="0" b="0" l="0"/>
            <wp:docPr id="10" name="chart_09_customer_segmentation.png" descr="Active customers and orders, FY2023A-FY2031E" title="Active customers and orders, FY2023A-FY20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609850"/>
                    </a:xfrm>
                    <a:prstGeom prst="rect">
                      <a:avLst/>
                    </a:prstGeom>
                  </pic:spPr>
                </pic:pic>
              </a:graphicData>
            </a:graphic>
          </wp:inline>
        </w:drawing>
      </w:r>
    </w:p>
    <w:p>
      <w:pPr>
        <w:spacing w:after="120"/>
      </w:pPr>
    </w:p>
    <w:p>
      <w:pPr>
        <w:pStyle w:val="Heading2"/>
        <w:keepNext/>
      </w:pPr>
      <w:bookmarkStart w:name="h_31" w:id="31"/>
      <w:r>
        <w:t xml:space="preserve">Industry Overview</w:t>
      </w:r>
      <w:bookmarkEnd w:id="31"/>
    </w:p>
    <w:p>
      <w:pPr>
        <w:spacing w:after="120" w:line="264"/>
        <w:jc w:val="both"/>
      </w:pPr>
      <w:r>
        <w:rPr>
          <w:rFonts w:ascii="Times New Roman" w:cs="Times New Roman" w:eastAsia="Times New Roman" w:hAnsi="Times New Roman"/>
          <w:b/>
          <w:bCs/>
        </w:rPr>
        <w:t xml:space="preserve">Market size.</w:t>
      </w:r>
      <w:r>
        <w:rPr>
          <w:rFonts w:ascii="Times New Roman" w:cs="Times New Roman" w:eastAsia="Times New Roman" w:hAnsi="Times New Roman"/>
        </w:rPr>
        <w:t xml:space="preserve"> CIC sizes the global fashion industry (apparel, footwear and accessories, retail sales value ex-VAT) at </w:t>
      </w:r>
      <w:r>
        <w:rPr>
          <w:rFonts w:ascii="Times New Roman" w:cs="Times New Roman" w:eastAsia="Times New Roman" w:hAnsi="Times New Roman"/>
          <w:b/>
          <w:bCs/>
        </w:rPr>
        <w:t xml:space="preserve">US$1,737bn in 2025</w:t>
      </w:r>
      <w:r>
        <w:rPr>
          <w:rFonts w:ascii="Times New Roman" w:cs="Times New Roman" w:eastAsia="Times New Roman" w:hAnsi="Times New Roman"/>
        </w:rPr>
        <w:t xml:space="preserve">, growing at a 2.7% CAGR over 2021-25 and forecast to grow at </w:t>
      </w:r>
      <w:r>
        <w:rPr>
          <w:rFonts w:ascii="Times New Roman" w:cs="Times New Roman" w:eastAsia="Times New Roman" w:hAnsi="Times New Roman"/>
          <w:b/>
          <w:bCs/>
        </w:rPr>
        <w:t xml:space="preserve">3.4% to US$2,049bn by 2030</w:t>
      </w:r>
      <w:r>
        <w:rPr>
          <w:rFonts w:ascii="Times New Roman" w:cs="Times New Roman" w:eastAsia="Times New Roman" w:hAnsi="Times New Roman"/>
        </w:rPr>
        <w:t xml:space="preserve">. Apparel is US$1,370bn and footwear US$367bn. The </w:t>
      </w:r>
      <w:r>
        <w:rPr>
          <w:rFonts w:ascii="Times New Roman" w:cs="Times New Roman" w:eastAsia="Times New Roman" w:hAnsi="Times New Roman"/>
          <w:b/>
          <w:bCs/>
        </w:rPr>
        <w:t xml:space="preserve">online</w:t>
      </w:r>
      <w:r>
        <w:rPr>
          <w:rFonts w:ascii="Times New Roman" w:cs="Times New Roman" w:eastAsia="Times New Roman" w:hAnsi="Times New Roman"/>
        </w:rPr>
        <w:t xml:space="preserve"> channel was US$606bn in 2025 (34.9% penetration), forecast to reach </w:t>
      </w:r>
      <w:r>
        <w:rPr>
          <w:rFonts w:ascii="Times New Roman" w:cs="Times New Roman" w:eastAsia="Times New Roman" w:hAnsi="Times New Roman"/>
          <w:b/>
          <w:bCs/>
        </w:rPr>
        <w:t xml:space="preserve">US$792bn by 2030</w:t>
      </w:r>
      <w:r>
        <w:rPr>
          <w:rFonts w:ascii="Times New Roman" w:cs="Times New Roman" w:eastAsia="Times New Roman" w:hAnsi="Times New Roman"/>
        </w:rPr>
        <w:t xml:space="preserve"> (38.7% penetration), a 5.5% CAGR — roughly twice offline growth (2.1%).</w:t>
      </w:r>
    </w:p>
    <w:p>
      <w:pPr>
        <w:spacing w:after="120" w:line="264"/>
        <w:jc w:val="both"/>
      </w:pPr>
      <w:r>
        <w:rPr>
          <w:rFonts w:ascii="Times New Roman" w:cs="Times New Roman" w:eastAsia="Times New Roman" w:hAnsi="Times New Roman"/>
          <w:b/>
          <w:bCs/>
        </w:rPr>
        <w:t xml:space="preserve">Structure.</w:t>
      </w:r>
      <w:r>
        <w:rPr>
          <w:rFonts w:ascii="Times New Roman" w:cs="Times New Roman" w:eastAsia="Times New Roman" w:hAnsi="Times New Roman"/>
        </w:rPr>
        <w:t xml:space="preserve"> The industry is highly fragmented: the top 20 players held only ~20.5% of the market in 2025. CIC attributes this to the "trilemma" — the difficulty of simultaneously offering broad assortment, rapid design refresh and efficient inventory — which pushes most players into narrow niches.</w:t>
      </w:r>
    </w:p>
    <w:p>
      <w:pPr>
        <w:spacing w:after="120" w:line="264"/>
        <w:jc w:val="both"/>
      </w:pPr>
      <w:r>
        <w:rPr>
          <w:rFonts w:ascii="Times New Roman" w:cs="Times New Roman" w:eastAsia="Times New Roman" w:hAnsi="Times New Roman"/>
          <w:b/>
          <w:bCs/>
        </w:rPr>
        <w:t xml:space="preserve">Key trends.</w:t>
      </w:r>
    </w:p>
    <w:p>
      <w:pPr>
        <w:tabs>
          <w:tab w:val="left" w:pos="400"/>
        </w:tabs>
        <w:spacing w:after="80" w:line="252"/>
        <w:ind w:left="400" w:hanging="400"/>
      </w:pPr>
      <w:r>
        <w:rPr>
          <w:rFonts w:ascii="Times New Roman" w:cs="Times New Roman" w:eastAsia="Times New Roman" w:hAnsi="Times New Roman"/>
        </w:rPr>
        <w:t xml:space="preserve">1.	</w:t>
      </w:r>
      <w:r>
        <w:rPr>
          <w:rFonts w:ascii="Times New Roman" w:cs="Times New Roman" w:eastAsia="Times New Roman" w:hAnsi="Times New Roman"/>
          <w:i/>
          <w:iCs/>
        </w:rPr>
        <w:t xml:space="preserve">Secular shift online</w:t>
      </w:r>
      <w:r>
        <w:rPr>
          <w:rFonts w:ascii="Times New Roman" w:cs="Times New Roman" w:eastAsia="Times New Roman" w:hAnsi="Times New Roman"/>
        </w:rPr>
        <w:t xml:space="preserve"> driven by mobile payments, global fulfilment, social commerce and recommendation technology.</w:t>
      </w:r>
    </w:p>
    <w:p>
      <w:pPr>
        <w:tabs>
          <w:tab w:val="left" w:pos="400"/>
        </w:tabs>
        <w:spacing w:after="80" w:line="252"/>
        <w:ind w:left="400" w:hanging="400"/>
      </w:pPr>
      <w:r>
        <w:rPr>
          <w:rFonts w:ascii="Times New Roman" w:cs="Times New Roman" w:eastAsia="Times New Roman" w:hAnsi="Times New Roman"/>
        </w:rPr>
        <w:t xml:space="preserve">2.	</w:t>
      </w:r>
      <w:r>
        <w:rPr>
          <w:rFonts w:ascii="Times New Roman" w:cs="Times New Roman" w:eastAsia="Times New Roman" w:hAnsi="Times New Roman"/>
          <w:i/>
          <w:iCs/>
        </w:rPr>
        <w:t xml:space="preserve">Individuality and trend velocity:</w:t>
      </w:r>
      <w:r>
        <w:rPr>
          <w:rFonts w:ascii="Times New Roman" w:cs="Times New Roman" w:eastAsia="Times New Roman" w:hAnsi="Times New Roman"/>
        </w:rPr>
        <w:t xml:space="preserve"> social media accelerates trend cycles and fragments demand into a long tail, favouring broad, fast-refreshing assortments.</w:t>
      </w:r>
    </w:p>
    <w:p>
      <w:pPr>
        <w:tabs>
          <w:tab w:val="left" w:pos="400"/>
        </w:tabs>
        <w:spacing w:after="80" w:line="252"/>
        <w:ind w:left="400" w:hanging="400"/>
      </w:pPr>
      <w:r>
        <w:rPr>
          <w:rFonts w:ascii="Times New Roman" w:cs="Times New Roman" w:eastAsia="Times New Roman" w:hAnsi="Times New Roman"/>
        </w:rPr>
        <w:t xml:space="preserve">3.	</w:t>
      </w:r>
      <w:r>
        <w:rPr>
          <w:rFonts w:ascii="Times New Roman" w:cs="Times New Roman" w:eastAsia="Times New Roman" w:hAnsi="Times New Roman"/>
          <w:i/>
          <w:iCs/>
        </w:rPr>
        <w:t xml:space="preserve">Value beyond fashion:</w:t>
      </w:r>
      <w:r>
        <w:rPr>
          <w:rFonts w:ascii="Times New Roman" w:cs="Times New Roman" w:eastAsia="Times New Roman" w:hAnsi="Times New Roman"/>
        </w:rPr>
        <w:t xml:space="preserve"> consumers — and regulators — increasingly scrutinise labour practices, environmental impact and transparency; the EU is legislating on textile waste, product safety and platform accountability.</w:t>
      </w:r>
    </w:p>
    <w:p>
      <w:pPr>
        <w:tabs>
          <w:tab w:val="left" w:pos="400"/>
        </w:tabs>
        <w:spacing w:after="80" w:line="252"/>
        <w:ind w:left="400" w:hanging="400"/>
      </w:pPr>
      <w:r>
        <w:rPr>
          <w:rFonts w:ascii="Times New Roman" w:cs="Times New Roman" w:eastAsia="Times New Roman" w:hAnsi="Times New Roman"/>
        </w:rPr>
        <w:t xml:space="preserve">4.	</w:t>
      </w:r>
      <w:r>
        <w:rPr>
          <w:rFonts w:ascii="Times New Roman" w:cs="Times New Roman" w:eastAsia="Times New Roman" w:hAnsi="Times New Roman"/>
          <w:i/>
          <w:iCs/>
        </w:rPr>
        <w:t xml:space="preserve">Supply-side innovation:</w:t>
      </w:r>
      <w:r>
        <w:rPr>
          <w:rFonts w:ascii="Times New Roman" w:cs="Times New Roman" w:eastAsia="Times New Roman" w:hAnsi="Times New Roman"/>
        </w:rPr>
        <w:t xml:space="preserve"> small-batch production, real-time inventory management and warehouse automation are becoming table stakes.</w:t>
      </w:r>
    </w:p>
    <w:p>
      <w:pPr>
        <w:tabs>
          <w:tab w:val="left" w:pos="400"/>
        </w:tabs>
        <w:spacing w:after="80" w:line="252"/>
        <w:ind w:left="400" w:hanging="400"/>
      </w:pPr>
      <w:r>
        <w:rPr>
          <w:rFonts w:ascii="Times New Roman" w:cs="Times New Roman" w:eastAsia="Times New Roman" w:hAnsi="Times New Roman"/>
        </w:rPr>
        <w:t xml:space="preserve">5.	</w:t>
      </w:r>
      <w:r>
        <w:rPr>
          <w:rFonts w:ascii="Times New Roman" w:cs="Times New Roman" w:eastAsia="Times New Roman" w:hAnsi="Times New Roman"/>
          <w:i/>
          <w:iCs/>
        </w:rPr>
        <w:t xml:space="preserve">Trade-policy re-regulation of cross-border e-commerce:</w:t>
      </w:r>
      <w:r>
        <w:rPr>
          <w:rFonts w:ascii="Times New Roman" w:cs="Times New Roman" w:eastAsia="Times New Roman" w:hAnsi="Times New Roman"/>
        </w:rPr>
        <w:t xml:space="preserve"> the US ended de minimis for China (May 2025) and all countries (August 2025); the EU abolished the €150 duty exemption from 1 July 2026 (with a €3-per-item-category flat duty and a forthcoming handling fee); other markets are reviewing similar thresholds. This structurally raises the landed cost of direct-to-consumer cross-border parcels relative to locally stocked inventory.</w:t>
      </w:r>
    </w:p>
    <w:p>
      <w:pPr>
        <w:spacing w:after="120" w:line="264"/>
        <w:jc w:val="both"/>
      </w:pPr>
      <w:r>
        <w:rPr>
          <w:rFonts w:ascii="Times New Roman" w:cs="Times New Roman" w:eastAsia="Times New Roman" w:hAnsi="Times New Roman"/>
          <w:b/>
          <w:bCs/>
        </w:rPr>
        <w:t xml:space="preserve">Adjacent categories.</w:t>
      </w:r>
      <w:r>
        <w:rPr>
          <w:rFonts w:ascii="Times New Roman" w:cs="Times New Roman" w:eastAsia="Times New Roman" w:hAnsi="Times New Roman"/>
        </w:rPr>
        <w:t xml:space="preserve"> CIC sizes home &amp; living at US$1,408bn (online US$282bn → US$374bn by 2030), appliances &amp; electronics at US$1,441bn (online US$659bn → US$1,067bn) and beauty &amp; personal care at US$614bn (online US$171bn → US$264bn). These markets underpin SHEIN's category expansion and marketplace strategy.</w:t>
      </w:r>
    </w:p>
    <w:p>
      <w:pPr>
        <w:spacing w:after="120" w:line="264"/>
        <w:jc w:val="both"/>
      </w:pPr>
      <w:r>
        <w:rPr>
          <w:rFonts w:ascii="Times New Roman" w:cs="Times New Roman" w:eastAsia="Times New Roman" w:hAnsi="Times New Roman"/>
          <w:b/>
          <w:bCs/>
        </w:rPr>
        <w:t xml:space="preserve">Input costs.</w:t>
      </w:r>
      <w:r>
        <w:rPr>
          <w:rFonts w:ascii="Times New Roman" w:cs="Times New Roman" w:eastAsia="Times New Roman" w:hAnsi="Times New Roman"/>
        </w:rPr>
        <w:t xml:space="preserve"> Polyester accounted for 82.7% of SHEIN's raw material by weight in 2025. China's man-made-fibre price index fell from 104.2 (2022) to 94.0 (2025) and China's apparel and footwear PPI was broadly flat (102.0 in 2025 vs 100.0 in 2021), so input costs have been benign; freight and duties are the more important variable costs.</w:t>
      </w:r>
    </w:p>
    <w:p>
      <w:pPr>
        <w:keepNext/>
        <w:spacing w:after="60" w:before="160"/>
      </w:pPr>
      <w:r>
        <w:rPr>
          <w:rFonts w:ascii="Times New Roman" w:cs="Times New Roman" w:eastAsia="Times New Roman" w:hAnsi="Times New Roman"/>
          <w:b/>
          <w:bCs/>
          <w:color w:val="1F3A5F"/>
          <w:sz w:val="18"/>
          <w:szCs w:val="18"/>
        </w:rPr>
        <w:t xml:space="preserve">Figure 15: </w:t>
      </w:r>
      <w:r>
        <w:rPr>
          <w:rFonts w:ascii="Times New Roman" w:cs="Times New Roman" w:eastAsia="Times New Roman" w:hAnsi="Times New Roman"/>
          <w:b/>
          <w:bCs/>
          <w:color w:val="1F3A5F"/>
          <w:sz w:val="18"/>
          <w:szCs w:val="18"/>
        </w:rPr>
        <w:t xml:space="preserve">Global fashion market size and online penetration, 2021-2030E</w:t>
      </w:r>
    </w:p>
    <w:p>
      <w:pPr>
        <w:keepNext/>
        <w:spacing w:after="20"/>
        <w:jc w:val="center"/>
      </w:pPr>
      <w:r>
        <w:drawing>
          <wp:inline distT="0" distB="0" distL="0" distR="0">
            <wp:extent cx="5762625" cy="2924175"/>
            <wp:effectExtent t="0" r="0" b="0" l="0"/>
            <wp:docPr id="11" name="chart_15_market_size_evolution.png" descr="Global fashion market size and online penetration, 2021-2030E" title="Global fashion market size and online penetration, 2021-20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9241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16: </w:t>
      </w:r>
      <w:r>
        <w:rPr>
          <w:rFonts w:ascii="Times New Roman" w:cs="Times New Roman" w:eastAsia="Times New Roman" w:hAnsi="Times New Roman"/>
          <w:b/>
          <w:bCs/>
          <w:color w:val="1F3A5F"/>
          <w:sz w:val="18"/>
          <w:szCs w:val="18"/>
        </w:rPr>
        <w:t xml:space="preserve">Global apparel and footwear market share, 2025 (CIC)</w:t>
      </w:r>
    </w:p>
    <w:p>
      <w:pPr>
        <w:keepNext/>
        <w:spacing w:after="20"/>
        <w:jc w:val="center"/>
      </w:pPr>
      <w:r>
        <w:drawing>
          <wp:inline distT="0" distB="0" distL="0" distR="0">
            <wp:extent cx="5762625" cy="2457450"/>
            <wp:effectExtent t="0" r="0" b="0" l="0"/>
            <wp:docPr id="12" name="chart_17_market_share.png" descr="Global apparel and footwear market share, 2025 (CIC)" title="Global apparel and footwear market share, 2025 (C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457450"/>
                    </a:xfrm>
                    <a:prstGeom prst="rect">
                      <a:avLst/>
                    </a:prstGeom>
                  </pic:spPr>
                </pic:pic>
              </a:graphicData>
            </a:graphic>
          </wp:inline>
        </w:drawing>
      </w:r>
    </w:p>
    <w:p>
      <w:pPr>
        <w:spacing w:after="120"/>
      </w:pPr>
    </w:p>
    <w:p>
      <w:pPr>
        <w:pStyle w:val="Heading2"/>
        <w:keepNext/>
      </w:pPr>
      <w:bookmarkStart w:name="h_32" w:id="32"/>
      <w:r>
        <w:t xml:space="preserve">Competitive Landscape</w:t>
      </w:r>
      <w:bookmarkEnd w:id="32"/>
    </w:p>
    <w:p>
      <w:pPr>
        <w:spacing w:after="120" w:line="264"/>
        <w:jc w:val="both"/>
      </w:pPr>
      <w:r>
        <w:rPr>
          <w:rFonts w:ascii="Times New Roman" w:cs="Times New Roman" w:eastAsia="Times New Roman" w:hAnsi="Times New Roman"/>
        </w:rPr>
        <w:t xml:space="preserve">SHEIN competes primarily with global fashion retailers and, to a lesser extent, with general e-commerce platforms that sell fashion. We group competitors into four categories.</w:t>
      </w:r>
    </w:p>
    <w:p>
      <w:pPr>
        <w:spacing w:after="120" w:line="264"/>
        <w:jc w:val="both"/>
      </w:pPr>
      <w:r>
        <w:rPr>
          <w:rFonts w:ascii="Times New Roman" w:cs="Times New Roman" w:eastAsia="Times New Roman" w:hAnsi="Times New Roman"/>
          <w:b/>
          <w:bCs/>
        </w:rPr>
        <w:t xml:space="preserve">1. Inditex (Zara) — the benchmark fast-fashion operator.</w:t>
      </w:r>
      <w:r>
        <w:rPr>
          <w:rFonts w:ascii="Times New Roman" w:cs="Times New Roman" w:eastAsia="Times New Roman" w:hAnsi="Times New Roman"/>
        </w:rPr>
        <w:t xml:space="preserve"> Market share ~2.5% (CIC). Trailing revenue ~€41bn, EBITDA margin ~24%, net margin ~16%; trades at ~23.5x forward P/E. Inditex's proximity-sourcing model (Spain, Portugal, Morocco, Turkey) delivers two-to-four-week design-to-shelf cycles with a store-plus-online network. SHEIN offers far greater assortment at lower prices; Inditex offers brand equity, quality perception, physical presence and vastly superior margins and returns.</w:t>
      </w:r>
    </w:p>
    <w:p>
      <w:pPr>
        <w:spacing w:after="120" w:line="264"/>
        <w:jc w:val="both"/>
      </w:pPr>
      <w:r>
        <w:rPr>
          <w:rFonts w:ascii="Times New Roman" w:cs="Times New Roman" w:eastAsia="Times New Roman" w:hAnsi="Times New Roman"/>
          <w:b/>
          <w:bCs/>
        </w:rPr>
        <w:t xml:space="preserve">2. H&amp;M Group.</w:t>
      </w:r>
      <w:r>
        <w:rPr>
          <w:rFonts w:ascii="Times New Roman" w:cs="Times New Roman" w:eastAsia="Times New Roman" w:hAnsi="Times New Roman"/>
        </w:rPr>
        <w:t xml:space="preserve"> ~€19bn revenue equivalent (SEK221bn), EBITDA margin ~11%, forward P/E ~19x. H&amp;M's longer lead times and store-heavy model leave it more exposed to markdowns; it has been losing share in value fashion to SHEIN and Primark.</w:t>
      </w:r>
    </w:p>
    <w:p>
      <w:pPr>
        <w:spacing w:after="120" w:line="264"/>
        <w:jc w:val="both"/>
      </w:pPr>
      <w:r>
        <w:rPr>
          <w:rFonts w:ascii="Times New Roman" w:cs="Times New Roman" w:eastAsia="Times New Roman" w:hAnsi="Times New Roman"/>
          <w:b/>
          <w:bCs/>
        </w:rPr>
        <w:t xml:space="preserve">3. Fast Retailing (Uniqlo).</w:t>
      </w:r>
      <w:r>
        <w:rPr>
          <w:rFonts w:ascii="Times New Roman" w:cs="Times New Roman" w:eastAsia="Times New Roman" w:hAnsi="Times New Roman"/>
        </w:rPr>
        <w:t xml:space="preserve"> Share ~1.3%; revenue ¥3.85trn; premium valuation (~39x forward P/E, 22.6x EV/EBITDA) reflecting a basics-led, low-fashion-risk model with strong Asian growth. Limited direct overlap with SHEIN's trend-led assortment but a benchmark for what a global apparel franchise can be worth.</w:t>
      </w:r>
    </w:p>
    <w:p>
      <w:pPr>
        <w:spacing w:after="120" w:line="264"/>
        <w:jc w:val="both"/>
      </w:pPr>
      <w:r>
        <w:rPr>
          <w:rFonts w:ascii="Times New Roman" w:cs="Times New Roman" w:eastAsia="Times New Roman" w:hAnsi="Times New Roman"/>
          <w:b/>
          <w:bCs/>
        </w:rPr>
        <w:t xml:space="preserve">4. Athletic leaders (Nike, Adidas).</w:t>
      </w:r>
      <w:r>
        <w:rPr>
          <w:rFonts w:ascii="Times New Roman" w:cs="Times New Roman" w:eastAsia="Times New Roman" w:hAnsi="Times New Roman"/>
        </w:rPr>
        <w:t xml:space="preserve"> Ranked #1 and #4 by CIC market share; relevant as share benchmarks and as competitors in sportswear, where SHEIN's MUSERA and Glowmode are growing.</w:t>
      </w:r>
    </w:p>
    <w:p>
      <w:pPr>
        <w:spacing w:after="120" w:line="264"/>
        <w:jc w:val="both"/>
      </w:pPr>
      <w:r>
        <w:rPr>
          <w:rFonts w:ascii="Times New Roman" w:cs="Times New Roman" w:eastAsia="Times New Roman" w:hAnsi="Times New Roman"/>
          <w:b/>
          <w:bCs/>
        </w:rPr>
        <w:t xml:space="preserve">5. PDD Holdings (Temu).</w:t>
      </w:r>
      <w:r>
        <w:rPr>
          <w:rFonts w:ascii="Times New Roman" w:cs="Times New Roman" w:eastAsia="Times New Roman" w:hAnsi="Times New Roman"/>
        </w:rPr>
        <w:t xml:space="preserve"> SHEIN's most direct and aggressive competitor since 2023: a fully managed/semi-managed marketplace shipping low-priced Chinese goods worldwide, backed by PDD's ~US$66bn net cash. Temu competes on price across all categories, including fashion, and has contested SHEIN in courts (US antitrust complaint, partially dismissed September 2025; UK copyright and competition cases, with further trials in 2027). Temu faces the same de minimis headwinds. PDD trades at only ~6.8x forward P/E and ~3x EV/EBITDA, anchoring investor expectations for China-linked cross-border platforms.</w:t>
      </w:r>
    </w:p>
    <w:p>
      <w:pPr>
        <w:spacing w:after="120" w:line="264"/>
        <w:jc w:val="both"/>
      </w:pPr>
      <w:r>
        <w:rPr>
          <w:rFonts w:ascii="Times New Roman" w:cs="Times New Roman" w:eastAsia="Times New Roman" w:hAnsi="Times New Roman"/>
          <w:b/>
          <w:bCs/>
        </w:rPr>
        <w:t xml:space="preserve">6. Alibaba (AliExpress) and other China cross-border platforms.</w:t>
      </w:r>
      <w:r>
        <w:rPr>
          <w:rFonts w:ascii="Times New Roman" w:cs="Times New Roman" w:eastAsia="Times New Roman" w:hAnsi="Times New Roman"/>
        </w:rPr>
        <w:t xml:space="preserve"> AliExpress's "Choice" programme competes on price and delivery; Alibaba trades at ~13.6x forward P/E.</w:t>
      </w:r>
    </w:p>
    <w:p>
      <w:pPr>
        <w:spacing w:after="120" w:line="264"/>
        <w:jc w:val="both"/>
      </w:pPr>
      <w:r>
        <w:rPr>
          <w:rFonts w:ascii="Times New Roman" w:cs="Times New Roman" w:eastAsia="Times New Roman" w:hAnsi="Times New Roman"/>
          <w:b/>
          <w:bCs/>
        </w:rPr>
        <w:t xml:space="preserve">7. Amazon (including Amazon Haul).</w:t>
      </w:r>
      <w:r>
        <w:rPr>
          <w:rFonts w:ascii="Times New Roman" w:cs="Times New Roman" w:eastAsia="Times New Roman" w:hAnsi="Times New Roman"/>
        </w:rPr>
        <w:t xml:space="preserve"> Amazon's low-price storefront targets the same value shopper with local fulfilment advantages in the US and Europe; Amazon's scale in logistics is a structural threat as duties erode the cost advantage of direct cross-border shipping.</w:t>
      </w:r>
    </w:p>
    <w:p>
      <w:pPr>
        <w:spacing w:after="120" w:line="264"/>
        <w:jc w:val="both"/>
      </w:pPr>
      <w:r>
        <w:rPr>
          <w:rFonts w:ascii="Times New Roman" w:cs="Times New Roman" w:eastAsia="Times New Roman" w:hAnsi="Times New Roman"/>
          <w:b/>
          <w:bCs/>
        </w:rPr>
        <w:t xml:space="preserve">8. TikTok Shop.</w:t>
      </w:r>
      <w:r>
        <w:rPr>
          <w:rFonts w:ascii="Times New Roman" w:cs="Times New Roman" w:eastAsia="Times New Roman" w:hAnsi="Times New Roman"/>
        </w:rPr>
        <w:t xml:space="preserve"> Social-commerce platforms compete for the same young consumer and the same influencer marketing budgets, and have lowered customer-acquisition barriers for smaller fashion brands.</w:t>
      </w:r>
    </w:p>
    <w:p>
      <w:pPr>
        <w:spacing w:after="120" w:line="264"/>
        <w:jc w:val="both"/>
      </w:pPr>
      <w:r>
        <w:rPr>
          <w:rFonts w:ascii="Times New Roman" w:cs="Times New Roman" w:eastAsia="Times New Roman" w:hAnsi="Times New Roman"/>
          <w:b/>
          <w:bCs/>
        </w:rPr>
        <w:t xml:space="preserve">9. Online fashion specialists: Zalando, ASOS, Boohoo, Revolve.</w:t>
      </w:r>
      <w:r>
        <w:rPr>
          <w:rFonts w:ascii="Times New Roman" w:cs="Times New Roman" w:eastAsia="Times New Roman" w:hAnsi="Times New Roman"/>
        </w:rPr>
        <w:t xml:space="preserve"> Zalando (~€13.5bn revenue; ~12.9x forward P/E) is the leading European online fashion platform and a direct competitor in Europe, now expanding through its About You acquisition. ASOS (loss-making, EV/Sales ~0.5x) and Boohoo have lost share to SHEIN in the UK and US value segments. Revolve (~21x forward P/E) is a US premium online player.</w:t>
      </w:r>
    </w:p>
    <w:p>
      <w:pPr>
        <w:spacing w:after="120" w:line="264"/>
        <w:jc w:val="both"/>
      </w:pPr>
      <w:r>
        <w:rPr>
          <w:rFonts w:ascii="Times New Roman" w:cs="Times New Roman" w:eastAsia="Times New Roman" w:hAnsi="Times New Roman"/>
          <w:b/>
          <w:bCs/>
        </w:rPr>
        <w:t xml:space="preserve">10. Primark (ABF) and off-price retailers.</w:t>
      </w:r>
      <w:r>
        <w:rPr>
          <w:rFonts w:ascii="Times New Roman" w:cs="Times New Roman" w:eastAsia="Times New Roman" w:hAnsi="Times New Roman"/>
        </w:rPr>
        <w:t xml:space="preserve"> Physical value fashion with strong unit economics in Europe; benefits from any increase in cross-border landed costs.</w:t>
      </w:r>
    </w:p>
    <w:p>
      <w:pPr>
        <w:spacing w:after="120" w:line="264"/>
        <w:jc w:val="both"/>
      </w:pPr>
      <w:r>
        <w:rPr>
          <w:rFonts w:ascii="Times New Roman" w:cs="Times New Roman" w:eastAsia="Times New Roman" w:hAnsi="Times New Roman"/>
          <w:b/>
          <w:bCs/>
        </w:rPr>
        <w:t xml:space="preserve">SHEIN's competitive position.</w:t>
      </w:r>
      <w:r>
        <w:rPr>
          <w:rFonts w:ascii="Times New Roman" w:cs="Times New Roman" w:eastAsia="Times New Roman" w:hAnsi="Times New Roman"/>
        </w:rPr>
        <w:t xml:space="preserve"> SHEIN's advantages are assortment breadth (2m+ styles), speed (5-day restocks), inventory efficiency (36-day turnover), cost (value pricing enabled by LATR and Chinese supply-chain density) and a large, engaged customer base (291m). Its disadvantages are thin operating margins (2-4% versus 12-20% for Inditex and Fast Retailing), dependence on cross-border shipping from China (&gt;90% of revenue shipped from Chinese warehouses) at a time when duty regimes are tightening, brand perception issues (quality, sustainability, IP), and regulatory scrutiny that its physical-retail peers largely escape. The competitive threat has shifted from Temu (price) toward platforms with local fulfilment (Amazon) and toward local value retail as duties rise.</w:t>
      </w:r>
    </w:p>
    <w:p>
      <w:pPr>
        <w:keepNext/>
        <w:spacing w:after="60" w:before="160"/>
      </w:pPr>
      <w:r>
        <w:rPr>
          <w:rFonts w:ascii="Times New Roman" w:cs="Times New Roman" w:eastAsia="Times New Roman" w:hAnsi="Times New Roman"/>
          <w:b/>
          <w:bCs/>
          <w:color w:val="1F3A5F"/>
          <w:sz w:val="18"/>
          <w:szCs w:val="18"/>
        </w:rPr>
        <w:t xml:space="preserve">Figure 17: </w:t>
      </w:r>
      <w:r>
        <w:rPr>
          <w:rFonts w:ascii="Times New Roman" w:cs="Times New Roman" w:eastAsia="Times New Roman" w:hAnsi="Times New Roman"/>
          <w:b/>
          <w:bCs/>
          <w:color w:val="1F3A5F"/>
          <w:sz w:val="18"/>
          <w:szCs w:val="18"/>
        </w:rPr>
        <w:t xml:space="preserve">Competitive positioning: price point vs. assortment breadth and speed</w:t>
      </w:r>
    </w:p>
    <w:p>
      <w:pPr>
        <w:keepNext/>
        <w:spacing w:after="20"/>
        <w:jc w:val="center"/>
      </w:pPr>
      <w:r>
        <w:drawing>
          <wp:inline distT="0" distB="0" distL="0" distR="0">
            <wp:extent cx="5762625" cy="3228975"/>
            <wp:effectExtent t="0" r="0" b="0" l="0"/>
            <wp:docPr id="13" name="chart_16_competitive_positioning_matrix.png" descr="Competitive positioning: price point vs. assortment breadth and speed" title="Competitive positioning: price point vs. assortment breadth and 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2289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18: </w:t>
      </w:r>
      <w:r>
        <w:rPr>
          <w:rFonts w:ascii="Times New Roman" w:cs="Times New Roman" w:eastAsia="Times New Roman" w:hAnsi="Times New Roman"/>
          <w:b/>
          <w:bCs/>
          <w:color w:val="1F3A5F"/>
          <w:sz w:val="18"/>
          <w:szCs w:val="18"/>
        </w:rPr>
        <w:t xml:space="preserve">EBITDA margin benchmarking vs. peers (LTM)</w:t>
      </w:r>
    </w:p>
    <w:p>
      <w:pPr>
        <w:keepNext/>
        <w:spacing w:after="20"/>
        <w:jc w:val="center"/>
      </w:pPr>
      <w:r>
        <w:drawing>
          <wp:inline distT="0" distB="0" distL="0" distR="0">
            <wp:extent cx="5762625" cy="3076575"/>
            <wp:effectExtent t="0" r="0" b="0" l="0"/>
            <wp:docPr id="14" name="chart_18_competitive_benchmarking.png" descr="EBITDA margin benchmarking vs. peers (LTM)" title="EBITDA margin benchmarking vs. peers (L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076575"/>
                    </a:xfrm>
                    <a:prstGeom prst="rect">
                      <a:avLst/>
                    </a:prstGeom>
                  </pic:spPr>
                </pic:pic>
              </a:graphicData>
            </a:graphic>
          </wp:inline>
        </w:drawing>
      </w:r>
    </w:p>
    <w:p>
      <w:pPr>
        <w:spacing w:after="120"/>
      </w:pPr>
    </w:p>
    <w:p>
      <w:pPr>
        <w:pStyle w:val="Heading2"/>
        <w:keepNext/>
      </w:pPr>
      <w:bookmarkStart w:name="h_33" w:id="33"/>
      <w:r>
        <w:t xml:space="preserve">Market Opportunity</w:t>
      </w:r>
      <w:bookmarkEnd w:id="33"/>
    </w:p>
    <w:p>
      <w:pPr>
        <w:spacing w:after="120" w:line="264"/>
        <w:jc w:val="both"/>
      </w:pPr>
      <w:r>
        <w:rPr>
          <w:rFonts w:ascii="Times New Roman" w:cs="Times New Roman" w:eastAsia="Times New Roman" w:hAnsi="Times New Roman"/>
        </w:rPr>
        <w:t xml:space="preserve">We frame SHEIN's addressable market in three layers:</w:t>
      </w:r>
    </w:p>
    <w:p>
      <w:pPr>
        <w:keepNext/>
        <w:spacing w:after="60" w:before="160"/>
      </w:pPr>
      <w:r>
        <w:rPr>
          <w:rFonts w:ascii="Times New Roman" w:cs="Times New Roman" w:eastAsia="Times New Roman" w:hAnsi="Times New Roman"/>
          <w:b/>
          <w:bCs/>
          <w:color w:val="1F3A5F"/>
          <w:sz w:val="18"/>
          <w:szCs w:val="18"/>
        </w:rPr>
        <w:t xml:space="preserve">Figure 19: </w:t>
      </w:r>
      <w:r>
        <w:rPr>
          <w:rFonts w:ascii="Times New Roman" w:cs="Times New Roman" w:eastAsia="Times New Roman" w:hAnsi="Times New Roman"/>
          <w:b/>
          <w:bCs/>
          <w:color w:val="1F3A5F"/>
          <w:sz w:val="18"/>
          <w:szCs w:val="18"/>
        </w:rPr>
        <w:t xml:space="preserve">Addressable market layers, 2025 and 2030E (CIC)</w:t>
      </w:r>
    </w:p>
    <w:tbl>
      <w:tblPr>
        <w:tblW w:type="dxa" w:w="959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6"/>
        <w:gridCol w:w="1691"/>
        <w:gridCol w:w="1691"/>
        <w:gridCol w:w="971"/>
        <w:gridCol w:w="2368"/>
      </w:tblGrid>
      <w:tr>
        <w:trPr>
          <w:cantSplit/>
          <w:tblHeader/>
        </w:trPr>
        <w:tc>
          <w:tcPr>
            <w:tcW w:type="dxa" w:w="287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Layer</w:t>
            </w:r>
          </w:p>
        </w:tc>
        <w:tc>
          <w:tcPr>
            <w:tcW w:type="dxa" w:w="1691"/>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2025 size</w:t>
            </w:r>
          </w:p>
        </w:tc>
        <w:tc>
          <w:tcPr>
            <w:tcW w:type="dxa" w:w="1691"/>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2030E size</w:t>
            </w:r>
          </w:p>
        </w:tc>
        <w:tc>
          <w:tcPr>
            <w:tcW w:type="dxa" w:w="971"/>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CAGR</w:t>
            </w:r>
          </w:p>
        </w:tc>
        <w:tc>
          <w:tcPr>
            <w:tcW w:type="dxa" w:w="236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SHEIN 2025 revenue / share</w:t>
            </w:r>
          </w:p>
        </w:tc>
      </w:tr>
      <w:tr>
        <w:trPr>
          <w:cantSplit/>
        </w:trPr>
        <w:tc>
          <w:tcPr>
            <w:tcW w:type="dxa" w:w="287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Global fashion (apparel, footwear, accessories)</w:t>
            </w:r>
          </w:p>
        </w:tc>
        <w:tc>
          <w:tcPr>
            <w:tcW w:type="dxa" w:w="169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US$1,737bn</w:t>
            </w:r>
          </w:p>
        </w:tc>
        <w:tc>
          <w:tcPr>
            <w:tcW w:type="dxa" w:w="169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US$2,049bn</w:t>
            </w:r>
          </w:p>
        </w:tc>
        <w:tc>
          <w:tcPr>
            <w:tcW w:type="dxa" w:w="97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w:t>
            </w:r>
          </w:p>
        </w:tc>
        <w:tc>
          <w:tcPr>
            <w:tcW w:type="dxa" w:w="2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~1.9% share (CIC, by RSV)</w:t>
            </w:r>
          </w:p>
        </w:tc>
      </w:tr>
      <w:tr>
        <w:trPr>
          <w:cantSplit/>
        </w:trPr>
        <w:tc>
          <w:tcPr>
            <w:tcW w:type="dxa" w:w="287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Global online fashion</w:t>
            </w:r>
          </w:p>
        </w:tc>
        <w:tc>
          <w:tcPr>
            <w:tcW w:type="dxa" w:w="169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US$606bn</w:t>
            </w:r>
          </w:p>
        </w:tc>
        <w:tc>
          <w:tcPr>
            <w:tcW w:type="dxa" w:w="169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US$792bn</w:t>
            </w:r>
          </w:p>
        </w:tc>
        <w:tc>
          <w:tcPr>
            <w:tcW w:type="dxa" w:w="97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5.5%</w:t>
            </w:r>
          </w:p>
        </w:tc>
        <w:tc>
          <w:tcPr>
            <w:tcW w:type="dxa" w:w="2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Largest online player</w:t>
            </w:r>
          </w:p>
        </w:tc>
      </w:tr>
      <w:tr>
        <w:trPr>
          <w:cantSplit/>
        </w:trPr>
        <w:tc>
          <w:tcPr>
            <w:tcW w:type="dxa" w:w="287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Online home &amp; living</w:t>
            </w:r>
          </w:p>
        </w:tc>
        <w:tc>
          <w:tcPr>
            <w:tcW w:type="dxa" w:w="169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US$282bn</w:t>
            </w:r>
          </w:p>
        </w:tc>
        <w:tc>
          <w:tcPr>
            <w:tcW w:type="dxa" w:w="169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US$374bn</w:t>
            </w:r>
          </w:p>
        </w:tc>
        <w:tc>
          <w:tcPr>
            <w:tcW w:type="dxa" w:w="97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w:t>
            </w:r>
          </w:p>
        </w:tc>
        <w:tc>
          <w:tcPr>
            <w:tcW w:type="dxa" w:w="2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Adjacent category</w:t>
            </w:r>
          </w:p>
        </w:tc>
      </w:tr>
      <w:tr>
        <w:trPr>
          <w:cantSplit/>
        </w:trPr>
        <w:tc>
          <w:tcPr>
            <w:tcW w:type="dxa" w:w="287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Online beauty &amp; personal care</w:t>
            </w:r>
          </w:p>
        </w:tc>
        <w:tc>
          <w:tcPr>
            <w:tcW w:type="dxa" w:w="169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US$171bn</w:t>
            </w:r>
          </w:p>
        </w:tc>
        <w:tc>
          <w:tcPr>
            <w:tcW w:type="dxa" w:w="169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US$264bn</w:t>
            </w:r>
          </w:p>
        </w:tc>
        <w:tc>
          <w:tcPr>
            <w:tcW w:type="dxa" w:w="97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9.1%</w:t>
            </w:r>
          </w:p>
        </w:tc>
        <w:tc>
          <w:tcPr>
            <w:tcW w:type="dxa" w:w="2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SHEGLAM + marketplace</w:t>
            </w:r>
          </w:p>
        </w:tc>
      </w:tr>
      <w:tr>
        <w:trPr>
          <w:cantSplit/>
        </w:trPr>
        <w:tc>
          <w:tcPr>
            <w:tcW w:type="dxa" w:w="287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Online appliances &amp; electronics</w:t>
            </w:r>
          </w:p>
        </w:tc>
        <w:tc>
          <w:tcPr>
            <w:tcW w:type="dxa" w:w="1691"/>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US$659bn</w:t>
            </w:r>
          </w:p>
        </w:tc>
        <w:tc>
          <w:tcPr>
            <w:tcW w:type="dxa" w:w="1691"/>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US$1,067bn</w:t>
            </w:r>
          </w:p>
        </w:tc>
        <w:tc>
          <w:tcPr>
            <w:tcW w:type="dxa" w:w="971"/>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10.1%</w:t>
            </w:r>
          </w:p>
        </w:tc>
        <w:tc>
          <w:tcPr>
            <w:tcW w:type="dxa" w:w="236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Marketplace only</w:t>
            </w:r>
          </w:p>
        </w:tc>
      </w:tr>
    </w:tbl>
    <w:p>
      <w:pPr>
        <w:spacing w:after="120"/>
      </w:pPr>
    </w:p>
    <w:p>
      <w:pPr>
        <w:spacing w:after="120" w:line="264"/>
        <w:jc w:val="both"/>
      </w:pPr>
      <w:r>
        <w:rPr>
          <w:rFonts w:ascii="Times New Roman" w:cs="Times New Roman" w:eastAsia="Times New Roman" w:hAnsi="Times New Roman"/>
          <w:i/>
          <w:iCs/>
        </w:rPr>
        <w:t xml:space="preserve">Source: CIC via Prospectus. RSV = retail sales value ex-VAT.</w:t>
      </w:r>
    </w:p>
    <w:p>
      <w:pPr>
        <w:spacing w:after="120" w:line="264"/>
        <w:jc w:val="both"/>
      </w:pPr>
      <w:r>
        <w:rPr>
          <w:rFonts w:ascii="Times New Roman" w:cs="Times New Roman" w:eastAsia="Times New Roman" w:hAnsi="Times New Roman"/>
          <w:b/>
          <w:bCs/>
        </w:rPr>
        <w:t xml:space="preserve">Serviceable market.</w:t>
      </w:r>
      <w:r>
        <w:rPr>
          <w:rFonts w:ascii="Times New Roman" w:cs="Times New Roman" w:eastAsia="Times New Roman" w:hAnsi="Times New Roman"/>
        </w:rPr>
        <w:t xml:space="preserve"> SHEIN's core serviceable market is online fashion (US$606bn, 2025), where its ~US$27bn of apparel revenue and a portion of its footwear/accessories revenue imply a high-single-digit share. Adding online beauty and home &amp; living takes the serviceable online market to ~US$1.06trn in 2025, rising to ~US$1.43trn by 2030 (6.2% CAGR).</w:t>
      </w:r>
    </w:p>
    <w:p>
      <w:pPr>
        <w:spacing w:after="120" w:line="264"/>
        <w:jc w:val="both"/>
      </w:pPr>
      <w:r>
        <w:rPr>
          <w:rFonts w:ascii="Times New Roman" w:cs="Times New Roman" w:eastAsia="Times New Roman" w:hAnsi="Times New Roman"/>
          <w:b/>
          <w:bCs/>
        </w:rPr>
        <w:t xml:space="preserve">Share-gain runway.</w:t>
      </w:r>
      <w:r>
        <w:rPr>
          <w:rFonts w:ascii="Times New Roman" w:cs="Times New Roman" w:eastAsia="Times New Roman" w:hAnsi="Times New Roman"/>
        </w:rPr>
        <w:t xml:space="preserve"> Even after a decade of hyper-growth SHEIN holds under 2% of global fashion. Management argues its current share is "relatively low". Our base-case model assumes net revenues grow at a 6.1% CAGR over 2026-31E (to US$56bn), modestly ahead of the online fashion market, with orders growing 5-7% a year and revenue per order stabilising as the price-range strategy offsets marketplace mix. Our bull case (8.6% CAGR) assumes Europe re-accelerates after the duty shock and the rest of the world continues to compound in double digits; our bear case (2.8% CAGR) assumes structural share loss in the US and Europe.</w:t>
      </w:r>
    </w:p>
    <w:p>
      <w:pPr>
        <w:spacing w:after="120" w:line="264"/>
        <w:jc w:val="both"/>
      </w:pPr>
      <w:r>
        <w:rPr>
          <w:rFonts w:ascii="Times New Roman" w:cs="Times New Roman" w:eastAsia="Times New Roman" w:hAnsi="Times New Roman"/>
          <w:b/>
          <w:bCs/>
        </w:rPr>
        <w:t xml:space="preserve">Constraints.</w:t>
      </w:r>
      <w:r>
        <w:rPr>
          <w:rFonts w:ascii="Times New Roman" w:cs="Times New Roman" w:eastAsia="Times New Roman" w:hAnsi="Times New Roman"/>
        </w:rPr>
        <w:t xml:space="preserve"> The addressable market is not the binding constraint; trade policy and regulation are. The removal of low-value exemptions in the US and EU — SHEIN's two largest regions and ~60% of 2025 revenue — raises the cost of the direct-from-China model and forces a shift toward local inventory, which carries higher working capital, warehousing and duty costs but faster delivery.</w:t>
      </w:r>
    </w:p>
    <w:p>
      <w:pPr>
        <w:pStyle w:val="Heading1"/>
        <w:keepNext/>
        <w:pageBreakBefore/>
      </w:pPr>
      <w:bookmarkStart w:name="h_34" w:id="34"/>
      <w:r>
        <w:t xml:space="preserve">Financial Analysis</w:t>
      </w:r>
      <w:bookmarkEnd w:id="34"/>
    </w:p>
    <w:p>
      <w:pPr>
        <w:spacing w:after="120" w:line="264"/>
        <w:jc w:val="both"/>
      </w:pPr>
      <w:r>
        <w:rPr>
          <w:rFonts w:ascii="Times New Roman" w:cs="Times New Roman" w:eastAsia="Times New Roman" w:hAnsi="Times New Roman"/>
        </w:rPr>
        <w:t xml:space="preserve">SHEIN reports under IFRS in US dollars with a December year-end. Our historical analysis covers FY2023-FY2025 from the Accountants' Report in the prospectus, plus the first six months of 2026 and the 1Q/2Q splits disclosed in the 2026 Interim Report. Unless stated otherwise, "adjusted" figures use the company's non-IFRS definitions:</w:t>
      </w:r>
    </w:p>
    <w:p>
      <w:pPr>
        <w:pStyle w:val="ListParagraph"/>
        <w:numPr>
          <w:ilvl w:val="0"/>
          <w:numId w:val="3"/>
        </w:numPr>
        <w:spacing w:after="60" w:line="252"/>
      </w:pPr>
      <w:r>
        <w:rPr>
          <w:rFonts w:ascii="Times New Roman" w:cs="Times New Roman" w:eastAsia="Times New Roman" w:hAnsi="Times New Roman"/>
          <w:b/>
          <w:bCs/>
        </w:rPr>
        <w:t xml:space="preserve">Adjusted EBIT</w:t>
      </w:r>
      <w:r>
        <w:rPr>
          <w:rFonts w:ascii="Times New Roman" w:cs="Times New Roman" w:eastAsia="Times New Roman" w:hAnsi="Times New Roman"/>
        </w:rPr>
        <w:t xml:space="preserve"> is operating income excluding share-based compensation.</w:t>
      </w:r>
    </w:p>
    <w:p>
      <w:pPr>
        <w:pStyle w:val="ListParagraph"/>
        <w:numPr>
          <w:ilvl w:val="0"/>
          <w:numId w:val="3"/>
        </w:numPr>
        <w:spacing w:after="60" w:line="252"/>
      </w:pPr>
      <w:r>
        <w:rPr>
          <w:rFonts w:ascii="Times New Roman" w:cs="Times New Roman" w:eastAsia="Times New Roman" w:hAnsi="Times New Roman"/>
          <w:b/>
          <w:bCs/>
        </w:rPr>
        <w:t xml:space="preserve">Adjusted net income</w:t>
      </w:r>
      <w:r>
        <w:rPr>
          <w:rFonts w:ascii="Times New Roman" w:cs="Times New Roman" w:eastAsia="Times New Roman" w:hAnsi="Times New Roman"/>
        </w:rPr>
        <w:t xml:space="preserve"> also excludes fair-value changes of the convertible redeemable preferred shares, share of associates' results and impairments of long-term investments.</w:t>
      </w:r>
    </w:p>
    <w:p>
      <w:pPr>
        <w:pStyle w:val="Heading2"/>
        <w:keepNext/>
      </w:pPr>
      <w:bookmarkStart w:name="h_35" w:id="35"/>
      <w:r>
        <w:t xml:space="preserve">Revenue: from hyper-growth to a trade-policy pause</w:t>
      </w:r>
      <w:bookmarkEnd w:id="35"/>
    </w:p>
    <w:p>
      <w:pPr>
        <w:spacing w:after="120" w:line="264"/>
        <w:jc w:val="both"/>
      </w:pPr>
      <w:r>
        <w:rPr>
          <w:rFonts w:ascii="Times New Roman" w:cs="Times New Roman" w:eastAsia="Times New Roman" w:hAnsi="Times New Roman"/>
        </w:rPr>
        <w:t xml:space="preserve">Net revenues grew from US$32.1bn in FY2023 to US$41.8bn in FY2025, a 14.2% CAGR. Growth slowed sharply, from 41.1% in FY2023 to 20.7% in FY2024, 8.0% in FY2025 and 1.0% in 1H26. The slowdown has three distinct causes, and they matter differently for the forecasts:</w:t>
      </w:r>
    </w:p>
    <w:p>
      <w:pPr>
        <w:tabs>
          <w:tab w:val="left" w:pos="400"/>
        </w:tabs>
        <w:spacing w:after="80" w:line="252"/>
        <w:ind w:left="400" w:hanging="400"/>
      </w:pPr>
      <w:r>
        <w:rPr>
          <w:rFonts w:ascii="Times New Roman" w:cs="Times New Roman" w:eastAsia="Times New Roman" w:hAnsi="Times New Roman"/>
        </w:rPr>
        <w:t xml:space="preserve">1.	</w:t>
      </w:r>
      <w:r>
        <w:rPr>
          <w:rFonts w:ascii="Times New Roman" w:cs="Times New Roman" w:eastAsia="Times New Roman" w:hAnsi="Times New Roman"/>
          <w:b/>
          <w:bCs/>
        </w:rPr>
        <w:t xml:space="preserve">Marketplace mix (accounting, not demand).</w:t>
      </w:r>
      <w:r>
        <w:rPr>
          <w:rFonts w:ascii="Times New Roman" w:cs="Times New Roman" w:eastAsia="Times New Roman" w:hAnsi="Times New Roman"/>
        </w:rPr>
        <w:t xml:space="preserve"> Service revenues rose from 2.7% of the total in FY2023 to 11.3% in FY2025 and 13.4% in 1H26. Marketplace sales are booked net, at the commission plus fulfilment fee. A shift of one order from first-party to the marketplace therefore reduces reported revenue even when the customer pays the same price. This is the main reason net revenue per order fell from US$44.9 in FY2023 to US$38.8 in FY2025.</w:t>
      </w:r>
    </w:p>
    <w:p>
      <w:pPr>
        <w:tabs>
          <w:tab w:val="left" w:pos="400"/>
        </w:tabs>
        <w:spacing w:after="80" w:line="252"/>
        <w:ind w:left="400" w:hanging="400"/>
      </w:pPr>
      <w:r>
        <w:rPr>
          <w:rFonts w:ascii="Times New Roman" w:cs="Times New Roman" w:eastAsia="Times New Roman" w:hAnsi="Times New Roman"/>
        </w:rPr>
        <w:t xml:space="preserve">2.	</w:t>
      </w:r>
      <w:r>
        <w:rPr>
          <w:rFonts w:ascii="Times New Roman" w:cs="Times New Roman" w:eastAsia="Times New Roman" w:hAnsi="Times New Roman"/>
          <w:b/>
          <w:bCs/>
        </w:rPr>
        <w:t xml:space="preserve">Regional mix.</w:t>
      </w:r>
      <w:r>
        <w:rPr>
          <w:rFonts w:ascii="Times New Roman" w:cs="Times New Roman" w:eastAsia="Times New Roman" w:hAnsi="Times New Roman"/>
        </w:rPr>
        <w:t xml:space="preserve"> The rest of the world (Latin America, the Middle East and Asia-Pacific) grew 15.4% in FY2025 and 16.0% in 1H26, becoming SHEIN's largest region at 44% of 1H26 revenue. Baskets in these markets are smaller than in the US and Europe.</w:t>
      </w:r>
    </w:p>
    <w:p>
      <w:pPr>
        <w:tabs>
          <w:tab w:val="left" w:pos="400"/>
        </w:tabs>
        <w:spacing w:after="80" w:line="252"/>
        <w:ind w:left="400" w:hanging="400"/>
      </w:pPr>
      <w:r>
        <w:rPr>
          <w:rFonts w:ascii="Times New Roman" w:cs="Times New Roman" w:eastAsia="Times New Roman" w:hAnsi="Times New Roman"/>
        </w:rPr>
        <w:t xml:space="preserve">3.	</w:t>
      </w:r>
      <w:r>
        <w:rPr>
          <w:rFonts w:ascii="Times New Roman" w:cs="Times New Roman" w:eastAsia="Times New Roman" w:hAnsi="Times New Roman"/>
          <w:b/>
          <w:bCs/>
        </w:rPr>
        <w:t xml:space="preserve">Trade policy (genuine demand loss).</w:t>
      </w:r>
      <w:r>
        <w:rPr>
          <w:rFonts w:ascii="Times New Roman" w:cs="Times New Roman" w:eastAsia="Times New Roman" w:hAnsi="Times New Roman"/>
        </w:rPr>
        <w:t xml:space="preserve"> US revenue fell 3.5% in FY2025 and 9.9% in 1H26 after the de minimis exemption was removed. Europe grew 8.8% in FY2025 and fell 13.9% in 2Q26 as SHEIN pre-emptively raised prices and cut advertising ahead of the EU duty.</w:t>
      </w:r>
    </w:p>
    <w:p>
      <w:pPr>
        <w:spacing w:after="120" w:line="264"/>
        <w:jc w:val="both"/>
      </w:pPr>
      <w:r>
        <w:rPr>
          <w:rFonts w:ascii="Times New Roman" w:cs="Times New Roman" w:eastAsia="Times New Roman" w:hAnsi="Times New Roman"/>
        </w:rPr>
        <w:t xml:space="preserve">Volume metrics are healthier than revenue:</w:t>
      </w:r>
    </w:p>
    <w:p>
      <w:pPr>
        <w:pStyle w:val="ListParagraph"/>
        <w:numPr>
          <w:ilvl w:val="0"/>
          <w:numId w:val="3"/>
        </w:numPr>
        <w:spacing w:after="60" w:line="252"/>
      </w:pPr>
      <w:r>
        <w:rPr>
          <w:rFonts w:ascii="Times New Roman" w:cs="Times New Roman" w:eastAsia="Times New Roman" w:hAnsi="Times New Roman"/>
        </w:rPr>
        <w:t xml:space="preserve">Orders grew 17.3% to 1.08bn in FY2025 and 6.4% in 1H26 (2Q26: +7.6%).</w:t>
      </w:r>
    </w:p>
    <w:p>
      <w:pPr>
        <w:pStyle w:val="ListParagraph"/>
        <w:numPr>
          <w:ilvl w:val="0"/>
          <w:numId w:val="3"/>
        </w:numPr>
        <w:spacing w:after="60" w:line="252"/>
      </w:pPr>
      <w:r>
        <w:rPr>
          <w:rFonts w:ascii="Times New Roman" w:cs="Times New Roman" w:eastAsia="Times New Roman" w:hAnsi="Times New Roman"/>
        </w:rPr>
        <w:t xml:space="preserve">Active customers reached 291m in the twelve months to June 2026 (+14.6%).</w:t>
      </w:r>
    </w:p>
    <w:p>
      <w:pPr>
        <w:pStyle w:val="ListParagraph"/>
        <w:numPr>
          <w:ilvl w:val="0"/>
          <w:numId w:val="3"/>
        </w:numPr>
        <w:spacing w:after="60" w:line="252"/>
      </w:pPr>
      <w:r>
        <w:rPr>
          <w:rFonts w:ascii="Times New Roman" w:cs="Times New Roman" w:eastAsia="Times New Roman" w:hAnsi="Times New Roman"/>
        </w:rPr>
        <w:t xml:space="preserve">Order frequency has been steady at about four orders per customer a year, so growth has come from new customers rather than deeper wallet share.</w:t>
      </w:r>
    </w:p>
    <w:p>
      <w:pPr>
        <w:keepNext/>
        <w:spacing w:after="60" w:before="160"/>
      </w:pPr>
      <w:r>
        <w:rPr>
          <w:rFonts w:ascii="Times New Roman" w:cs="Times New Roman" w:eastAsia="Times New Roman" w:hAnsi="Times New Roman"/>
          <w:b/>
          <w:bCs/>
          <w:color w:val="1F3A5F"/>
          <w:sz w:val="18"/>
          <w:szCs w:val="18"/>
        </w:rPr>
        <w:t xml:space="preserve">Figure 20: </w:t>
      </w:r>
      <w:r>
        <w:rPr>
          <w:rFonts w:ascii="Times New Roman" w:cs="Times New Roman" w:eastAsia="Times New Roman" w:hAnsi="Times New Roman"/>
          <w:b/>
          <w:bCs/>
          <w:color w:val="1F3A5F"/>
          <w:sz w:val="18"/>
          <w:szCs w:val="18"/>
        </w:rPr>
        <w:t xml:space="preserve">Net revenue trajectory, FY2023A-FY2031E (US$m) and YoY growth</w:t>
      </w:r>
    </w:p>
    <w:p>
      <w:pPr>
        <w:keepNext/>
        <w:spacing w:after="20"/>
        <w:jc w:val="center"/>
      </w:pPr>
      <w:r>
        <w:drawing>
          <wp:inline distT="0" distB="0" distL="0" distR="0">
            <wp:extent cx="5762625" cy="2924175"/>
            <wp:effectExtent t="0" r="0" b="0" l="0"/>
            <wp:docPr id="15" name="chart_02_revenue_growth_trajectory.png" descr="Net revenue trajectory, FY2023A-FY2031E (US$m) and YoY growth" title="Net revenue trajectory, FY2023A-FY2031E (US$m) and YoY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9241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21: </w:t>
      </w:r>
      <w:r>
        <w:rPr>
          <w:rFonts w:ascii="Times New Roman" w:cs="Times New Roman" w:eastAsia="Times New Roman" w:hAnsi="Times New Roman"/>
          <w:b/>
          <w:bCs/>
          <w:color w:val="1F3A5F"/>
          <w:sz w:val="18"/>
          <w:szCs w:val="18"/>
        </w:rPr>
        <w:t xml:space="preserve">Historical income statement, FY2023A-FY2025A (US$m and % of revenue)</w:t>
      </w:r>
    </w:p>
    <w:tbl>
      <w:tblPr>
        <w:tblW w:type="dxa" w:w="921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8"/>
        <w:gridCol w:w="1037"/>
        <w:gridCol w:w="1037"/>
        <w:gridCol w:w="1037"/>
        <w:gridCol w:w="979"/>
        <w:gridCol w:w="979"/>
        <w:gridCol w:w="979"/>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US$m</w:t>
            </w:r>
          </w:p>
        </w:tc>
        <w:tc>
          <w:tcPr>
            <w:tcW w:type="dxa" w:w="1037"/>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FY23A</w:t>
            </w:r>
          </w:p>
        </w:tc>
        <w:tc>
          <w:tcPr>
            <w:tcW w:type="dxa" w:w="1037"/>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FY24A</w:t>
            </w:r>
          </w:p>
        </w:tc>
        <w:tc>
          <w:tcPr>
            <w:tcW w:type="dxa" w:w="1037"/>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FY25A</w:t>
            </w:r>
          </w:p>
        </w:tc>
        <w:tc>
          <w:tcPr>
            <w:tcW w:type="dxa" w:w="97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 FY23</w:t>
            </w:r>
          </w:p>
        </w:tc>
        <w:tc>
          <w:tcPr>
            <w:tcW w:type="dxa" w:w="97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 FY24</w:t>
            </w:r>
          </w:p>
        </w:tc>
        <w:tc>
          <w:tcPr>
            <w:tcW w:type="dxa" w:w="97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 FY25</w:t>
            </w:r>
          </w:p>
        </w:tc>
      </w:tr>
      <w:tr>
        <w:trPr>
          <w:cantSplit/>
        </w:trPr>
        <w:tc>
          <w:tcPr>
            <w:tcW w:type="dxa" w:w="31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Net revenues</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32,103</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38,748</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41,847</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100.0%</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100.0%</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100.0%</w:t>
            </w:r>
          </w:p>
        </w:tc>
      </w:tr>
      <w:tr>
        <w:trPr>
          <w:cantSplit/>
        </w:trPr>
        <w:tc>
          <w:tcPr>
            <w:tcW w:type="dxa" w:w="31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Product revenues</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31,235</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35,351</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37,107</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97.3%</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91.2%</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88.7%</w:t>
            </w:r>
          </w:p>
        </w:tc>
      </w:tr>
      <w:tr>
        <w:trPr>
          <w:cantSplit/>
        </w:trPr>
        <w:tc>
          <w:tcPr>
            <w:tcW w:type="dxa" w:w="31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Service revenues</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868</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3,397</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4,740</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2.7%</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8.8%</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11.3%</w:t>
            </w:r>
          </w:p>
        </w:tc>
      </w:tr>
      <w:tr>
        <w:trPr>
          <w:cantSplit/>
        </w:trPr>
        <w:tc>
          <w:tcPr>
            <w:tcW w:type="dxa" w:w="31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Cost of sales</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(12,777)</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(15,249)</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(13,433)</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(39.8%)</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(39.4%)</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(32.1%)</w:t>
            </w:r>
          </w:p>
        </w:tc>
      </w:tr>
      <w:tr>
        <w:trPr>
          <w:cantSplit/>
        </w:trPr>
        <w:tc>
          <w:tcPr>
            <w:tcW w:type="dxa" w:w="316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Gross profit</w:t>
            </w:r>
          </w:p>
        </w:tc>
        <w:tc>
          <w:tcPr>
            <w:tcW w:type="dxa" w:w="1037"/>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19,326</w:t>
            </w:r>
          </w:p>
        </w:tc>
        <w:tc>
          <w:tcPr>
            <w:tcW w:type="dxa" w:w="1037"/>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23,499</w:t>
            </w:r>
          </w:p>
        </w:tc>
        <w:tc>
          <w:tcPr>
            <w:tcW w:type="dxa" w:w="1037"/>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28,414</w:t>
            </w:r>
          </w:p>
        </w:tc>
        <w:tc>
          <w:tcPr>
            <w:tcW w:type="dxa" w:w="97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60.2%</w:t>
            </w:r>
          </w:p>
        </w:tc>
        <w:tc>
          <w:tcPr>
            <w:tcW w:type="dxa" w:w="97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60.6%</w:t>
            </w:r>
          </w:p>
        </w:tc>
        <w:tc>
          <w:tcPr>
            <w:tcW w:type="dxa" w:w="97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67.9%</w:t>
            </w:r>
          </w:p>
        </w:tc>
      </w:tr>
      <w:tr>
        <w:trPr>
          <w:cantSplit/>
        </w:trPr>
        <w:tc>
          <w:tcPr>
            <w:tcW w:type="dxa" w:w="31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Fulfilment expenses</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(13,501)</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(16,847)</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(19,072)</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(42.1%)</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(43.5%)</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(45.6%)</w:t>
            </w:r>
          </w:p>
        </w:tc>
      </w:tr>
      <w:tr>
        <w:trPr>
          <w:cantSplit/>
        </w:trPr>
        <w:tc>
          <w:tcPr>
            <w:tcW w:type="dxa" w:w="31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Marketing expenses</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(3,453)</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(4,159)</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(6,191)</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(10.8%)</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(10.7%)</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(14.8%)</w:t>
            </w:r>
          </w:p>
        </w:tc>
      </w:tr>
      <w:tr>
        <w:trPr>
          <w:cantSplit/>
        </w:trPr>
        <w:tc>
          <w:tcPr>
            <w:tcW w:type="dxa" w:w="31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Technology &amp; content</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(668)</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(849)</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(896)</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w:t>
            </w:r>
          </w:p>
        </w:tc>
      </w:tr>
      <w:tr>
        <w:trPr>
          <w:cantSplit/>
        </w:trPr>
        <w:tc>
          <w:tcPr>
            <w:tcW w:type="dxa" w:w="31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General &amp; administrative</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(328)</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(678)</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(548)</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(1.7%)</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r>
      <w:tr>
        <w:trPr>
          <w:cantSplit/>
        </w:trPr>
        <w:tc>
          <w:tcPr>
            <w:tcW w:type="dxa" w:w="316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Operating income</w:t>
            </w:r>
          </w:p>
        </w:tc>
        <w:tc>
          <w:tcPr>
            <w:tcW w:type="dxa" w:w="1037"/>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1,376</w:t>
            </w:r>
          </w:p>
        </w:tc>
        <w:tc>
          <w:tcPr>
            <w:tcW w:type="dxa" w:w="1037"/>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966</w:t>
            </w:r>
          </w:p>
        </w:tc>
        <w:tc>
          <w:tcPr>
            <w:tcW w:type="dxa" w:w="1037"/>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1,707</w:t>
            </w:r>
          </w:p>
        </w:tc>
        <w:tc>
          <w:tcPr>
            <w:tcW w:type="dxa" w:w="979"/>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4.3%</w:t>
            </w:r>
          </w:p>
        </w:tc>
        <w:tc>
          <w:tcPr>
            <w:tcW w:type="dxa" w:w="979"/>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2.5%</w:t>
            </w:r>
          </w:p>
        </w:tc>
        <w:tc>
          <w:tcPr>
            <w:tcW w:type="dxa" w:w="979"/>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4.1%</w:t>
            </w:r>
          </w:p>
        </w:tc>
      </w:tr>
      <w:tr>
        <w:trPr>
          <w:cantSplit/>
        </w:trPr>
        <w:tc>
          <w:tcPr>
            <w:tcW w:type="dxa" w:w="31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FV changes of preferred shares</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1,231</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2,431</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328</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6.3%</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0.8%</w:t>
            </w:r>
          </w:p>
        </w:tc>
      </w:tr>
      <w:tr>
        <w:trPr>
          <w:cantSplit/>
        </w:trPr>
        <w:tc>
          <w:tcPr>
            <w:tcW w:type="dxa" w:w="31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Interest income</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472</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597</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621</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w:t>
            </w:r>
          </w:p>
        </w:tc>
      </w:tr>
      <w:tr>
        <w:trPr>
          <w:cantSplit/>
        </w:trPr>
        <w:tc>
          <w:tcPr>
            <w:tcW w:type="dxa" w:w="31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Associates, FX &amp; other</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(84)</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(225)</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(142)</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(0.3%)</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(0.6%)</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(0.3%)</w:t>
            </w:r>
          </w:p>
        </w:tc>
      </w:tr>
      <w:tr>
        <w:trPr>
          <w:cantSplit/>
        </w:trPr>
        <w:tc>
          <w:tcPr>
            <w:tcW w:type="dxa" w:w="31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Income before tax</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2,995</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3,769</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2,514</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9.3%</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9.7%</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6.0%</w:t>
            </w:r>
          </w:p>
        </w:tc>
      </w:tr>
      <w:tr>
        <w:trPr>
          <w:cantSplit/>
        </w:trPr>
        <w:tc>
          <w:tcPr>
            <w:tcW w:type="dxa" w:w="31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Income tax</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(206)</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(404)</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(450)</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(0.6%)</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w:t>
            </w:r>
          </w:p>
        </w:tc>
      </w:tr>
      <w:tr>
        <w:trPr>
          <w:cantSplit/>
        </w:trPr>
        <w:tc>
          <w:tcPr>
            <w:tcW w:type="dxa" w:w="316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Net income (IFRS)</w:t>
            </w:r>
          </w:p>
        </w:tc>
        <w:tc>
          <w:tcPr>
            <w:tcW w:type="dxa" w:w="1037"/>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2,789</w:t>
            </w:r>
          </w:p>
        </w:tc>
        <w:tc>
          <w:tcPr>
            <w:tcW w:type="dxa" w:w="1037"/>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3,365</w:t>
            </w:r>
          </w:p>
        </w:tc>
        <w:tc>
          <w:tcPr>
            <w:tcW w:type="dxa" w:w="1037"/>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2,064</w:t>
            </w:r>
          </w:p>
        </w:tc>
        <w:tc>
          <w:tcPr>
            <w:tcW w:type="dxa" w:w="979"/>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8.7%</w:t>
            </w:r>
          </w:p>
        </w:tc>
        <w:tc>
          <w:tcPr>
            <w:tcW w:type="dxa" w:w="979"/>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8.7%</w:t>
            </w:r>
          </w:p>
        </w:tc>
        <w:tc>
          <w:tcPr>
            <w:tcW w:type="dxa" w:w="979"/>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4.9%</w:t>
            </w:r>
          </w:p>
        </w:tc>
      </w:tr>
      <w:tr>
        <w:trPr>
          <w:cantSplit/>
        </w:trPr>
        <w:tc>
          <w:tcPr>
            <w:tcW w:type="dxa" w:w="3168"/>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6"/>
                <w:szCs w:val="16"/>
              </w:rPr>
              <w:t xml:space="preserve">Adjusted net income</w:t>
            </w:r>
          </w:p>
        </w:tc>
        <w:tc>
          <w:tcPr>
            <w:tcW w:type="dxa" w:w="1037"/>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1,643</w:t>
            </w:r>
          </w:p>
        </w:tc>
        <w:tc>
          <w:tcPr>
            <w:tcW w:type="dxa" w:w="1037"/>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1,119</w:t>
            </w:r>
          </w:p>
        </w:tc>
        <w:tc>
          <w:tcPr>
            <w:tcW w:type="dxa" w:w="1037"/>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1,816</w:t>
            </w:r>
          </w:p>
        </w:tc>
        <w:tc>
          <w:tcPr>
            <w:tcW w:type="dxa" w:w="979"/>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5.1%</w:t>
            </w:r>
          </w:p>
        </w:tc>
        <w:tc>
          <w:tcPr>
            <w:tcW w:type="dxa" w:w="979"/>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2.9%</w:t>
            </w:r>
          </w:p>
        </w:tc>
        <w:tc>
          <w:tcPr>
            <w:tcW w:type="dxa" w:w="979"/>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4.3%</w:t>
            </w:r>
          </w:p>
        </w:tc>
      </w:tr>
    </w:tbl>
    <w:p>
      <w:pPr>
        <w:spacing w:after="160" w:before="20"/>
      </w:pPr>
      <w:r>
        <w:rPr>
          <w:rFonts w:ascii="Times New Roman" w:cs="Times New Roman" w:eastAsia="Times New Roman" w:hAnsi="Times New Roman"/>
          <w:i/>
          <w:iCs/>
          <w:color w:val="595959"/>
          <w:sz w:val="15"/>
          <w:szCs w:val="15"/>
        </w:rPr>
        <w:t xml:space="preserve">Source: Prospectus (Accountants' Report), analyst calculations.</w:t>
      </w:r>
    </w:p>
    <w:p>
      <w:pPr>
        <w:spacing w:after="120" w:line="264"/>
        <w:jc w:val="both"/>
      </w:pPr>
      <w:r>
        <w:rPr>
          <w:rFonts w:ascii="Times New Roman" w:cs="Times New Roman" w:eastAsia="Times New Roman" w:hAnsi="Times New Roman"/>
        </w:rPr>
        <w:t xml:space="preserve">Quarterly and half-year data show the second-quarter pattern and the effect of the tariff changes by region. In the US, the year-on-year decline narrowed from 14.3% in 1Q26 to 6.0% in 2Q26 as customers adjusted to higher prices and SHEIN shifted to formal customs entry. In Europe, 1Q26 revenue was still up 2.3%, but 2Q26 fell 13.9% when pricing was raised ahead of the 1-Jul-2026 duty. The rest of the world accelerated from 10.1% in 1Q26 to 21.6% in 2Q26.</w:t>
      </w:r>
    </w:p>
    <w:p>
      <w:pPr>
        <w:keepNext/>
        <w:spacing w:after="60" w:before="160"/>
      </w:pPr>
      <w:r>
        <w:rPr>
          <w:rFonts w:ascii="Times New Roman" w:cs="Times New Roman" w:eastAsia="Times New Roman" w:hAnsi="Times New Roman"/>
          <w:b/>
          <w:bCs/>
          <w:color w:val="1F3A5F"/>
          <w:sz w:val="18"/>
          <w:szCs w:val="18"/>
        </w:rPr>
        <w:t xml:space="preserve">Figure 22: </w:t>
      </w:r>
      <w:r>
        <w:rPr>
          <w:rFonts w:ascii="Times New Roman" w:cs="Times New Roman" w:eastAsia="Times New Roman" w:hAnsi="Times New Roman"/>
          <w:b/>
          <w:bCs/>
          <w:color w:val="1F3A5F"/>
          <w:sz w:val="18"/>
          <w:szCs w:val="18"/>
        </w:rPr>
        <w:t xml:space="preserve">Quarterly and half-year revenue by region (US$m)</w:t>
      </w:r>
    </w:p>
    <w:p>
      <w:pPr>
        <w:keepNext/>
        <w:spacing w:after="20"/>
        <w:jc w:val="center"/>
      </w:pPr>
      <w:r>
        <w:drawing>
          <wp:inline distT="0" distB="0" distL="0" distR="0">
            <wp:extent cx="5762625" cy="2924175"/>
            <wp:effectExtent t="0" r="0" b="0" l="0"/>
            <wp:docPr id="16" name="chart_21_quarterly_revenue_by_region.png" descr="Quarterly and half-year revenue by region (US$m)" title="Quarterly and half-year revenue by region (U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9241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23: </w:t>
      </w:r>
      <w:r>
        <w:rPr>
          <w:rFonts w:ascii="Times New Roman" w:cs="Times New Roman" w:eastAsia="Times New Roman" w:hAnsi="Times New Roman"/>
          <w:b/>
          <w:bCs/>
          <w:color w:val="1F3A5F"/>
          <w:sz w:val="18"/>
          <w:szCs w:val="18"/>
        </w:rPr>
        <w:t xml:space="preserve">Revenue growth by region, FY2024A-FY2027E and 1H26</w:t>
      </w:r>
    </w:p>
    <w:p>
      <w:pPr>
        <w:keepNext/>
        <w:spacing w:after="20"/>
        <w:jc w:val="center"/>
      </w:pPr>
      <w:r>
        <w:drawing>
          <wp:inline distT="0" distB="0" distL="0" distR="0">
            <wp:extent cx="5762625" cy="2924175"/>
            <wp:effectExtent t="0" r="0" b="0" l="0"/>
            <wp:docPr id="17" name="chart_22_regional_growth.png" descr="Revenue growth by region, FY2024A-FY2027E and 1H26" title="Revenue growth by region, FY2024A-FY2027E and 1H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2"/>
        <w:keepNext/>
      </w:pPr>
      <w:bookmarkStart w:name="h_36" w:id="36"/>
      <w:r>
        <w:t xml:space="preserve">Gross margin: structurally higher because of the marketplace</w:t>
      </w:r>
      <w:bookmarkEnd w:id="36"/>
    </w:p>
    <w:p>
      <w:pPr>
        <w:spacing w:after="120" w:line="264"/>
        <w:jc w:val="both"/>
      </w:pPr>
      <w:r>
        <w:rPr>
          <w:rFonts w:ascii="Times New Roman" w:cs="Times New Roman" w:eastAsia="Times New Roman" w:hAnsi="Times New Roman"/>
        </w:rPr>
        <w:t xml:space="preserve">Gross margin rose from 60.2% in FY2023 to 67.9% in FY2025 and 70.1% in 1H26. The prospectus attributes the decline in cost of sales (–11.9% in FY2025 despite higher volumes) to four factors:</w:t>
      </w:r>
    </w:p>
    <w:p>
      <w:pPr>
        <w:pStyle w:val="ListParagraph"/>
        <w:numPr>
          <w:ilvl w:val="0"/>
          <w:numId w:val="3"/>
        </w:numPr>
        <w:spacing w:after="60" w:line="252"/>
      </w:pPr>
      <w:r>
        <w:rPr>
          <w:rFonts w:ascii="Times New Roman" w:cs="Times New Roman" w:eastAsia="Times New Roman" w:hAnsi="Times New Roman"/>
        </w:rPr>
        <w:t xml:space="preserve">the rising share of the marketplace, which carries no cost of sales;</w:t>
      </w:r>
    </w:p>
    <w:p>
      <w:pPr>
        <w:pStyle w:val="ListParagraph"/>
        <w:numPr>
          <w:ilvl w:val="0"/>
          <w:numId w:val="3"/>
        </w:numPr>
        <w:spacing w:after="60" w:line="252"/>
      </w:pPr>
      <w:r>
        <w:rPr>
          <w:rFonts w:ascii="Times New Roman" w:cs="Times New Roman" w:eastAsia="Times New Roman" w:hAnsi="Times New Roman"/>
        </w:rPr>
        <w:t xml:space="preserve">pricing adjustments;</w:t>
      </w:r>
    </w:p>
    <w:p>
      <w:pPr>
        <w:pStyle w:val="ListParagraph"/>
        <w:numPr>
          <w:ilvl w:val="0"/>
          <w:numId w:val="3"/>
        </w:numPr>
        <w:spacing w:after="60" w:line="252"/>
      </w:pPr>
      <w:r>
        <w:rPr>
          <w:rFonts w:ascii="Times New Roman" w:cs="Times New Roman" w:eastAsia="Times New Roman" w:hAnsi="Times New Roman"/>
        </w:rPr>
        <w:t xml:space="preserve">cost optimisation;</w:t>
      </w:r>
    </w:p>
    <w:p>
      <w:pPr>
        <w:pStyle w:val="ListParagraph"/>
        <w:numPr>
          <w:ilvl w:val="0"/>
          <w:numId w:val="3"/>
        </w:numPr>
        <w:spacing w:after="60" w:line="252"/>
      </w:pPr>
      <w:r>
        <w:rPr>
          <w:rFonts w:ascii="Times New Roman" w:cs="Times New Roman" w:eastAsia="Times New Roman" w:hAnsi="Times New Roman"/>
        </w:rPr>
        <w:t xml:space="preserve">currency movements.</w:t>
      </w:r>
    </w:p>
    <w:p>
      <w:pPr>
        <w:spacing w:after="120" w:line="264"/>
        <w:jc w:val="both"/>
      </w:pPr>
      <w:r>
        <w:rPr>
          <w:rFonts w:ascii="Times New Roman" w:cs="Times New Roman" w:eastAsia="Times New Roman" w:hAnsi="Times New Roman"/>
        </w:rPr>
        <w:t xml:space="preserve">Cost of sales as a percentage of product revenue, our cleaner measure of first-party product margin, fell from 43.1% in FY2024 to 36.2% in FY2025 and about 34% in 1H26.</w:t>
      </w:r>
    </w:p>
    <w:p>
      <w:pPr>
        <w:spacing w:after="120" w:line="264"/>
        <w:jc w:val="both"/>
      </w:pPr>
      <w:r>
        <w:rPr>
          <w:rFonts w:ascii="Times New Roman" w:cs="Times New Roman" w:eastAsia="Times New Roman" w:hAnsi="Times New Roman"/>
        </w:rPr>
        <w:t xml:space="preserve">Because gross margin is flattered by mix, we focus on </w:t>
      </w:r>
      <w:r>
        <w:rPr>
          <w:rFonts w:ascii="Times New Roman" w:cs="Times New Roman" w:eastAsia="Times New Roman" w:hAnsi="Times New Roman"/>
          <w:b/>
          <w:bCs/>
        </w:rPr>
        <w:t xml:space="preserve">contribution margin after fulfilment</w:t>
      </w:r>
      <w:r>
        <w:rPr>
          <w:rFonts w:ascii="Times New Roman" w:cs="Times New Roman" w:eastAsia="Times New Roman" w:hAnsi="Times New Roman"/>
        </w:rPr>
        <w:t xml:space="preserve">: gross profit less fulfilment expenses, as a percentage of revenue. It improved from 18.1% in FY2023 to 22.3% in FY2025, then fell to 20.9% in 1H26 as freight costs spiked. It is the best single indicator of SHEIN's unit economics because fulfilment is the cost line most affected by the marketplace, duties and freight.</w:t>
      </w:r>
    </w:p>
    <w:p>
      <w:pPr>
        <w:keepNext/>
        <w:spacing w:after="60" w:before="160"/>
      </w:pPr>
      <w:r>
        <w:rPr>
          <w:rFonts w:ascii="Times New Roman" w:cs="Times New Roman" w:eastAsia="Times New Roman" w:hAnsi="Times New Roman"/>
          <w:b/>
          <w:bCs/>
          <w:color w:val="1F3A5F"/>
          <w:sz w:val="18"/>
          <w:szCs w:val="18"/>
        </w:rPr>
        <w:t xml:space="preserve">Figure 24: </w:t>
      </w:r>
      <w:r>
        <w:rPr>
          <w:rFonts w:ascii="Times New Roman" w:cs="Times New Roman" w:eastAsia="Times New Roman" w:hAnsi="Times New Roman"/>
          <w:b/>
          <w:bCs/>
          <w:color w:val="1F3A5F"/>
          <w:sz w:val="18"/>
          <w:szCs w:val="18"/>
        </w:rPr>
        <w:t xml:space="preserve">Gross margin and contribution margin after fulfilment, FY2023A-FY2031E</w:t>
      </w:r>
    </w:p>
    <w:p>
      <w:pPr>
        <w:keepNext/>
        <w:spacing w:after="20"/>
        <w:jc w:val="center"/>
      </w:pPr>
      <w:r>
        <w:drawing>
          <wp:inline distT="0" distB="0" distL="0" distR="0">
            <wp:extent cx="5762625" cy="2924175"/>
            <wp:effectExtent t="0" r="0" b="0" l="0"/>
            <wp:docPr id="18" name="chart_10_gross_margin_evolution.png" descr="Gross margin and contribution margin after fulfilment, FY2023A-FY2031E" title="Gross margin and contribution margin after fulfilment, FY2023A-FY20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2"/>
        <w:keepNext/>
      </w:pPr>
      <w:bookmarkStart w:name="h_37" w:id="37"/>
      <w:r>
        <w:t xml:space="preserve">Fulfilment: the swing factor</w:t>
      </w:r>
      <w:bookmarkEnd w:id="37"/>
    </w:p>
    <w:p>
      <w:pPr>
        <w:spacing w:after="120" w:line="264"/>
        <w:jc w:val="both"/>
      </w:pPr>
      <w:r>
        <w:rPr>
          <w:rFonts w:ascii="Times New Roman" w:cs="Times New Roman" w:eastAsia="Times New Roman" w:hAnsi="Times New Roman"/>
        </w:rPr>
        <w:t xml:space="preserve">Fulfilment expenses cover outbound logistics, warehousing and, since the removal of de minimis exemptions, duties on direct shipments. They are SHEIN's largest cost at 45.6% of FY2025 revenue and 50.4% of 2Q26 revenue.</w:t>
      </w:r>
    </w:p>
    <w:p>
      <w:pPr>
        <w:spacing w:after="120" w:line="264"/>
        <w:jc w:val="both"/>
      </w:pPr>
      <w:r>
        <w:rPr>
          <w:rFonts w:ascii="Times New Roman" w:cs="Times New Roman" w:eastAsia="Times New Roman" w:hAnsi="Times New Roman"/>
        </w:rPr>
        <w:t xml:space="preserve">Two effects drive the ratio in opposite directions:</w:t>
      </w:r>
    </w:p>
    <w:p>
      <w:pPr>
        <w:pStyle w:val="ListParagraph"/>
        <w:numPr>
          <w:ilvl w:val="0"/>
          <w:numId w:val="3"/>
        </w:numPr>
        <w:spacing w:after="60" w:line="252"/>
      </w:pPr>
      <w:r>
        <w:rPr>
          <w:rFonts w:ascii="Times New Roman" w:cs="Times New Roman" w:eastAsia="Times New Roman" w:hAnsi="Times New Roman"/>
          <w:b/>
          <w:bCs/>
        </w:rPr>
        <w:t xml:space="preserve">Per-order cost fell.</w:t>
      </w:r>
      <w:r>
        <w:rPr>
          <w:rFonts w:ascii="Times New Roman" w:cs="Times New Roman" w:eastAsia="Times New Roman" w:hAnsi="Times New Roman"/>
        </w:rPr>
        <w:t xml:space="preserve"> Fulfilment cost per order declined from US$18.9 in FY2023 to US$17.7 in FY2025 as scale, local warehousing and carrier negotiations improved.</w:t>
      </w:r>
    </w:p>
    <w:p>
      <w:pPr>
        <w:pStyle w:val="ListParagraph"/>
        <w:numPr>
          <w:ilvl w:val="0"/>
          <w:numId w:val="3"/>
        </w:numPr>
        <w:spacing w:after="60" w:line="252"/>
      </w:pPr>
      <w:r>
        <w:rPr>
          <w:rFonts w:ascii="Times New Roman" w:cs="Times New Roman" w:eastAsia="Times New Roman" w:hAnsi="Times New Roman"/>
          <w:b/>
          <w:bCs/>
        </w:rPr>
        <w:t xml:space="preserve">Revenue per order fell faster.</w:t>
      </w:r>
      <w:r>
        <w:rPr>
          <w:rFonts w:ascii="Times New Roman" w:cs="Times New Roman" w:eastAsia="Times New Roman" w:hAnsi="Times New Roman"/>
        </w:rPr>
        <w:t xml:space="preserve"> The marketplace mix and lower-basket markets meant fulfilment rose as a share of revenue even as unit cost fell.</w:t>
      </w:r>
    </w:p>
    <w:p>
      <w:pPr>
        <w:spacing w:after="120" w:line="264"/>
        <w:jc w:val="both"/>
      </w:pPr>
      <w:r>
        <w:rPr>
          <w:rFonts w:ascii="Times New Roman" w:cs="Times New Roman" w:eastAsia="Times New Roman" w:hAnsi="Times New Roman"/>
        </w:rPr>
        <w:t xml:space="preserve">In 2Q26 the ratio jumped to 50.4% from 43.1% a year earlier. Management attributes this mainly to the rise in oil prices and freight costs caused by the Iran conflict, with marketplace mix a secondary factor. SHEIN chose not to pass these costs on to customers.</w:t>
      </w:r>
    </w:p>
    <w:p>
      <w:pPr>
        <w:spacing w:after="120" w:line="264"/>
        <w:jc w:val="both"/>
      </w:pPr>
      <w:r>
        <w:rPr>
          <w:rFonts w:ascii="Times New Roman" w:cs="Times New Roman" w:eastAsia="Times New Roman" w:hAnsi="Times New Roman"/>
        </w:rPr>
        <w:t xml:space="preserve">Fulfilment is also where tariff costs land. Duties on direct-to-consumer shipments into the US (and, from July 2026, the EU) are booked in fulfilment rather than cost of sales. This is why we model the ratio at 50.0-51.0% throughout the forecast period rather than assuming a return to the FY2025 level.</w:t>
      </w:r>
    </w:p>
    <w:p>
      <w:pPr>
        <w:pStyle w:val="Heading2"/>
        <w:keepNext/>
      </w:pPr>
      <w:bookmarkStart w:name="h_38" w:id="38"/>
      <w:r>
        <w:t xml:space="preserve">Marketing: the FY2025 step-up is being reversed</w:t>
      </w:r>
      <w:bookmarkEnd w:id="38"/>
    </w:p>
    <w:p>
      <w:pPr>
        <w:spacing w:after="120" w:line="264"/>
        <w:jc w:val="both"/>
      </w:pPr>
      <w:r>
        <w:rPr>
          <w:rFonts w:ascii="Times New Roman" w:cs="Times New Roman" w:eastAsia="Times New Roman" w:hAnsi="Times New Roman"/>
        </w:rPr>
        <w:t xml:space="preserve">Marketing expenses rose 48.9% to US$6.2bn in FY2025, or 14.8% of revenue vs. 10.7% in FY2024. Advertising grew from US$4.0bn to US$5.0bn "to drive better customer engagement" amid competition from Temu and tariff-driven price increases. In 2Q26 marketing fell 4.1% year on year to 13.6% of revenue as SHEIN cut online advertising in Europe alongside its price increases.</w:t>
      </w:r>
    </w:p>
    <w:p>
      <w:pPr>
        <w:spacing w:after="120" w:line="264"/>
        <w:jc w:val="both"/>
      </w:pPr>
      <w:r>
        <w:rPr>
          <w:rFonts w:ascii="Times New Roman" w:cs="Times New Roman" w:eastAsia="Times New Roman" w:hAnsi="Times New Roman"/>
        </w:rPr>
        <w:t xml:space="preserve">We assume the ratio settles at 13.5% in FY2027E and 13.2% from FY2029E. That is still well above FY2023-24, so it leaves room for upside if competitive intensity eases.</w:t>
      </w:r>
    </w:p>
    <w:p>
      <w:pPr>
        <w:keepNext/>
        <w:spacing w:after="60" w:before="160"/>
      </w:pPr>
      <w:r>
        <w:rPr>
          <w:rFonts w:ascii="Times New Roman" w:cs="Times New Roman" w:eastAsia="Times New Roman" w:hAnsi="Times New Roman"/>
          <w:b/>
          <w:bCs/>
          <w:color w:val="1F3A5F"/>
          <w:sz w:val="18"/>
          <w:szCs w:val="18"/>
        </w:rPr>
        <w:t xml:space="preserve">Figure 25: </w:t>
      </w:r>
      <w:r>
        <w:rPr>
          <w:rFonts w:ascii="Times New Roman" w:cs="Times New Roman" w:eastAsia="Times New Roman" w:hAnsi="Times New Roman"/>
          <w:b/>
          <w:bCs/>
          <w:color w:val="1F3A5F"/>
          <w:sz w:val="18"/>
          <w:szCs w:val="18"/>
        </w:rPr>
        <w:t xml:space="preserve">Marketing spend (US$m) and marketing intensity (% of revenue)</w:t>
      </w:r>
    </w:p>
    <w:p>
      <w:pPr>
        <w:keepNext/>
        <w:spacing w:after="20"/>
        <w:jc w:val="center"/>
      </w:pPr>
      <w:r>
        <w:drawing>
          <wp:inline distT="0" distB="0" distL="0" distR="0">
            <wp:extent cx="5762625" cy="2924175"/>
            <wp:effectExtent t="0" r="0" b="0" l="0"/>
            <wp:docPr id="19" name="chart_24_marketing_efficiency.png" descr="Marketing spend (US$m) and marketing intensity (% of revenue)" title="Marketing spend (US$m) and marketing intensity (% of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2"/>
        <w:keepNext/>
      </w:pPr>
      <w:bookmarkStart w:name="h_39" w:id="39"/>
      <w:r>
        <w:t xml:space="preserve">Technology, G&amp;A and operating leverage</w:t>
      </w:r>
      <w:bookmarkEnd w:id="39"/>
    </w:p>
    <w:p>
      <w:pPr>
        <w:spacing w:after="120" w:line="264"/>
        <w:jc w:val="both"/>
      </w:pPr>
      <w:r>
        <w:rPr>
          <w:rFonts w:ascii="Times New Roman" w:cs="Times New Roman" w:eastAsia="Times New Roman" w:hAnsi="Times New Roman"/>
        </w:rPr>
        <w:t xml:space="preserve">Technology and content expenses are modest at 2.1-2.5% of revenue: US$896m in FY2025 and US$499m in 1H26, with 2Q26 up 16.7% on infrastructure investment. Research and development spending was US$451m in 1H26. G&amp;A is lean at 1.3% of revenue. Together these fixed-cost lines are under 4% of revenue, so the operating margin is driven almost entirely by three variable costs: product cost, fulfilment and marketing.</w:t>
      </w:r>
    </w:p>
    <w:p>
      <w:pPr>
        <w:keepNext/>
        <w:spacing w:after="60" w:before="160"/>
      </w:pPr>
      <w:r>
        <w:rPr>
          <w:rFonts w:ascii="Times New Roman" w:cs="Times New Roman" w:eastAsia="Times New Roman" w:hAnsi="Times New Roman"/>
          <w:b/>
          <w:bCs/>
          <w:color w:val="1F3A5F"/>
          <w:sz w:val="18"/>
          <w:szCs w:val="18"/>
        </w:rPr>
        <w:t xml:space="preserve">Figure 26: </w:t>
      </w:r>
      <w:r>
        <w:rPr>
          <w:rFonts w:ascii="Times New Roman" w:cs="Times New Roman" w:eastAsia="Times New Roman" w:hAnsi="Times New Roman"/>
          <w:b/>
          <w:bCs/>
          <w:color w:val="1F3A5F"/>
          <w:sz w:val="18"/>
          <w:szCs w:val="18"/>
        </w:rPr>
        <w:t xml:space="preserve">Technology and content investment (US$m and % of revenue)</w:t>
      </w:r>
    </w:p>
    <w:p>
      <w:pPr>
        <w:keepNext/>
        <w:spacing w:after="20"/>
        <w:jc w:val="center"/>
      </w:pPr>
      <w:r>
        <w:drawing>
          <wp:inline distT="0" distB="0" distL="0" distR="0">
            <wp:extent cx="5762625" cy="2924175"/>
            <wp:effectExtent t="0" r="0" b="0" l="0"/>
            <wp:docPr id="20" name="chart_23_technology_investment.png" descr="Technology and content investment (US$m and % of revenue)" title="Technology and content investment (US$m and % of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2"/>
        <w:keepNext/>
      </w:pPr>
      <w:bookmarkStart w:name="h_40" w:id="40"/>
      <w:r>
        <w:t xml:space="preserve">Profitability: a volatile, low-single-digit margin</w:t>
      </w:r>
      <w:bookmarkEnd w:id="40"/>
    </w:p>
    <w:p>
      <w:pPr>
        <w:spacing w:after="120" w:line="264"/>
        <w:jc w:val="both"/>
      </w:pPr>
      <w:r>
        <w:rPr>
          <w:rFonts w:ascii="Times New Roman" w:cs="Times New Roman" w:eastAsia="Times New Roman" w:hAnsi="Times New Roman"/>
        </w:rPr>
        <w:t xml:space="preserve">Operating income has been volatile:</w:t>
      </w:r>
    </w:p>
    <w:p>
      <w:pPr>
        <w:pStyle w:val="ListParagraph"/>
        <w:numPr>
          <w:ilvl w:val="0"/>
          <w:numId w:val="3"/>
        </w:numPr>
        <w:spacing w:after="60" w:line="252"/>
      </w:pPr>
      <w:r>
        <w:rPr>
          <w:rFonts w:ascii="Times New Roman" w:cs="Times New Roman" w:eastAsia="Times New Roman" w:hAnsi="Times New Roman"/>
          <w:b/>
          <w:bCs/>
        </w:rPr>
        <w:t xml:space="preserve">FY2023:</w:t>
      </w:r>
      <w:r>
        <w:rPr>
          <w:rFonts w:ascii="Times New Roman" w:cs="Times New Roman" w:eastAsia="Times New Roman" w:hAnsi="Times New Roman"/>
        </w:rPr>
        <w:t xml:space="preserve"> US$1,376m (4.3% margin).</w:t>
      </w:r>
    </w:p>
    <w:p>
      <w:pPr>
        <w:pStyle w:val="ListParagraph"/>
        <w:numPr>
          <w:ilvl w:val="0"/>
          <w:numId w:val="3"/>
        </w:numPr>
        <w:spacing w:after="60" w:line="252"/>
      </w:pPr>
      <w:r>
        <w:rPr>
          <w:rFonts w:ascii="Times New Roman" w:cs="Times New Roman" w:eastAsia="Times New Roman" w:hAnsi="Times New Roman"/>
          <w:b/>
          <w:bCs/>
        </w:rPr>
        <w:t xml:space="preserve">FY2024:</w:t>
      </w:r>
      <w:r>
        <w:rPr>
          <w:rFonts w:ascii="Times New Roman" w:cs="Times New Roman" w:eastAsia="Times New Roman" w:hAnsi="Times New Roman"/>
        </w:rPr>
        <w:t xml:space="preserve"> US$966m (2.5%). Cost of sales rose to 43.1% of product revenue and fulfilment to 43.5% of revenue.</w:t>
      </w:r>
    </w:p>
    <w:p>
      <w:pPr>
        <w:pStyle w:val="ListParagraph"/>
        <w:numPr>
          <w:ilvl w:val="0"/>
          <w:numId w:val="3"/>
        </w:numPr>
        <w:spacing w:after="60" w:line="252"/>
      </w:pPr>
      <w:r>
        <w:rPr>
          <w:rFonts w:ascii="Times New Roman" w:cs="Times New Roman" w:eastAsia="Times New Roman" w:hAnsi="Times New Roman"/>
          <w:b/>
          <w:bCs/>
        </w:rPr>
        <w:t xml:space="preserve">FY2025:</w:t>
      </w:r>
      <w:r>
        <w:rPr>
          <w:rFonts w:ascii="Times New Roman" w:cs="Times New Roman" w:eastAsia="Times New Roman" w:hAnsi="Times New Roman"/>
        </w:rPr>
        <w:t xml:space="preserve"> US$1,707m (4.1%). The gross-margin gain more than offset the marketing step-up.</w:t>
      </w:r>
    </w:p>
    <w:p>
      <w:pPr>
        <w:pStyle w:val="ListParagraph"/>
        <w:numPr>
          <w:ilvl w:val="0"/>
          <w:numId w:val="3"/>
        </w:numPr>
        <w:spacing w:after="60" w:line="252"/>
      </w:pPr>
      <w:r>
        <w:rPr>
          <w:rFonts w:ascii="Times New Roman" w:cs="Times New Roman" w:eastAsia="Times New Roman" w:hAnsi="Times New Roman"/>
          <w:b/>
          <w:bCs/>
        </w:rPr>
        <w:t xml:space="preserve">1H26:</w:t>
      </w:r>
      <w:r>
        <w:rPr>
          <w:rFonts w:ascii="Times New Roman" w:cs="Times New Roman" w:eastAsia="Times New Roman" w:hAnsi="Times New Roman"/>
        </w:rPr>
        <w:t xml:space="preserve"> US$493m (2.4%), down 52.9% year on year. 2Q26 alone was 2.1%.</w:t>
      </w:r>
    </w:p>
    <w:p>
      <w:pPr>
        <w:spacing w:after="120" w:line="264"/>
        <w:jc w:val="both"/>
      </w:pPr>
      <w:r>
        <w:rPr>
          <w:rFonts w:ascii="Times New Roman" w:cs="Times New Roman" w:eastAsia="Times New Roman" w:hAnsi="Times New Roman"/>
        </w:rPr>
        <w:t xml:space="preserve">The adjusted EBIT margin (excluding SBC of US$85m in FY2025) was 4.3% in FY2025 and 2.7% in 1H26.</w:t>
      </w:r>
    </w:p>
    <w:p>
      <w:pPr>
        <w:keepNext/>
        <w:spacing w:after="60" w:before="160"/>
      </w:pPr>
      <w:r>
        <w:rPr>
          <w:rFonts w:ascii="Times New Roman" w:cs="Times New Roman" w:eastAsia="Times New Roman" w:hAnsi="Times New Roman"/>
          <w:b/>
          <w:bCs/>
          <w:color w:val="1F3A5F"/>
          <w:sz w:val="18"/>
          <w:szCs w:val="18"/>
        </w:rPr>
        <w:t xml:space="preserve">Figure 27: </w:t>
      </w:r>
      <w:r>
        <w:rPr>
          <w:rFonts w:ascii="Times New Roman" w:cs="Times New Roman" w:eastAsia="Times New Roman" w:hAnsi="Times New Roman"/>
          <w:b/>
          <w:bCs/>
          <w:color w:val="1F3A5F"/>
          <w:sz w:val="18"/>
          <w:szCs w:val="18"/>
        </w:rPr>
        <w:t xml:space="preserve">EBITDA, adjusted EBIT and EBIT margins, FY2023A-FY2031E</w:t>
      </w:r>
    </w:p>
    <w:p>
      <w:pPr>
        <w:keepNext/>
        <w:spacing w:after="20"/>
        <w:jc w:val="center"/>
      </w:pPr>
      <w:r>
        <w:drawing>
          <wp:inline distT="0" distB="0" distL="0" distR="0">
            <wp:extent cx="5762625" cy="2924175"/>
            <wp:effectExtent t="0" r="0" b="0" l="0"/>
            <wp:docPr id="21" name="chart_11_ebitda_margin_progression.png" descr="EBITDA, adjusted EBIT and EBIT margins, FY2023A-FY2031E" title="EBITDA, adjusted EBIT and EBIT margins, FY2023A-FY20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29241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28: </w:t>
      </w:r>
      <w:r>
        <w:rPr>
          <w:rFonts w:ascii="Times New Roman" w:cs="Times New Roman" w:eastAsia="Times New Roman" w:hAnsi="Times New Roman"/>
          <w:b/>
          <w:bCs/>
          <w:color w:val="1F3A5F"/>
          <w:sz w:val="18"/>
          <w:szCs w:val="18"/>
        </w:rPr>
        <w:t xml:space="preserve">Half-year adjusted EBIT (US$m) and adjusted EBIT margin</w:t>
      </w:r>
    </w:p>
    <w:p>
      <w:pPr>
        <w:keepNext/>
        <w:spacing w:after="20"/>
        <w:jc w:val="center"/>
      </w:pPr>
      <w:r>
        <w:drawing>
          <wp:inline distT="0" distB="0" distL="0" distR="0">
            <wp:extent cx="5762625" cy="2886075"/>
            <wp:effectExtent t="0" r="0" b="0" l="0"/>
            <wp:docPr id="22" name="chart_35_half_year_adjusted_ebit.png" descr="Half-year adjusted EBIT (US$m) and adjusted EBIT margin" title="Half-year adjusted EBIT (US$m) and adjusted EBIT mar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2886075"/>
                    </a:xfrm>
                    <a:prstGeom prst="rect">
                      <a:avLst/>
                    </a:prstGeom>
                  </pic:spPr>
                </pic:pic>
              </a:graphicData>
            </a:graphic>
          </wp:inline>
        </w:drawing>
      </w:r>
    </w:p>
    <w:p>
      <w:pPr>
        <w:spacing w:after="120"/>
      </w:pPr>
    </w:p>
    <w:p>
      <w:pPr>
        <w:pStyle w:val="Heading2"/>
        <w:keepNext/>
      </w:pPr>
      <w:bookmarkStart w:name="h_41" w:id="41"/>
      <w:r>
        <w:t xml:space="preserve">Below the line: preferred shares, interest income and tax</w:t>
      </w:r>
      <w:bookmarkEnd w:id="41"/>
    </w:p>
    <w:p>
      <w:pPr>
        <w:spacing w:after="120" w:line="264"/>
        <w:jc w:val="both"/>
      </w:pPr>
      <w:r>
        <w:rPr>
          <w:rFonts w:ascii="Times New Roman" w:cs="Times New Roman" w:eastAsia="Times New Roman" w:hAnsi="Times New Roman"/>
        </w:rPr>
        <w:t xml:space="preserve">Three items dominate the gap between operating income and IFRS net income:</w:t>
      </w:r>
    </w:p>
    <w:p>
      <w:pPr>
        <w:pStyle w:val="ListParagraph"/>
        <w:numPr>
          <w:ilvl w:val="0"/>
          <w:numId w:val="3"/>
        </w:numPr>
        <w:spacing w:after="60" w:line="252"/>
      </w:pPr>
      <w:r>
        <w:rPr>
          <w:rFonts w:ascii="Times New Roman" w:cs="Times New Roman" w:eastAsia="Times New Roman" w:hAnsi="Times New Roman"/>
          <w:b/>
          <w:bCs/>
        </w:rPr>
        <w:t xml:space="preserve">Fair-value changes of preferred shares.</w:t>
      </w:r>
      <w:r>
        <w:rPr>
          <w:rFonts w:ascii="Times New Roman" w:cs="Times New Roman" w:eastAsia="Times New Roman" w:hAnsi="Times New Roman"/>
        </w:rPr>
        <w:t xml:space="preserve"> Until listing, the convertible redeemable preferred shares were carried as liabilities at fair value. Gains were recognised when SHEIN's valuation fell: US$1,231m in FY2023, US$2,431m in FY2024, US$328m in FY2025 and a net US$1,861m in 1H26 (a US$328m loss in 1Q26 and a US$2,189m gain in 2Q26). At listing the preferred shares converted into 1,397.7m Class B shares. The carrying value was US$15.1bn at 30 June, against a conversion value of about US$11.1bn (shares at the IPO price plus cash compensation). We therefore book a further </w:t>
      </w:r>
      <w:r>
        <w:rPr>
          <w:rFonts w:ascii="Times New Roman" w:cs="Times New Roman" w:eastAsia="Times New Roman" w:hAnsi="Times New Roman"/>
          <w:b/>
          <w:bCs/>
        </w:rPr>
        <w:t xml:space="preserve">~US$4.0bn non-cash gain in 2H26E</w:t>
      </w:r>
      <w:r>
        <w:rPr>
          <w:rFonts w:ascii="Times New Roman" w:cs="Times New Roman" w:eastAsia="Times New Roman" w:hAnsi="Times New Roman"/>
        </w:rPr>
        <w:t xml:space="preserve">, taking FY2026E IFRS net income to ~US$6.9bn. These gains have no cash or economic substance and are excluded from adjusted earnings.</w:t>
      </w:r>
    </w:p>
    <w:p>
      <w:pPr>
        <w:pStyle w:val="ListParagraph"/>
        <w:numPr>
          <w:ilvl w:val="0"/>
          <w:numId w:val="3"/>
        </w:numPr>
        <w:spacing w:after="60" w:line="252"/>
      </w:pPr>
      <w:r>
        <w:rPr>
          <w:rFonts w:ascii="Times New Roman" w:cs="Times New Roman" w:eastAsia="Times New Roman" w:hAnsi="Times New Roman"/>
          <w:b/>
          <w:bCs/>
        </w:rPr>
        <w:t xml:space="preserve">Interest income.</w:t>
      </w:r>
      <w:r>
        <w:rPr>
          <w:rFonts w:ascii="Times New Roman" w:cs="Times New Roman" w:eastAsia="Times New Roman" w:hAnsi="Times New Roman"/>
        </w:rPr>
        <w:t xml:space="preserve"> SHEIN earned US$621m of interest in FY2025 on its deposit portfolio, a 4.7% yield on opening cash resources. That was about 28% of FY2025 pre-tax profit excluding fair-value gains. We model the yield falling to 3.3% by FY2029E as US dollar rates decline.</w:t>
      </w:r>
    </w:p>
    <w:p>
      <w:pPr>
        <w:pStyle w:val="ListParagraph"/>
        <w:numPr>
          <w:ilvl w:val="0"/>
          <w:numId w:val="3"/>
        </w:numPr>
        <w:spacing w:after="60" w:line="252"/>
      </w:pPr>
      <w:r>
        <w:rPr>
          <w:rFonts w:ascii="Times New Roman" w:cs="Times New Roman" w:eastAsia="Times New Roman" w:hAnsi="Times New Roman"/>
          <w:b/>
          <w:bCs/>
        </w:rPr>
        <w:t xml:space="preserve">Tax.</w:t>
      </w:r>
      <w:r>
        <w:rPr>
          <w:rFonts w:ascii="Times New Roman" w:cs="Times New Roman" w:eastAsia="Times New Roman" w:hAnsi="Times New Roman"/>
        </w:rPr>
        <w:t xml:space="preserve"> The core effective tax rate, excluding fair-value changes and associates, has ranged from 11.4% (FY2023) to 26.8% (FY2024); it was 20.6% in FY2025 and about 26% in 1H26. We assume 22% from FY2027E, reflecting Singapore headquarters, OECD Pillar Two and the mix of profits across jurisdictions.</w:t>
      </w:r>
    </w:p>
    <w:p>
      <w:pPr>
        <w:spacing w:after="120" w:line="264"/>
        <w:jc w:val="both"/>
      </w:pPr>
      <w:r>
        <w:rPr>
          <w:rFonts w:ascii="Times New Roman" w:cs="Times New Roman" w:eastAsia="Times New Roman" w:hAnsi="Times New Roman"/>
        </w:rPr>
        <w:t xml:space="preserve">Adjusted net income was US$1,643m in FY2023, US$1,119m in FY2024, US$1,816m in FY2025 and US$499m in 1H26 (–55.6%).</w:t>
      </w:r>
    </w:p>
    <w:p>
      <w:pPr>
        <w:keepNext/>
        <w:spacing w:after="60" w:before="160"/>
      </w:pPr>
      <w:r>
        <w:rPr>
          <w:rFonts w:ascii="Times New Roman" w:cs="Times New Roman" w:eastAsia="Times New Roman" w:hAnsi="Times New Roman"/>
          <w:b/>
          <w:bCs/>
          <w:color w:val="1F3A5F"/>
          <w:sz w:val="18"/>
          <w:szCs w:val="18"/>
        </w:rPr>
        <w:t xml:space="preserve">Figure 29: </w:t>
      </w:r>
      <w:r>
        <w:rPr>
          <w:rFonts w:ascii="Times New Roman" w:cs="Times New Roman" w:eastAsia="Times New Roman" w:hAnsi="Times New Roman"/>
          <w:b/>
          <w:bCs/>
          <w:color w:val="1F3A5F"/>
          <w:sz w:val="18"/>
          <w:szCs w:val="18"/>
        </w:rPr>
        <w:t xml:space="preserve">Quarterly and half-year results (US$m)</w:t>
      </w:r>
    </w:p>
    <w:tbl>
      <w:tblPr>
        <w:tblW w:type="dxa" w:w="92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2"/>
        <w:gridCol w:w="706"/>
        <w:gridCol w:w="706"/>
        <w:gridCol w:w="706"/>
        <w:gridCol w:w="706"/>
        <w:gridCol w:w="706"/>
        <w:gridCol w:w="706"/>
        <w:gridCol w:w="706"/>
        <w:gridCol w:w="706"/>
        <w:gridCol w:w="706"/>
        <w:gridCol w:w="706"/>
      </w:tblGrid>
      <w:tr>
        <w:trPr>
          <w:cantSplit/>
          <w:tblHeader/>
        </w:trPr>
        <w:tc>
          <w:tcPr>
            <w:tcW w:type="dxa" w:w="223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US$m</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1Q25</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2Q25</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1H25</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2H25</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FY25</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1Q26</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2Q26</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1H26</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2H26E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FY26E</w:t>
            </w:r>
          </w:p>
        </w:tc>
      </w:tr>
      <w:tr>
        <w:trPr>
          <w:cantSplit/>
        </w:trPr>
        <w:tc>
          <w:tcPr>
            <w:tcW w:type="dxa" w:w="22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Net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8,952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10,988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19,940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21,907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41,847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9,052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11,082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20,134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21,749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41,883</w:t>
            </w:r>
          </w:p>
        </w:tc>
      </w:tr>
      <w:tr>
        <w:trPr>
          <w:cantSplit/>
        </w:trPr>
        <w:tc>
          <w:tcPr>
            <w:tcW w:type="dxa" w:w="22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YoY</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0.1%</w:t>
            </w:r>
          </w:p>
        </w:tc>
      </w:tr>
      <w:tr>
        <w:trPr>
          <w:cantSplit/>
        </w:trPr>
        <w:tc>
          <w:tcPr>
            <w:tcW w:type="dxa" w:w="22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United States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2,632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5,012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5,089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10,101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2,474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4,682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9,196</w:t>
            </w:r>
          </w:p>
        </w:tc>
      </w:tr>
      <w:tr>
        <w:trPr>
          <w:cantSplit/>
        </w:trPr>
        <w:tc>
          <w:tcPr>
            <w:tcW w:type="dxa" w:w="22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Europe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2,843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4,379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7,222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7,580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14,802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2,908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6,678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6,443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13,121</w:t>
            </w:r>
          </w:p>
        </w:tc>
      </w:tr>
      <w:tr>
        <w:trPr>
          <w:cantSplit/>
        </w:trPr>
        <w:tc>
          <w:tcPr>
            <w:tcW w:type="dxa" w:w="22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Rest of world</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7,706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9,238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16,944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4,838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8,942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10,624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19,566</w:t>
            </w:r>
          </w:p>
        </w:tc>
      </w:tr>
      <w:tr>
        <w:trPr>
          <w:cantSplit/>
        </w:trPr>
        <w:tc>
          <w:tcPr>
            <w:tcW w:type="dxa" w:w="22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Service % of revenue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13.5%</w:t>
            </w:r>
          </w:p>
        </w:tc>
      </w:tr>
      <w:tr>
        <w:trPr>
          <w:cantSplit/>
        </w:trPr>
        <w:tc>
          <w:tcPr>
            <w:tcW w:type="dxa" w:w="22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Orders (m)</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517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595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1,144</w:t>
            </w:r>
          </w:p>
        </w:tc>
      </w:tr>
      <w:tr>
        <w:trPr>
          <w:cantSplit/>
        </w:trPr>
        <w:tc>
          <w:tcPr>
            <w:tcW w:type="dxa" w:w="22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Gross margin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67.9%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69.8%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70.3%</w:t>
            </w:r>
          </w:p>
        </w:tc>
      </w:tr>
      <w:tr>
        <w:trPr>
          <w:cantSplit/>
        </w:trPr>
        <w:tc>
          <w:tcPr>
            <w:tcW w:type="dxa" w:w="22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Fulfilment % revenue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42.8%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51.0%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50.1%</w:t>
            </w:r>
          </w:p>
        </w:tc>
      </w:tr>
      <w:tr>
        <w:trPr>
          <w:cantSplit/>
        </w:trPr>
        <w:tc>
          <w:tcPr>
            <w:tcW w:type="dxa" w:w="22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Marketing % revenue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14.0%</w:t>
            </w:r>
          </w:p>
        </w:tc>
      </w:tr>
      <w:tr>
        <w:trPr>
          <w:cantSplit/>
        </w:trPr>
        <w:tc>
          <w:tcPr>
            <w:tcW w:type="dxa" w:w="223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Operating income</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348</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698</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1,046</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661</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1,707</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258</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235</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493</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542</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1,035</w:t>
            </w:r>
          </w:p>
        </w:tc>
      </w:tr>
      <w:tr>
        <w:trPr>
          <w:cantSplit/>
        </w:trPr>
        <w:tc>
          <w:tcPr>
            <w:tcW w:type="dxa" w:w="22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Operating margin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w:t>
            </w:r>
          </w:p>
        </w:tc>
      </w:tr>
      <w:tr>
        <w:trPr>
          <w:cantSplit/>
        </w:trPr>
        <w:tc>
          <w:tcPr>
            <w:tcW w:type="dxa" w:w="22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Adjusted EBIT</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715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1,792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284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1,125</w:t>
            </w:r>
          </w:p>
        </w:tc>
      </w:tr>
      <w:tr>
        <w:trPr>
          <w:cantSplit/>
        </w:trPr>
        <w:tc>
          <w:tcPr>
            <w:tcW w:type="dxa" w:w="22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Net income (IFRS)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691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978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2,398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2,299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4,630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6,929</w:t>
            </w:r>
          </w:p>
        </w:tc>
      </w:tr>
      <w:tr>
        <w:trPr>
          <w:cantSplit/>
        </w:trPr>
        <w:tc>
          <w:tcPr>
            <w:tcW w:type="dxa" w:w="223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Adjusted net income</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440</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683</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1,123</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693</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1,816</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271</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228</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499</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651</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1,150</w:t>
            </w:r>
          </w:p>
        </w:tc>
      </w:tr>
      <w:tr>
        <w:trPr>
          <w:cantSplit/>
        </w:trPr>
        <w:tc>
          <w:tcPr>
            <w:tcW w:type="dxa" w:w="2232"/>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val="false"/>
                <w:iCs w:val="false"/>
                <w:color w:val="000000"/>
                <w:sz w:val="16"/>
                <w:szCs w:val="16"/>
              </w:rPr>
              <w:t xml:space="preserve">Adj. net margin</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4.9%</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6.2%</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5.6%</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3.2%</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4.3%</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3.0%</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2.1%</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2.5%</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3.0%</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2.7%</w:t>
            </w:r>
          </w:p>
        </w:tc>
      </w:tr>
    </w:tbl>
    <w:p>
      <w:pPr>
        <w:spacing w:after="0" w:before="40"/>
      </w:pPr>
      <w:r>
        <w:rPr>
          <w:rFonts w:ascii="Times New Roman" w:cs="Times New Roman" w:eastAsia="Times New Roman" w:hAnsi="Times New Roman"/>
          <w:i/>
          <w:iCs/>
          <w:color w:val="595959"/>
          <w:sz w:val="15"/>
          <w:szCs w:val="15"/>
        </w:rPr>
        <w:t xml:space="preserve">Note: 2H25 derived as FY25 less 1H25. 2H26E and FY26E are analyst estimates. 2H26E IFRS net income includes an estimated US$4.0bn non-cash FV gain on conversion of preferred shares.</w:t>
      </w:r>
    </w:p>
    <w:p>
      <w:pPr>
        <w:spacing w:after="160" w:before="20"/>
      </w:pPr>
      <w:r>
        <w:rPr>
          <w:rFonts w:ascii="Times New Roman" w:cs="Times New Roman" w:eastAsia="Times New Roman" w:hAnsi="Times New Roman"/>
          <w:i/>
          <w:iCs/>
          <w:color w:val="595959"/>
          <w:sz w:val="15"/>
          <w:szCs w:val="15"/>
        </w:rPr>
        <w:t xml:space="preserve">Source: Prospectus, 2026 Interim Report, analyst estimates.</w:t>
      </w:r>
    </w:p>
    <w:p>
      <w:pPr>
        <w:pStyle w:val="Heading2"/>
        <w:keepNext/>
      </w:pPr>
      <w:bookmarkStart w:name="h_42" w:id="42"/>
      <w:r>
        <w:t xml:space="preserve">Cash flow and working capital</w:t>
      </w:r>
      <w:bookmarkEnd w:id="42"/>
    </w:p>
    <w:p>
      <w:pPr>
        <w:spacing w:after="120" w:line="264"/>
        <w:jc w:val="both"/>
      </w:pPr>
      <w:r>
        <w:rPr>
          <w:rFonts w:ascii="Times New Roman" w:cs="Times New Roman" w:eastAsia="Times New Roman" w:hAnsi="Times New Roman"/>
        </w:rPr>
        <w:t xml:space="preserve">SHEIN's cash conversion is strong because of its negative working capital:</w:t>
      </w:r>
    </w:p>
    <w:p>
      <w:pPr>
        <w:pStyle w:val="ListParagraph"/>
        <w:numPr>
          <w:ilvl w:val="0"/>
          <w:numId w:val="3"/>
        </w:numPr>
        <w:spacing w:after="60" w:line="252"/>
      </w:pPr>
      <w:r>
        <w:rPr>
          <w:rFonts w:ascii="Times New Roman" w:cs="Times New Roman" w:eastAsia="Times New Roman" w:hAnsi="Times New Roman"/>
        </w:rPr>
        <w:t xml:space="preserve">Customers pay at the time of order.</w:t>
      </w:r>
    </w:p>
    <w:p>
      <w:pPr>
        <w:pStyle w:val="ListParagraph"/>
        <w:numPr>
          <w:ilvl w:val="0"/>
          <w:numId w:val="3"/>
        </w:numPr>
        <w:spacing w:after="60" w:line="252"/>
      </w:pPr>
      <w:r>
        <w:rPr>
          <w:rFonts w:ascii="Times New Roman" w:cs="Times New Roman" w:eastAsia="Times New Roman" w:hAnsi="Times New Roman"/>
        </w:rPr>
        <w:t xml:space="preserve">Suppliers are paid on about 34-day terms.</w:t>
      </w:r>
    </w:p>
    <w:p>
      <w:pPr>
        <w:pStyle w:val="ListParagraph"/>
        <w:numPr>
          <w:ilvl w:val="0"/>
          <w:numId w:val="3"/>
        </w:numPr>
        <w:spacing w:after="60" w:line="252"/>
      </w:pPr>
      <w:r>
        <w:rPr>
          <w:rFonts w:ascii="Times New Roman" w:cs="Times New Roman" w:eastAsia="Times New Roman" w:hAnsi="Times New Roman"/>
        </w:rPr>
        <w:t xml:space="preserve">Inventory turns in about 36 days.</w:t>
      </w:r>
    </w:p>
    <w:p>
      <w:pPr>
        <w:spacing w:after="120" w:line="264"/>
        <w:jc w:val="both"/>
      </w:pPr>
      <w:r>
        <w:rPr>
          <w:rFonts w:ascii="Times New Roman" w:cs="Times New Roman" w:eastAsia="Times New Roman" w:hAnsi="Times New Roman"/>
        </w:rPr>
        <w:t xml:space="preserve">Operating net working capital was –US$4.0bn at December 2025 (–9.6% of revenue) and –US$5.0bn at June 2026. The seasonal pattern is pronounced. Payables and accruals build in the first half and unwind in the second: operating cash flow was US$2.9bn in 1H25 and –US$39m in 2H25.</w:t>
      </w:r>
    </w:p>
    <w:p>
      <w:pPr>
        <w:spacing w:after="120" w:line="264"/>
        <w:jc w:val="both"/>
      </w:pPr>
      <w:r>
        <w:rPr>
          <w:rFonts w:ascii="Times New Roman" w:cs="Times New Roman" w:eastAsia="Times New Roman" w:hAnsi="Times New Roman"/>
        </w:rPr>
        <w:t xml:space="preserve">Free cash flow (operating cash flow less capex and lease payments) was US$1.3bn in FY2023, US$0.9bn in FY2024 and US$2.3bn in FY2025, or US$2.9bn including interest received. That is 160% of adjusted net income in FY2025.</w:t>
      </w:r>
    </w:p>
    <w:p>
      <w:pPr>
        <w:spacing w:after="120" w:line="264"/>
        <w:jc w:val="both"/>
      </w:pPr>
      <w:r>
        <w:rPr>
          <w:rFonts w:ascii="Times New Roman" w:cs="Times New Roman" w:eastAsia="Times New Roman" w:hAnsi="Times New Roman"/>
        </w:rPr>
        <w:t xml:space="preserve">Capex is very low at 0.5-1.0% of revenue, because warehouses are leased and SHEIN does not own manufacturing. D&amp;A of property, equipment and intangibles is only 0.4% of revenue.</w:t>
      </w:r>
    </w:p>
    <w:p>
      <w:pPr>
        <w:spacing w:after="120" w:line="264"/>
        <w:jc w:val="both"/>
      </w:pPr>
      <w:r>
        <w:rPr>
          <w:rFonts w:ascii="Times New Roman" w:cs="Times New Roman" w:eastAsia="Times New Roman" w:hAnsi="Times New Roman"/>
        </w:rPr>
        <w:t xml:space="preserve">For FY2026E we forecast free cash flow of only US$0.5bn (US$1.1bn with interest). This reflects the second-half working-capital unwind and lower profits. We expect it to recover to US$1.6bn in FY2027E and US$2.8bn by FY2031E (both including interest).</w:t>
      </w:r>
    </w:p>
    <w:p>
      <w:pPr>
        <w:keepNext/>
        <w:spacing w:after="60" w:before="160"/>
      </w:pPr>
      <w:r>
        <w:rPr>
          <w:rFonts w:ascii="Times New Roman" w:cs="Times New Roman" w:eastAsia="Times New Roman" w:hAnsi="Times New Roman"/>
          <w:b/>
          <w:bCs/>
          <w:color w:val="1F3A5F"/>
          <w:sz w:val="18"/>
          <w:szCs w:val="18"/>
        </w:rPr>
        <w:t xml:space="preserve">Figure 30: </w:t>
      </w:r>
      <w:r>
        <w:rPr>
          <w:rFonts w:ascii="Times New Roman" w:cs="Times New Roman" w:eastAsia="Times New Roman" w:hAnsi="Times New Roman"/>
          <w:b/>
          <w:bCs/>
          <w:color w:val="1F3A5F"/>
          <w:sz w:val="18"/>
          <w:szCs w:val="18"/>
        </w:rPr>
        <w:t xml:space="preserve">Free cash flow (incl. interest received) vs. adjusted net income (US$m)</w:t>
      </w:r>
    </w:p>
    <w:p>
      <w:pPr>
        <w:keepNext/>
        <w:spacing w:after="20"/>
        <w:jc w:val="center"/>
      </w:pPr>
      <w:r>
        <w:drawing>
          <wp:inline distT="0" distB="0" distL="0" distR="0">
            <wp:extent cx="5762625" cy="2924175"/>
            <wp:effectExtent t="0" r="0" b="0" l="0"/>
            <wp:docPr id="23" name="chart_12_free_cash_flow_trend.png" descr="Free cash flow (incl. interest received) vs. adjusted net income (US$m)" title="Free cash flow (incl. interest received) vs. adjusted net income (U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29241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31: </w:t>
      </w:r>
      <w:r>
        <w:rPr>
          <w:rFonts w:ascii="Times New Roman" w:cs="Times New Roman" w:eastAsia="Times New Roman" w:hAnsi="Times New Roman"/>
          <w:b/>
          <w:bCs/>
          <w:color w:val="1F3A5F"/>
          <w:sz w:val="18"/>
          <w:szCs w:val="18"/>
        </w:rPr>
        <w:t xml:space="preserve">Operating net working capital (US$m and % of revenue)</w:t>
      </w:r>
    </w:p>
    <w:p>
      <w:pPr>
        <w:keepNext/>
        <w:spacing w:after="20"/>
        <w:jc w:val="center"/>
      </w:pPr>
      <w:r>
        <w:drawing>
          <wp:inline distT="0" distB="0" distL="0" distR="0">
            <wp:extent cx="5762625" cy="2924175"/>
            <wp:effectExtent t="0" r="0" b="0" l="0"/>
            <wp:docPr id="24" name="chart_25_working_capital_trends.png" descr="Operating net working capital (US$m and % of revenue)" title="Operating net working capital (US$m and % of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2"/>
        <w:keepNext/>
      </w:pPr>
      <w:bookmarkStart w:name="h_43" w:id="43"/>
      <w:r>
        <w:t xml:space="preserve">Balance sheet: a cash-rich, debt-free company after the listing</w:t>
      </w:r>
      <w:bookmarkEnd w:id="43"/>
    </w:p>
    <w:p>
      <w:pPr>
        <w:spacing w:after="120" w:line="264"/>
        <w:jc w:val="both"/>
      </w:pPr>
      <w:r>
        <w:rPr>
          <w:rFonts w:ascii="Times New Roman" w:cs="Times New Roman" w:eastAsia="Times New Roman" w:hAnsi="Times New Roman"/>
        </w:rPr>
        <w:t xml:space="preserve">Before listing, SHEIN's balance sheet showed a shareholders' deficit of US$6.9bn at December 2025. This was because US$18.0bn of convertible redeemable preferred shares were classified as liabilities. The conversion at listing removes that liability. Our forecast has shareholders' equity of </w:t>
      </w:r>
      <w:r>
        <w:rPr>
          <w:rFonts w:ascii="Times New Roman" w:cs="Times New Roman" w:eastAsia="Times New Roman" w:hAnsi="Times New Roman"/>
          <w:b/>
          <w:bCs/>
        </w:rPr>
        <w:t xml:space="preserve">US$10.5bn at December 2026</w:t>
      </w:r>
      <w:r>
        <w:rPr>
          <w:rFonts w:ascii="Times New Roman" w:cs="Times New Roman" w:eastAsia="Times New Roman" w:hAnsi="Times New Roman"/>
        </w:rPr>
        <w:t xml:space="preserve">, after:</w:t>
      </w:r>
    </w:p>
    <w:p>
      <w:pPr>
        <w:pStyle w:val="ListParagraph"/>
        <w:numPr>
          <w:ilvl w:val="0"/>
          <w:numId w:val="3"/>
        </w:numPr>
        <w:spacing w:after="60" w:line="252"/>
      </w:pPr>
      <w:r>
        <w:rPr>
          <w:rFonts w:ascii="Times New Roman" w:cs="Times New Roman" w:eastAsia="Times New Roman" w:hAnsi="Times New Roman"/>
        </w:rPr>
        <w:t xml:space="preserve">US$11.1bn of conversion value credited to equity;</w:t>
      </w:r>
    </w:p>
    <w:p>
      <w:pPr>
        <w:pStyle w:val="ListParagraph"/>
        <w:numPr>
          <w:ilvl w:val="0"/>
          <w:numId w:val="3"/>
        </w:numPr>
        <w:spacing w:after="60" w:line="252"/>
      </w:pPr>
      <w:r>
        <w:rPr>
          <w:rFonts w:ascii="Times New Roman" w:cs="Times New Roman" w:eastAsia="Times New Roman" w:hAnsi="Times New Roman"/>
        </w:rPr>
        <w:t xml:space="preserve">the US$2.2bn Conversion Adjustment cash;</w:t>
      </w:r>
    </w:p>
    <w:p>
      <w:pPr>
        <w:pStyle w:val="ListParagraph"/>
        <w:numPr>
          <w:ilvl w:val="0"/>
          <w:numId w:val="3"/>
        </w:numPr>
        <w:spacing w:after="60" w:line="252"/>
      </w:pPr>
      <w:r>
        <w:rPr>
          <w:rFonts w:ascii="Times New Roman" w:cs="Times New Roman" w:eastAsia="Times New Roman" w:hAnsi="Times New Roman"/>
        </w:rPr>
        <w:t xml:space="preserve">the US$0.23bn 12% distribution;</w:t>
      </w:r>
    </w:p>
    <w:p>
      <w:pPr>
        <w:pStyle w:val="ListParagraph"/>
        <w:numPr>
          <w:ilvl w:val="0"/>
          <w:numId w:val="3"/>
        </w:numPr>
        <w:spacing w:after="60" w:line="252"/>
      </w:pPr>
      <w:r>
        <w:rPr>
          <w:rFonts w:ascii="Times New Roman" w:cs="Times New Roman" w:eastAsia="Times New Roman" w:hAnsi="Times New Roman"/>
        </w:rPr>
        <w:t xml:space="preserve">the US$1.68bn of IPO proceeds.</w:t>
      </w:r>
    </w:p>
    <w:p>
      <w:pPr>
        <w:spacing w:after="120" w:line="264"/>
        <w:jc w:val="both"/>
      </w:pPr>
      <w:r>
        <w:rPr>
          <w:rFonts w:ascii="Times New Roman" w:cs="Times New Roman" w:eastAsia="Times New Roman" w:hAnsi="Times New Roman"/>
        </w:rPr>
        <w:t xml:space="preserve">Cash resources (cash, restricted cash and time deposits) were US$15.2bn at 30 June 2026. We forecast US$13.9bn at December 2026, after the listing-related outflows and the second-half working-capital unwind, rising to US$20.7bn by FY2031E even with a 50% payout. The only interest-bearing obligations are US$1.1bn of lease liabilities. Adjusted return on equity reaches 13-17% in FY2027-31E, flattered by the large cash balance.</w:t>
      </w:r>
    </w:p>
    <w:p>
      <w:pPr>
        <w:pStyle w:val="Heading1"/>
        <w:keepNext/>
      </w:pPr>
      <w:bookmarkStart w:name="h_44" w:id="44"/>
      <w:r>
        <w:t xml:space="preserve">Projections and Estimates</w:t>
      </w:r>
      <w:bookmarkEnd w:id="44"/>
    </w:p>
    <w:p>
      <w:pPr>
        <w:spacing w:after="120" w:line="264"/>
        <w:jc w:val="both"/>
      </w:pPr>
      <w:r>
        <w:rPr>
          <w:rFonts w:ascii="Times New Roman" w:cs="Times New Roman" w:eastAsia="Times New Roman" w:hAnsi="Times New Roman"/>
        </w:rPr>
        <w:t xml:space="preserve">Our model forecasts FY2026E-FY2031E. FY2026E is built from reported 1H26 plus explicit 2H26E drivers. Each forecast year is driven by the assumptions described below, which are selected in the model's Scenarios tab. We describe the base case here; bull and bear cases are in the Scenario Analysis section. All figures below are base case unless noted.</w:t>
      </w:r>
    </w:p>
    <w:p>
      <w:pPr>
        <w:pStyle w:val="Heading2"/>
        <w:keepNext/>
      </w:pPr>
      <w:bookmarkStart w:name="h_45" w:id="45"/>
      <w:r>
        <w:t xml:space="preserve">Revenue build: region-driven, cross-checked against orders</w:t>
      </w:r>
      <w:bookmarkEnd w:id="45"/>
    </w:p>
    <w:p>
      <w:pPr>
        <w:spacing w:after="120" w:line="264"/>
        <w:jc w:val="both"/>
      </w:pPr>
      <w:r>
        <w:rPr>
          <w:rFonts w:ascii="Times New Roman" w:cs="Times New Roman" w:eastAsia="Times New Roman" w:hAnsi="Times New Roman"/>
        </w:rPr>
        <w:t xml:space="preserve">We forecast revenue by region because the regions face very different trade-policy conditions. We then cross-check the total against an orders × revenue-per-order build.</w:t>
      </w:r>
    </w:p>
    <w:p>
      <w:pPr>
        <w:spacing w:after="120" w:line="264"/>
        <w:jc w:val="both"/>
      </w:pPr>
      <w:r>
        <w:rPr>
          <w:rFonts w:ascii="Times New Roman" w:cs="Times New Roman" w:eastAsia="Times New Roman" w:hAnsi="Times New Roman"/>
          <w:b/>
          <w:bCs/>
        </w:rPr>
        <w:t xml:space="preserve">United States (22% of FY2026E revenue).</w:t>
      </w:r>
    </w:p>
    <w:p>
      <w:pPr>
        <w:pStyle w:val="ListParagraph"/>
        <w:numPr>
          <w:ilvl w:val="0"/>
          <w:numId w:val="3"/>
        </w:numPr>
        <w:spacing w:after="60" w:line="252"/>
      </w:pPr>
      <w:r>
        <w:rPr>
          <w:rFonts w:ascii="Times New Roman" w:cs="Times New Roman" w:eastAsia="Times New Roman" w:hAnsi="Times New Roman"/>
          <w:b/>
          <w:bCs/>
        </w:rPr>
        <w:t xml:space="preserve">FY2026E: –9.0%.</w:t>
      </w:r>
      <w:r>
        <w:rPr>
          <w:rFonts w:ascii="Times New Roman" w:cs="Times New Roman" w:eastAsia="Times New Roman" w:hAnsi="Times New Roman"/>
        </w:rPr>
        <w:t xml:space="preserve"> The US has now lapped the removal of de minimis for China-origin goods (2 May 2025) and for all countries (29 August 2025). 1Q26 was –14.3% and 2Q26 –6.0%. We assume –8% in 2H26E, reflecting a tougher 3Q comparison before the August 2025 anniversary.</w:t>
      </w:r>
    </w:p>
    <w:p>
      <w:pPr>
        <w:pStyle w:val="ListParagraph"/>
        <w:numPr>
          <w:ilvl w:val="0"/>
          <w:numId w:val="3"/>
        </w:numPr>
        <w:spacing w:after="60" w:line="252"/>
      </w:pPr>
      <w:r>
        <w:rPr>
          <w:rFonts w:ascii="Times New Roman" w:cs="Times New Roman" w:eastAsia="Times New Roman" w:hAnsi="Times New Roman"/>
          <w:b/>
          <w:bCs/>
        </w:rPr>
        <w:t xml:space="preserve">FY2027E-FY2031E: +2% in FY2027E, then 3.5-4%.</w:t>
      </w:r>
      <w:r>
        <w:rPr>
          <w:rFonts w:ascii="Times New Roman" w:cs="Times New Roman" w:eastAsia="Times New Roman" w:hAnsi="Times New Roman"/>
        </w:rPr>
        <w:t xml:space="preserve"> Growth is in line with US apparel e-commerce, helped by the price-range strategy (Everlane and higher-priced brands) and domestic fulfilment from six US warehouses.</w:t>
      </w:r>
    </w:p>
    <w:p>
      <w:pPr>
        <w:spacing w:after="120" w:line="264"/>
        <w:jc w:val="both"/>
      </w:pPr>
      <w:r>
        <w:rPr>
          <w:rFonts w:ascii="Times New Roman" w:cs="Times New Roman" w:eastAsia="Times New Roman" w:hAnsi="Times New Roman"/>
          <w:b/>
          <w:bCs/>
        </w:rPr>
        <w:t xml:space="preserve">Europe (31% of FY2026E revenue).</w:t>
      </w:r>
    </w:p>
    <w:p>
      <w:pPr>
        <w:pStyle w:val="ListParagraph"/>
        <w:numPr>
          <w:ilvl w:val="0"/>
          <w:numId w:val="3"/>
        </w:numPr>
        <w:spacing w:after="60" w:line="252"/>
      </w:pPr>
      <w:r>
        <w:rPr>
          <w:rFonts w:ascii="Times New Roman" w:cs="Times New Roman" w:eastAsia="Times New Roman" w:hAnsi="Times New Roman"/>
          <w:b/>
          <w:bCs/>
        </w:rPr>
        <w:t xml:space="preserve">FY2026E: –11.4%.</w:t>
      </w:r>
      <w:r>
        <w:rPr>
          <w:rFonts w:ascii="Times New Roman" w:cs="Times New Roman" w:eastAsia="Times New Roman" w:hAnsi="Times New Roman"/>
        </w:rPr>
        <w:t xml:space="preserve"> The EU's €3-per-item-category duty on low-value parcels took effect on 1 July 2026, and management warns the impact could be "in line with or exceed" the US experience. We assume –15% in 2H26E, following 2Q26's –13.9% when price increases were implemented pre-emptively.</w:t>
      </w:r>
    </w:p>
    <w:p>
      <w:pPr>
        <w:pStyle w:val="ListParagraph"/>
        <w:numPr>
          <w:ilvl w:val="0"/>
          <w:numId w:val="3"/>
        </w:numPr>
        <w:spacing w:after="60" w:line="252"/>
      </w:pPr>
      <w:r>
        <w:rPr>
          <w:rFonts w:ascii="Times New Roman" w:cs="Times New Roman" w:eastAsia="Times New Roman" w:hAnsi="Times New Roman"/>
          <w:b/>
          <w:bCs/>
        </w:rPr>
        <w:t xml:space="preserve">FY2027E: –4%.</w:t>
      </w:r>
      <w:r>
        <w:rPr>
          <w:rFonts w:ascii="Times New Roman" w:cs="Times New Roman" w:eastAsia="Times New Roman" w:hAnsi="Times New Roman"/>
        </w:rPr>
        <w:t xml:space="preserve"> 1H27 laps a pre-duty base.</w:t>
      </w:r>
    </w:p>
    <w:p>
      <w:pPr>
        <w:pStyle w:val="ListParagraph"/>
        <w:numPr>
          <w:ilvl w:val="0"/>
          <w:numId w:val="3"/>
        </w:numPr>
        <w:spacing w:after="60" w:line="252"/>
      </w:pPr>
      <w:r>
        <w:rPr>
          <w:rFonts w:ascii="Times New Roman" w:cs="Times New Roman" w:eastAsia="Times New Roman" w:hAnsi="Times New Roman"/>
          <w:b/>
          <w:bCs/>
        </w:rPr>
        <w:t xml:space="preserve">FY2028E-FY2031E: 4-5%.</w:t>
      </w:r>
      <w:r>
        <w:rPr>
          <w:rFonts w:ascii="Times New Roman" w:cs="Times New Roman" w:eastAsia="Times New Roman" w:hAnsi="Times New Roman"/>
        </w:rPr>
        <w:t xml:space="preserve"> Local inventory (18 European warehouses, 1.0m m²) mitigates the landed-cost disadvantage.</w:t>
      </w:r>
    </w:p>
    <w:p>
      <w:pPr>
        <w:spacing w:after="120" w:line="264"/>
        <w:jc w:val="both"/>
      </w:pPr>
      <w:r>
        <w:rPr>
          <w:rFonts w:ascii="Times New Roman" w:cs="Times New Roman" w:eastAsia="Times New Roman" w:hAnsi="Times New Roman"/>
          <w:b/>
          <w:bCs/>
        </w:rPr>
        <w:t xml:space="preserve">Rest of world (47% of FY2026E revenue).</w:t>
      </w:r>
    </w:p>
    <w:p>
      <w:pPr>
        <w:pStyle w:val="ListParagraph"/>
        <w:numPr>
          <w:ilvl w:val="0"/>
          <w:numId w:val="3"/>
        </w:numPr>
        <w:spacing w:after="60" w:line="252"/>
      </w:pPr>
      <w:r>
        <w:rPr>
          <w:rFonts w:ascii="Times New Roman" w:cs="Times New Roman" w:eastAsia="Times New Roman" w:hAnsi="Times New Roman"/>
          <w:b/>
          <w:bCs/>
        </w:rPr>
        <w:t xml:space="preserve">FY2026E: +15.5%.</w:t>
      </w:r>
      <w:r>
        <w:rPr>
          <w:rFonts w:ascii="Times New Roman" w:cs="Times New Roman" w:eastAsia="Times New Roman" w:hAnsi="Times New Roman"/>
        </w:rPr>
        <w:t xml:space="preserve"> Growth was 16.0% in 1H26 (21.6% in 2Q26), led by Latin America (Brazil and Mexico), with a low-single-digit drag from the Middle East conflict. We assume +15% in 2H26E.</w:t>
      </w:r>
    </w:p>
    <w:p>
      <w:pPr>
        <w:pStyle w:val="ListParagraph"/>
        <w:numPr>
          <w:ilvl w:val="0"/>
          <w:numId w:val="3"/>
        </w:numPr>
        <w:spacing w:after="60" w:line="252"/>
      </w:pPr>
      <w:r>
        <w:rPr>
          <w:rFonts w:ascii="Times New Roman" w:cs="Times New Roman" w:eastAsia="Times New Roman" w:hAnsi="Times New Roman"/>
          <w:b/>
          <w:bCs/>
        </w:rPr>
        <w:t xml:space="preserve">FY2027E-FY2031E: 12% in FY2027E, fading to 7% by FY2031E.</w:t>
      </w:r>
      <w:r>
        <w:rPr>
          <w:rFonts w:ascii="Times New Roman" w:cs="Times New Roman" w:eastAsia="Times New Roman" w:hAnsi="Times New Roman"/>
        </w:rPr>
        <w:t xml:space="preserve"> Several of these markets are also reviewing low-value import thresholds, which is why we fade growth.</w:t>
      </w:r>
    </w:p>
    <w:p>
      <w:pPr>
        <w:spacing w:after="120" w:line="264"/>
        <w:jc w:val="both"/>
      </w:pPr>
      <w:r>
        <w:rPr>
          <w:rFonts w:ascii="Times New Roman" w:cs="Times New Roman" w:eastAsia="Times New Roman" w:hAnsi="Times New Roman"/>
        </w:rPr>
        <w:t xml:space="preserve">On this build, group revenue is broadly flat in FY2026E at US$41.9bn (+0.1%). It grows 4.8% to US$43.9bn in FY2027E and reaches US$56.4bn by FY2031E, a 6.1% CAGR from FY2026E. The rest of the world rises from 40.5% of revenue in FY2025 to 54% in FY2031E.</w:t>
      </w:r>
    </w:p>
    <w:p>
      <w:pPr>
        <w:keepNext/>
        <w:spacing w:after="60" w:before="160"/>
      </w:pPr>
      <w:r>
        <w:rPr>
          <w:rFonts w:ascii="Times New Roman" w:cs="Times New Roman" w:eastAsia="Times New Roman" w:hAnsi="Times New Roman"/>
          <w:b/>
          <w:bCs/>
          <w:color w:val="1F3A5F"/>
          <w:sz w:val="18"/>
          <w:szCs w:val="18"/>
        </w:rPr>
        <w:t xml:space="preserve">Figure 32: </w:t>
      </w:r>
      <w:r>
        <w:rPr>
          <w:rFonts w:ascii="Times New Roman" w:cs="Times New Roman" w:eastAsia="Times New Roman" w:hAnsi="Times New Roman"/>
          <w:b/>
          <w:bCs/>
          <w:color w:val="1F3A5F"/>
          <w:sz w:val="18"/>
          <w:szCs w:val="18"/>
        </w:rPr>
        <w:t xml:space="preserve">Net revenues by region, FY2023A-FY2031E (US$m)</w:t>
      </w:r>
    </w:p>
    <w:tbl>
      <w:tblPr>
        <w:tblW w:type="dxa" w:w="92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792"/>
        <w:gridCol w:w="792"/>
        <w:gridCol w:w="792"/>
        <w:gridCol w:w="792"/>
        <w:gridCol w:w="792"/>
        <w:gridCol w:w="792"/>
        <w:gridCol w:w="792"/>
        <w:gridCol w:w="792"/>
        <w:gridCol w:w="792"/>
      </w:tblGrid>
      <w:tr>
        <w:trPr>
          <w:cantSplit/>
          <w:tblHeader/>
        </w:trPr>
        <w:tc>
          <w:tcPr>
            <w:tcW w:type="dxa" w:w="216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US$m</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FY23A</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FY24A</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FY25A</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FY26E</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FY27E</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FY28E</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FY29E</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FY30E</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FY31E</w:t>
            </w:r>
          </w:p>
        </w:tc>
      </w:tr>
      <w:tr>
        <w:trPr>
          <w:cantSplit/>
        </w:trPr>
        <w:tc>
          <w:tcPr>
            <w:tcW w:type="dxa" w:w="216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United States</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9,454</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10,464</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10,101</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9,196</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9,380</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9,755</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10,145</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10,551</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10,920</w:t>
            </w:r>
          </w:p>
        </w:tc>
      </w:tr>
      <w:tr>
        <w:trPr>
          <w:cantSplit/>
        </w:trPr>
        <w:tc>
          <w:tcPr>
            <w:tcW w:type="dxa" w:w="216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10.7%</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(3.5%)</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(9.0%)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3.5%</w:t>
            </w:r>
          </w:p>
        </w:tc>
      </w:tr>
      <w:tr>
        <w:trPr>
          <w:cantSplit/>
        </w:trPr>
        <w:tc>
          <w:tcPr>
            <w:tcW w:type="dxa" w:w="216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 of total</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29.4%</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27.0%</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24.1%</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22.0%</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21.4%</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20.8%</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20.2%</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19.8%</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19.4%</w:t>
            </w:r>
          </w:p>
        </w:tc>
      </w:tr>
      <w:tr>
        <w:trPr>
          <w:cantSplit/>
        </w:trPr>
        <w:tc>
          <w:tcPr>
            <w:tcW w:type="dxa" w:w="2160"/>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Europe</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10,214</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13,603</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14,802</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13,121</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12,596</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13,100</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13,755</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14,443</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15,093</w:t>
            </w:r>
          </w:p>
        </w:tc>
      </w:tr>
      <w:tr>
        <w:trPr>
          <w:cantSplit/>
        </w:trPr>
        <w:tc>
          <w:tcPr>
            <w:tcW w:type="dxa" w:w="216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33.2%</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8.8%</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(11.4%)</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(4.0%)</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4.0%</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5.0%</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5.0%</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4.5%</w:t>
            </w:r>
          </w:p>
        </w:tc>
      </w:tr>
      <w:tr>
        <w:trPr>
          <w:cantSplit/>
        </w:trPr>
        <w:tc>
          <w:tcPr>
            <w:tcW w:type="dxa" w:w="216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 of total</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31.8%</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35.1%</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35.4%</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31.3%</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28.7%</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27.9%</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27.4%</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27.1%</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26.8%</w:t>
            </w:r>
          </w:p>
        </w:tc>
      </w:tr>
      <w:tr>
        <w:trPr>
          <w:cantSplit/>
        </w:trPr>
        <w:tc>
          <w:tcPr>
            <w:tcW w:type="dxa" w:w="216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Rest of world</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12,435</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14,681</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16,944</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19,566</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21,914</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24,105</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26,274</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28,376</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30,363</w:t>
            </w:r>
          </w:p>
        </w:tc>
      </w:tr>
      <w:tr>
        <w:trPr>
          <w:cantSplit/>
        </w:trPr>
        <w:tc>
          <w:tcPr>
            <w:tcW w:type="dxa" w:w="216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18.1%</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15.4%</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15.5%</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12.0%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10.0%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9.0%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8.0%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7.0%</w:t>
            </w:r>
          </w:p>
        </w:tc>
      </w:tr>
      <w:tr>
        <w:trPr>
          <w:cantSplit/>
        </w:trPr>
        <w:tc>
          <w:tcPr>
            <w:tcW w:type="dxa" w:w="216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 of total</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38.7%</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37.9%</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40.5%</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46.7%</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49.9%</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51.3%</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52.4%</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53.2%</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53.9%</w:t>
            </w:r>
          </w:p>
        </w:tc>
      </w:tr>
      <w:tr>
        <w:trPr>
          <w:cantSplit/>
        </w:trPr>
        <w:tc>
          <w:tcPr>
            <w:tcW w:type="dxa" w:w="2160"/>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Total net revenues</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32,103</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38,748</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41,847</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41,883</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43,890</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46,960</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50,175</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53,370</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56,376</w:t>
            </w:r>
          </w:p>
        </w:tc>
      </w:tr>
      <w:tr>
        <w:trPr>
          <w:cantSplit/>
        </w:trPr>
        <w:tc>
          <w:tcPr>
            <w:tcW w:type="dxa" w:w="2160"/>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20.7%</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8.0%</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0.1%</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4.8%</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7.0%</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6.8%</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6.4%</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5.6%</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keepNext/>
        <w:spacing w:after="60" w:before="160"/>
      </w:pPr>
      <w:r>
        <w:rPr>
          <w:rFonts w:ascii="Times New Roman" w:cs="Times New Roman" w:eastAsia="Times New Roman" w:hAnsi="Times New Roman"/>
          <w:b/>
          <w:bCs/>
          <w:color w:val="1F3A5F"/>
          <w:sz w:val="18"/>
          <w:szCs w:val="18"/>
        </w:rPr>
        <w:t xml:space="preserve">Figure 33: </w:t>
      </w:r>
      <w:r>
        <w:rPr>
          <w:rFonts w:ascii="Times New Roman" w:cs="Times New Roman" w:eastAsia="Times New Roman" w:hAnsi="Times New Roman"/>
          <w:b/>
          <w:bCs/>
          <w:color w:val="1F3A5F"/>
          <w:sz w:val="18"/>
          <w:szCs w:val="18"/>
        </w:rPr>
        <w:t xml:space="preserve">Net revenues by geography, FY2023A-FY2031E (US$m)</w:t>
      </w:r>
    </w:p>
    <w:p>
      <w:pPr>
        <w:keepNext/>
        <w:spacing w:after="20"/>
        <w:jc w:val="center"/>
      </w:pPr>
      <w:r>
        <w:drawing>
          <wp:inline distT="0" distB="0" distL="0" distR="0">
            <wp:extent cx="5762625" cy="2924175"/>
            <wp:effectExtent t="0" r="0" b="0" l="0"/>
            <wp:docPr id="25" name="chart_04_revenue_by_geography_stacked_bar.png" descr="Net revenues by geography, FY2023A-FY2031E (US$m)" title="Net revenues by geography, FY2023A-FY2031E (U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2"/>
        <w:keepNext/>
      </w:pPr>
      <w:bookmarkStart w:name="h_46" w:id="46"/>
      <w:r>
        <w:t xml:space="preserve">Business model and operating KPIs</w:t>
      </w:r>
      <w:bookmarkEnd w:id="46"/>
    </w:p>
    <w:p>
      <w:pPr>
        <w:spacing w:after="120" w:line="264"/>
        <w:jc w:val="both"/>
      </w:pPr>
      <w:r>
        <w:rPr>
          <w:rFonts w:ascii="Times New Roman" w:cs="Times New Roman" w:eastAsia="Times New Roman" w:hAnsi="Times New Roman"/>
          <w:b/>
          <w:bCs/>
        </w:rPr>
        <w:t xml:space="preserve">Service revenue mix.</w:t>
      </w:r>
      <w:r>
        <w:rPr>
          <w:rFonts w:ascii="Times New Roman" w:cs="Times New Roman" w:eastAsia="Times New Roman" w:hAnsi="Times New Roman"/>
        </w:rPr>
        <w:t xml:space="preserve"> We assume the marketplace share of revenue rises from 13.5% in FY2026E to 16.3% in FY2031E. That is a slower increase than in FY2024-25, reflecting management's commitment that first-party "will always remain at the core". Service revenues grow from US$5.6bn to US$9.2bn over the period. At an assumed 25% blended take rate, implied marketplace GMV reaches ~US$37bn by FY2031E. The company does not disclose GMV, and we use it only as a cross-check.</w:t>
      </w:r>
    </w:p>
    <w:p>
      <w:pPr>
        <w:spacing w:after="120" w:line="264"/>
        <w:jc w:val="both"/>
      </w:pPr>
      <w:r>
        <w:rPr>
          <w:rFonts w:ascii="Times New Roman" w:cs="Times New Roman" w:eastAsia="Times New Roman" w:hAnsi="Times New Roman"/>
          <w:b/>
          <w:bCs/>
        </w:rPr>
        <w:t xml:space="preserve">Customers and orders.</w:t>
      </w:r>
    </w:p>
    <w:p>
      <w:pPr>
        <w:pStyle w:val="ListParagraph"/>
        <w:numPr>
          <w:ilvl w:val="0"/>
          <w:numId w:val="3"/>
        </w:numPr>
        <w:spacing w:after="60" w:line="252"/>
      </w:pPr>
      <w:r>
        <w:rPr>
          <w:rFonts w:ascii="Times New Roman" w:cs="Times New Roman" w:eastAsia="Times New Roman" w:hAnsi="Times New Roman"/>
          <w:b/>
          <w:bCs/>
        </w:rPr>
        <w:t xml:space="preserve">Active customers:</w:t>
      </w:r>
      <w:r>
        <w:rPr>
          <w:rFonts w:ascii="Times New Roman" w:cs="Times New Roman" w:eastAsia="Times New Roman" w:hAnsi="Times New Roman"/>
        </w:rPr>
        <w:t xml:space="preserve"> growth of 6.0% in FY2027E, easing to 3.5% by FY2031E, reaching 374m.</w:t>
      </w:r>
    </w:p>
    <w:p>
      <w:pPr>
        <w:pStyle w:val="ListParagraph"/>
        <w:numPr>
          <w:ilvl w:val="0"/>
          <w:numId w:val="3"/>
        </w:numPr>
        <w:spacing w:after="60" w:line="252"/>
      </w:pPr>
      <w:r>
        <w:rPr>
          <w:rFonts w:ascii="Times New Roman" w:cs="Times New Roman" w:eastAsia="Times New Roman" w:hAnsi="Times New Roman"/>
          <w:b/>
          <w:bCs/>
        </w:rPr>
        <w:t xml:space="preserve">Order frequency:</w:t>
      </w:r>
      <w:r>
        <w:rPr>
          <w:rFonts w:ascii="Times New Roman" w:cs="Times New Roman" w:eastAsia="Times New Roman" w:hAnsi="Times New Roman"/>
        </w:rPr>
        <w:t xml:space="preserve"> recovering modestly from 3.81 in FY2026E to 4.00 by FY2030E, within the historical 3.8-4.0 range.</w:t>
      </w:r>
    </w:p>
    <w:p>
      <w:pPr>
        <w:pStyle w:val="ListParagraph"/>
        <w:numPr>
          <w:ilvl w:val="0"/>
          <w:numId w:val="3"/>
        </w:numPr>
        <w:spacing w:after="60" w:line="252"/>
      </w:pPr>
      <w:r>
        <w:rPr>
          <w:rFonts w:ascii="Times New Roman" w:cs="Times New Roman" w:eastAsia="Times New Roman" w:hAnsi="Times New Roman"/>
          <w:b/>
          <w:bCs/>
        </w:rPr>
        <w:t xml:space="preserve">Orders:</w:t>
      </w:r>
      <w:r>
        <w:rPr>
          <w:rFonts w:ascii="Times New Roman" w:cs="Times New Roman" w:eastAsia="Times New Roman" w:hAnsi="Times New Roman"/>
        </w:rPr>
        <w:t xml:space="preserve"> these imply 1.22bn in FY2027E and 1.50bn by FY2031E.</w:t>
      </w:r>
    </w:p>
    <w:p>
      <w:pPr>
        <w:pStyle w:val="ListParagraph"/>
        <w:numPr>
          <w:ilvl w:val="0"/>
          <w:numId w:val="3"/>
        </w:numPr>
        <w:spacing w:after="60" w:line="252"/>
      </w:pPr>
      <w:r>
        <w:rPr>
          <w:rFonts w:ascii="Times New Roman" w:cs="Times New Roman" w:eastAsia="Times New Roman" w:hAnsi="Times New Roman"/>
          <w:b/>
          <w:bCs/>
        </w:rPr>
        <w:t xml:space="preserve">Revenue per order:</w:t>
      </w:r>
      <w:r>
        <w:rPr>
          <w:rFonts w:ascii="Times New Roman" w:cs="Times New Roman" w:eastAsia="Times New Roman" w:hAnsi="Times New Roman"/>
        </w:rPr>
        <w:t xml:space="preserve"> falls to US$35.8 in FY2027E, then recovers to US$37.7 by FY2031E as higher price points offset marketplace mix.</w:t>
      </w:r>
    </w:p>
    <w:p>
      <w:pPr>
        <w:spacing w:after="120" w:line="264"/>
        <w:jc w:val="both"/>
      </w:pPr>
      <w:r>
        <w:rPr>
          <w:rFonts w:ascii="Times New Roman" w:cs="Times New Roman" w:eastAsia="Times New Roman" w:hAnsi="Times New Roman"/>
        </w:rPr>
        <w:t xml:space="preserve">We show the order-based build as a cross-check rather than a driver, because the regional build better captures trade-policy effects.</w:t>
      </w:r>
    </w:p>
    <w:p>
      <w:pPr>
        <w:spacing w:after="120" w:line="264"/>
        <w:jc w:val="both"/>
      </w:pPr>
      <w:r>
        <w:rPr>
          <w:rFonts w:ascii="Times New Roman" w:cs="Times New Roman" w:eastAsia="Times New Roman" w:hAnsi="Times New Roman"/>
          <w:b/>
          <w:bCs/>
        </w:rPr>
        <w:t xml:space="preserve">Category mix.</w:t>
      </w:r>
      <w:r>
        <w:rPr>
          <w:rFonts w:ascii="Times New Roman" w:cs="Times New Roman" w:eastAsia="Times New Roman" w:hAnsi="Times New Roman"/>
        </w:rPr>
        <w:t xml:space="preserve"> Non-apparel categories (footwear, accessories, beauty, home and lifestyle) rise from 36.2% of revenue in FY2025 to 41.0% in FY2031E, consistent with SHEIN's multi-category strategy and the marketplace's broader assortment.</w:t>
      </w:r>
    </w:p>
    <w:p>
      <w:pPr>
        <w:keepNext/>
        <w:spacing w:after="60" w:before="160"/>
      </w:pPr>
      <w:r>
        <w:rPr>
          <w:rFonts w:ascii="Times New Roman" w:cs="Times New Roman" w:eastAsia="Times New Roman" w:hAnsi="Times New Roman"/>
          <w:b/>
          <w:bCs/>
          <w:color w:val="1F3A5F"/>
          <w:sz w:val="18"/>
          <w:szCs w:val="18"/>
        </w:rPr>
        <w:t xml:space="preserve">Figure 34: </w:t>
      </w:r>
      <w:r>
        <w:rPr>
          <w:rFonts w:ascii="Times New Roman" w:cs="Times New Roman" w:eastAsia="Times New Roman" w:hAnsi="Times New Roman"/>
          <w:b/>
          <w:bCs/>
          <w:color w:val="1F3A5F"/>
          <w:sz w:val="18"/>
          <w:szCs w:val="18"/>
        </w:rPr>
        <w:t xml:space="preserve">Operating KPIs, business model and category revenue, FY2023A-FY2031E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778"/>
        <w:gridCol w:w="778"/>
        <w:gridCol w:w="778"/>
        <w:gridCol w:w="778"/>
        <w:gridCol w:w="778"/>
        <w:gridCol w:w="778"/>
        <w:gridCol w:w="778"/>
        <w:gridCol w:w="778"/>
        <w:gridCol w:w="778"/>
      </w:tblGrid>
      <w:tr>
        <w:trPr>
          <w:cantSplit/>
          <w:tblHeader/>
        </w:trPr>
        <w:tc>
          <w:tcPr>
            <w:tcW w:type="dxa" w:w="230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US$m unless stated</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FY23A</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FY24A</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FY25A</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FY26E</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FY27E</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FY28E</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FY29E</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FY30E</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FY31E</w:t>
            </w:r>
          </w:p>
        </w:tc>
      </w:tr>
      <w:tr>
        <w:trPr>
          <w:cantSplit/>
        </w:trPr>
        <w:tc>
          <w:tcPr>
            <w:tcW w:type="dxa" w:w="23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Active customers (m)</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186</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230</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273</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300</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318</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334</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347</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361</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374</w:t>
            </w:r>
          </w:p>
        </w:tc>
      </w:tr>
      <w:tr>
        <w:trPr>
          <w:cantSplit/>
        </w:trPr>
        <w:tc>
          <w:tcPr>
            <w:tcW w:type="dxa" w:w="23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23.7%</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18.7%</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9.9%</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6.0%</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5.0%</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4.0%</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4.0%</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3.5%</w:t>
            </w:r>
          </w:p>
        </w:tc>
      </w:tr>
      <w:tr>
        <w:trPr>
          <w:cantSplit/>
        </w:trPr>
        <w:tc>
          <w:tcPr>
            <w:tcW w:type="dxa" w:w="23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Orders per customer (x)</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3.84</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4.00</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3.95</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3.81</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3.85</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3.90</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3.95</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4.00</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4.00</w:t>
            </w:r>
          </w:p>
        </w:tc>
      </w:tr>
      <w:tr>
        <w:trPr>
          <w:cantSplit/>
        </w:trPr>
        <w:tc>
          <w:tcPr>
            <w:tcW w:type="dxa" w:w="2304"/>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Total orders (m)</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715</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919</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1,078</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1,144</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1,224</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1,302</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1,372</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1,445</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1,495</w:t>
            </w:r>
          </w:p>
        </w:tc>
      </w:tr>
      <w:tr>
        <w:trPr>
          <w:cantSplit/>
        </w:trPr>
        <w:tc>
          <w:tcPr>
            <w:tcW w:type="dxa" w:w="23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28.5%</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17.3%</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6.1%</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7.1%</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6.4%</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5.3%</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5.3%</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3.5%</w:t>
            </w:r>
          </w:p>
        </w:tc>
      </w:tr>
      <w:tr>
        <w:trPr>
          <w:cantSplit/>
        </w:trPr>
        <w:tc>
          <w:tcPr>
            <w:tcW w:type="dxa" w:w="23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Net revenue per order (US$)</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44.9</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42.2</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38.8</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36.6</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35.8</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36.1</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36.6</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36.9</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37.7</w:t>
            </w:r>
          </w:p>
        </w:tc>
      </w:tr>
      <w:tr>
        <w:trPr>
          <w:cantSplit/>
        </w:trPr>
        <w:tc>
          <w:tcPr>
            <w:tcW w:type="dxa" w:w="2304"/>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Product revenues (1P)</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31,235</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35,351</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37,107</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36,246</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37,526</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39,916</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42,398</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44,831</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47,186</w:t>
            </w:r>
          </w:p>
        </w:tc>
      </w:tr>
      <w:tr>
        <w:trPr>
          <w:cantSplit/>
        </w:trPr>
        <w:tc>
          <w:tcPr>
            <w:tcW w:type="dxa" w:w="23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13.2%</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5.0%</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(2.3%)</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3.5%</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6.4%</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6.2%</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5.7%</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5.3%</w:t>
            </w:r>
          </w:p>
        </w:tc>
      </w:tr>
      <w:tr>
        <w:trPr>
          <w:cantSplit/>
        </w:trPr>
        <w:tc>
          <w:tcPr>
            <w:tcW w:type="dxa" w:w="2304"/>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Service revenues (marketplace)</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868</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3,397</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4,740</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5,637</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6,364</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7,044</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7,777</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8,539</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9,189</w:t>
            </w:r>
          </w:p>
        </w:tc>
      </w:tr>
      <w:tr>
        <w:trPr>
          <w:cantSplit/>
        </w:trPr>
        <w:tc>
          <w:tcPr>
            <w:tcW w:type="dxa" w:w="23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291.4%</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39.5%</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18.9%</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12.9%</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10.7%</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10.4%</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9.8%</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7.6%</w:t>
            </w:r>
          </w:p>
        </w:tc>
      </w:tr>
      <w:tr>
        <w:trPr>
          <w:cantSplit/>
        </w:trPr>
        <w:tc>
          <w:tcPr>
            <w:tcW w:type="dxa" w:w="23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Service % of total</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2.7%</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8.8%</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11.3%</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13.5%</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14.5%</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15.0%</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15.5%</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16.0%</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16.3%</w:t>
            </w:r>
          </w:p>
        </w:tc>
      </w:tr>
      <w:tr>
        <w:trPr>
          <w:cantSplit/>
        </w:trPr>
        <w:tc>
          <w:tcPr>
            <w:tcW w:type="dxa" w:w="23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Implied marketplace GMV (est.)</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3,472</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13,588</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18,960</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22,548</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25,456</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28,176</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31,108</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34,157</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36,757</w:t>
            </w:r>
          </w:p>
        </w:tc>
      </w:tr>
      <w:tr>
        <w:trPr>
          <w:cantSplit/>
        </w:trPr>
        <w:tc>
          <w:tcPr>
            <w:tcW w:type="dxa" w:w="2304"/>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Apparel</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22,080</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25,068</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26,707</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25,758</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26,773</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28,411</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30,105</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31,755</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33,262</w:t>
            </w:r>
          </w:p>
        </w:tc>
      </w:tr>
      <w:tr>
        <w:trPr>
          <w:cantSplit/>
        </w:trPr>
        <w:tc>
          <w:tcPr>
            <w:tcW w:type="dxa" w:w="23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13.5%</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6.5%</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(3.6%)</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3.9%</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6.1%</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6.0%</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5.5%</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4.7%</w:t>
            </w:r>
          </w:p>
        </w:tc>
      </w:tr>
      <w:tr>
        <w:trPr>
          <w:cantSplit/>
        </w:trPr>
        <w:tc>
          <w:tcPr>
            <w:tcW w:type="dxa" w:w="2304"/>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Other categories</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10,023</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13,680</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15,140</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16,125</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17,117</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18,549</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20,070</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21,615</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23,114</w:t>
            </w:r>
          </w:p>
        </w:tc>
      </w:tr>
      <w:tr>
        <w:trPr>
          <w:cantSplit/>
        </w:trPr>
        <w:tc>
          <w:tcPr>
            <w:tcW w:type="dxa" w:w="23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36.5%</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10.7%</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6.5%</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6.2%</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8.4%</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8.2%</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7.7%</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6.9%</w:t>
            </w:r>
          </w:p>
        </w:tc>
      </w:tr>
      <w:tr>
        <w:trPr>
          <w:cantSplit/>
        </w:trPr>
        <w:tc>
          <w:tcPr>
            <w:tcW w:type="dxa" w:w="2304"/>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6"/>
                <w:szCs w:val="16"/>
              </w:rPr>
              <w:t xml:space="preserve">Non-apparel % of total</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31.2%</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35.3%</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36.2%</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38.5%</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39.0%</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39.5%</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40.0%</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40.5%</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41.0%</w:t>
            </w:r>
          </w:p>
        </w:tc>
      </w:tr>
    </w:tbl>
    <w:p>
      <w:pPr>
        <w:spacing w:after="0" w:before="40"/>
      </w:pPr>
      <w:r>
        <w:rPr>
          <w:rFonts w:ascii="Times New Roman" w:cs="Times New Roman" w:eastAsia="Times New Roman" w:hAnsi="Times New Roman"/>
          <w:i/>
          <w:iCs/>
          <w:color w:val="595959"/>
          <w:sz w:val="15"/>
          <w:szCs w:val="15"/>
        </w:rPr>
        <w:t xml:space="preserve">Note: Implied marketplace GMV assumes a 25% blended take rate (commission plus fulfilment fees); GMV is not disclosed.</w:t>
      </w:r>
    </w:p>
    <w:p>
      <w:pPr>
        <w:spacing w:after="160" w:before="20"/>
      </w:pPr>
      <w:r>
        <w:rPr>
          <w:rFonts w:ascii="Times New Roman" w:cs="Times New Roman" w:eastAsia="Times New Roman" w:hAnsi="Times New Roman"/>
          <w:i/>
          <w:iCs/>
          <w:color w:val="595959"/>
          <w:sz w:val="15"/>
          <w:szCs w:val="15"/>
        </w:rPr>
        <w:t xml:space="preserve">Source: Company filings, analyst estimates.</w:t>
      </w:r>
    </w:p>
    <w:p>
      <w:pPr>
        <w:keepNext/>
        <w:spacing w:after="60" w:before="160"/>
      </w:pPr>
      <w:r>
        <w:rPr>
          <w:rFonts w:ascii="Times New Roman" w:cs="Times New Roman" w:eastAsia="Times New Roman" w:hAnsi="Times New Roman"/>
          <w:b/>
          <w:bCs/>
          <w:color w:val="1F3A5F"/>
          <w:sz w:val="18"/>
          <w:szCs w:val="18"/>
        </w:rPr>
        <w:t xml:space="preserve">Figure 35: </w:t>
      </w:r>
      <w:r>
        <w:rPr>
          <w:rFonts w:ascii="Times New Roman" w:cs="Times New Roman" w:eastAsia="Times New Roman" w:hAnsi="Times New Roman"/>
          <w:b/>
          <w:bCs/>
          <w:color w:val="1F3A5F"/>
          <w:sz w:val="18"/>
          <w:szCs w:val="18"/>
        </w:rPr>
        <w:t xml:space="preserve">Revenue by business model: product (first-party) vs. service (marketplace), US$m</w:t>
      </w:r>
    </w:p>
    <w:p>
      <w:pPr>
        <w:keepNext/>
        <w:spacing w:after="20"/>
        <w:jc w:val="center"/>
      </w:pPr>
      <w:r>
        <w:drawing>
          <wp:inline distT="0" distB="0" distL="0" distR="0">
            <wp:extent cx="5762625" cy="2924175"/>
            <wp:effectExtent t="0" r="0" b="0" l="0"/>
            <wp:docPr id="26" name="chart_03_revenue_by_business_model_stacked_area.png" descr="Revenue by business model: product (first-party) vs. service (marketplace), US$m" title="Revenue by business model: product (first-party) vs. service (marketplace), U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29241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36: </w:t>
      </w:r>
      <w:r>
        <w:rPr>
          <w:rFonts w:ascii="Times New Roman" w:cs="Times New Roman" w:eastAsia="Times New Roman" w:hAnsi="Times New Roman"/>
          <w:b/>
          <w:bCs/>
          <w:color w:val="1F3A5F"/>
          <w:sz w:val="18"/>
          <w:szCs w:val="18"/>
        </w:rPr>
        <w:t xml:space="preserve">Operating KPI dashboard: customers, orders, frequency and revenue per order</w:t>
      </w:r>
    </w:p>
    <w:p>
      <w:pPr>
        <w:keepNext/>
        <w:spacing w:after="20"/>
        <w:jc w:val="center"/>
      </w:pPr>
      <w:r>
        <w:drawing>
          <wp:inline distT="0" distB="0" distL="0" distR="0">
            <wp:extent cx="5762625" cy="3533775"/>
            <wp:effectExtent t="0" r="0" b="0" l="0"/>
            <wp:docPr id="27" name="chart_13_operating_metrics_dashboard.png" descr="Operating KPI dashboard: customers, orders, frequency and revenue per order" title="Operating KPI dashboard: customers, orders, frequency and revenue per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3533775"/>
                    </a:xfrm>
                    <a:prstGeom prst="rect">
                      <a:avLst/>
                    </a:prstGeom>
                  </pic:spPr>
                </pic:pic>
              </a:graphicData>
            </a:graphic>
          </wp:inline>
        </w:drawing>
      </w:r>
    </w:p>
    <w:p>
      <w:pPr>
        <w:spacing w:after="120"/>
      </w:pPr>
    </w:p>
    <w:p>
      <w:pPr>
        <w:pStyle w:val="Heading2"/>
        <w:keepNext/>
      </w:pPr>
      <w:bookmarkStart w:name="h_47" w:id="47"/>
      <w:r>
        <w:t xml:space="preserve">Cost structure and margins</w:t>
      </w:r>
      <w:bookmarkEnd w:id="47"/>
    </w:p>
    <w:p>
      <w:pPr>
        <w:spacing w:after="120" w:line="264"/>
        <w:jc w:val="both"/>
      </w:pPr>
      <w:r>
        <w:rPr>
          <w:rFonts w:ascii="Times New Roman" w:cs="Times New Roman" w:eastAsia="Times New Roman" w:hAnsi="Times New Roman"/>
          <w:b/>
          <w:bCs/>
        </w:rPr>
        <w:t xml:space="preserve">Cost of sales.</w:t>
      </w:r>
      <w:r>
        <w:rPr>
          <w:rFonts w:ascii="Times New Roman" w:cs="Times New Roman" w:eastAsia="Times New Roman" w:hAnsi="Times New Roman"/>
        </w:rPr>
        <w:t xml:space="preserve"> We model cost of sales as a percentage of product revenue: 34.0% in 2H26E and 34.3% in FY2027E, easing to 34.0% by FY2030E. This is in line with 1H26 (about 34%). Tariff-related cost increases on direct shipments are captured in fulfilment, and input costs (polyester, China apparel PPI) are benign. Blended gross margin rises from 70.3% in FY2026E to 71.5% in FY2031E, mainly because of marketplace mix.</w:t>
      </w:r>
    </w:p>
    <w:p>
      <w:pPr>
        <w:spacing w:after="120" w:line="264"/>
        <w:jc w:val="both"/>
      </w:pPr>
      <w:r>
        <w:rPr>
          <w:rFonts w:ascii="Times New Roman" w:cs="Times New Roman" w:eastAsia="Times New Roman" w:hAnsi="Times New Roman"/>
          <w:b/>
          <w:bCs/>
        </w:rPr>
        <w:t xml:space="preserve">Fulfilment.</w:t>
      </w:r>
      <w:r>
        <w:rPr>
          <w:rFonts w:ascii="Times New Roman" w:cs="Times New Roman" w:eastAsia="Times New Roman" w:hAnsi="Times New Roman"/>
        </w:rPr>
        <w:t xml:space="preserve"> This is our most important cost assumption:</w:t>
      </w:r>
    </w:p>
    <w:p>
      <w:pPr>
        <w:pStyle w:val="ListParagraph"/>
        <w:numPr>
          <w:ilvl w:val="0"/>
          <w:numId w:val="3"/>
        </w:numPr>
        <w:spacing w:after="60" w:line="252"/>
      </w:pPr>
      <w:r>
        <w:rPr>
          <w:rFonts w:ascii="Times New Roman" w:cs="Times New Roman" w:eastAsia="Times New Roman" w:hAnsi="Times New Roman"/>
          <w:b/>
          <w:bCs/>
        </w:rPr>
        <w:t xml:space="preserve">2H26E: 51.0% of revenue.</w:t>
      </w:r>
      <w:r>
        <w:rPr>
          <w:rFonts w:ascii="Times New Roman" w:cs="Times New Roman" w:eastAsia="Times New Roman" w:hAnsi="Times New Roman"/>
        </w:rPr>
        <w:t xml:space="preserve"> This is above 1H26's 49.2%. The EU duty now applies, and freight had not normalised by the end of the period.</w:t>
      </w:r>
    </w:p>
    <w:p>
      <w:pPr>
        <w:pStyle w:val="ListParagraph"/>
        <w:numPr>
          <w:ilvl w:val="0"/>
          <w:numId w:val="3"/>
        </w:numPr>
        <w:spacing w:after="60" w:line="252"/>
      </w:pPr>
      <w:r>
        <w:rPr>
          <w:rFonts w:ascii="Times New Roman" w:cs="Times New Roman" w:eastAsia="Times New Roman" w:hAnsi="Times New Roman"/>
          <w:b/>
          <w:bCs/>
        </w:rPr>
        <w:t xml:space="preserve">FY2027E: 50.5%.</w:t>
      </w:r>
    </w:p>
    <w:p>
      <w:pPr>
        <w:pStyle w:val="ListParagraph"/>
        <w:numPr>
          <w:ilvl w:val="0"/>
          <w:numId w:val="3"/>
        </w:numPr>
        <w:spacing w:after="60" w:line="252"/>
      </w:pPr>
      <w:r>
        <w:rPr>
          <w:rFonts w:ascii="Times New Roman" w:cs="Times New Roman" w:eastAsia="Times New Roman" w:hAnsi="Times New Roman"/>
          <w:b/>
          <w:bCs/>
        </w:rPr>
        <w:t xml:space="preserve">FY2029E onwards: 50.0%.</w:t>
      </w:r>
    </w:p>
    <w:p>
      <w:pPr>
        <w:spacing w:after="120" w:line="264"/>
        <w:jc w:val="both"/>
      </w:pPr>
      <w:r>
        <w:rPr>
          <w:rFonts w:ascii="Times New Roman" w:cs="Times New Roman" w:eastAsia="Times New Roman" w:hAnsi="Times New Roman"/>
        </w:rPr>
        <w:t xml:space="preserve">Fulfilment per order therefore stays at US$18.1-18.9, above FY2025's US$17.7. A return to the FY2025 ratio of 45.6% would add about US$2bn to FY2027E EBIT, so we see freight normalisation as an upside risk rather than a base-case assumption.</w:t>
      </w:r>
    </w:p>
    <w:p>
      <w:pPr>
        <w:spacing w:after="120" w:line="264"/>
        <w:jc w:val="both"/>
      </w:pPr>
      <w:r>
        <w:rPr>
          <w:rFonts w:ascii="Times New Roman" w:cs="Times New Roman" w:eastAsia="Times New Roman" w:hAnsi="Times New Roman"/>
          <w:b/>
          <w:bCs/>
        </w:rPr>
        <w:t xml:space="preserve">Marketing.</w:t>
      </w:r>
      <w:r>
        <w:rPr>
          <w:rFonts w:ascii="Times New Roman" w:cs="Times New Roman" w:eastAsia="Times New Roman" w:hAnsi="Times New Roman"/>
        </w:rPr>
        <w:t xml:space="preserve"> 13.5% of revenue in 2H26E and FY2027E, easing to 13.2% by FY2029E.</w:t>
      </w:r>
    </w:p>
    <w:p>
      <w:pPr>
        <w:spacing w:after="120" w:line="264"/>
        <w:jc w:val="both"/>
      </w:pPr>
      <w:r>
        <w:rPr>
          <w:rFonts w:ascii="Times New Roman" w:cs="Times New Roman" w:eastAsia="Times New Roman" w:hAnsi="Times New Roman"/>
          <w:b/>
          <w:bCs/>
        </w:rPr>
        <w:t xml:space="preserve">Technology, content and G&amp;A.</w:t>
      </w:r>
      <w:r>
        <w:rPr>
          <w:rFonts w:ascii="Times New Roman" w:cs="Times New Roman" w:eastAsia="Times New Roman" w:hAnsi="Times New Roman"/>
        </w:rPr>
        <w:t xml:space="preserve"> Technology and content at 2.4% of revenue, reflecting continued investment. G&amp;A at 1.3%.</w:t>
      </w:r>
    </w:p>
    <w:p>
      <w:pPr>
        <w:spacing w:after="120" w:line="264"/>
        <w:jc w:val="both"/>
      </w:pPr>
      <w:r>
        <w:rPr>
          <w:rFonts w:ascii="Times New Roman" w:cs="Times New Roman" w:eastAsia="Times New Roman" w:hAnsi="Times New Roman"/>
          <w:b/>
          <w:bCs/>
        </w:rPr>
        <w:t xml:space="preserve">Share-based compensation.</w:t>
      </w:r>
      <w:r>
        <w:rPr>
          <w:rFonts w:ascii="Times New Roman" w:cs="Times New Roman" w:eastAsia="Times New Roman" w:hAnsi="Times New Roman"/>
        </w:rPr>
        <w:t xml:space="preserve"> US$90m in FY2026E rising to US$120m by FY2031E. Post-IPO grants may increase this.</w:t>
      </w:r>
    </w:p>
    <w:p>
      <w:pPr>
        <w:spacing w:after="120" w:line="264"/>
        <w:jc w:val="both"/>
      </w:pPr>
      <w:r>
        <w:rPr>
          <w:rFonts w:ascii="Times New Roman" w:cs="Times New Roman" w:eastAsia="Times New Roman" w:hAnsi="Times New Roman"/>
          <w:b/>
          <w:bCs/>
        </w:rPr>
        <w:t xml:space="preserve">Resulting margins.</w:t>
      </w:r>
    </w:p>
    <w:p>
      <w:pPr>
        <w:pStyle w:val="ListParagraph"/>
        <w:numPr>
          <w:ilvl w:val="0"/>
          <w:numId w:val="3"/>
        </w:numPr>
        <w:spacing w:after="60" w:line="252"/>
      </w:pPr>
      <w:r>
        <w:rPr>
          <w:rFonts w:ascii="Times New Roman" w:cs="Times New Roman" w:eastAsia="Times New Roman" w:hAnsi="Times New Roman"/>
          <w:b/>
          <w:bCs/>
        </w:rPr>
        <w:t xml:space="preserve">EBIT margin:</w:t>
      </w:r>
      <w:r>
        <w:rPr>
          <w:rFonts w:ascii="Times New Roman" w:cs="Times New Roman" w:eastAsia="Times New Roman" w:hAnsi="Times New Roman"/>
        </w:rPr>
        <w:t xml:space="preserve"> 2.5% in FY2026E, 3.0% in FY2027E, 3.7% in FY2028E, 4.3% in FY2029E and 4.6% by FY2031E.</w:t>
      </w:r>
    </w:p>
    <w:p>
      <w:pPr>
        <w:pStyle w:val="ListParagraph"/>
        <w:numPr>
          <w:ilvl w:val="0"/>
          <w:numId w:val="3"/>
        </w:numPr>
        <w:spacing w:after="60" w:line="252"/>
      </w:pPr>
      <w:r>
        <w:rPr>
          <w:rFonts w:ascii="Times New Roman" w:cs="Times New Roman" w:eastAsia="Times New Roman" w:hAnsi="Times New Roman"/>
          <w:b/>
          <w:bCs/>
        </w:rPr>
        <w:t xml:space="preserve">Adjusted EBIT margin:</w:t>
      </w:r>
      <w:r>
        <w:rPr>
          <w:rFonts w:ascii="Times New Roman" w:cs="Times New Roman" w:eastAsia="Times New Roman" w:hAnsi="Times New Roman"/>
        </w:rPr>
        <w:t xml:space="preserve"> 2.7% in FY2026E, 3.2% in FY2027E and 4.9% by FY2031E.</w:t>
      </w:r>
    </w:p>
    <w:p>
      <w:pPr>
        <w:spacing w:after="120" w:line="264"/>
        <w:jc w:val="both"/>
      </w:pPr>
      <w:r>
        <w:rPr>
          <w:rFonts w:ascii="Times New Roman" w:cs="Times New Roman" w:eastAsia="Times New Roman" w:hAnsi="Times New Roman"/>
        </w:rPr>
        <w:t xml:space="preserve">In absolute terms, adjusted EBIT rises from US$1.13bn in FY2026E to US$1.41bn in FY2027E, US$1.86bn in FY2028E and US$2.74bn in FY2031E.</w:t>
      </w:r>
    </w:p>
    <w:p>
      <w:pPr>
        <w:keepNext/>
        <w:spacing w:after="60" w:before="160"/>
      </w:pPr>
      <w:r>
        <w:rPr>
          <w:rFonts w:ascii="Times New Roman" w:cs="Times New Roman" w:eastAsia="Times New Roman" w:hAnsi="Times New Roman"/>
          <w:b/>
          <w:bCs/>
          <w:color w:val="1F3A5F"/>
          <w:sz w:val="18"/>
          <w:szCs w:val="18"/>
        </w:rPr>
        <w:t xml:space="preserve">Figure 37: </w:t>
      </w:r>
      <w:r>
        <w:rPr>
          <w:rFonts w:ascii="Times New Roman" w:cs="Times New Roman" w:eastAsia="Times New Roman" w:hAnsi="Times New Roman"/>
          <w:b/>
          <w:bCs/>
          <w:color w:val="1F3A5F"/>
          <w:sz w:val="18"/>
          <w:szCs w:val="18"/>
        </w:rPr>
        <w:t xml:space="preserve">Margin, cost and capital assumptions, FY2023A-FY2031E</w:t>
      </w:r>
    </w:p>
    <w:tbl>
      <w:tblPr>
        <w:tblW w:type="dxa" w:w="9333"/>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749"/>
        <w:gridCol w:w="749"/>
        <w:gridCol w:w="749"/>
        <w:gridCol w:w="749"/>
        <w:gridCol w:w="749"/>
        <w:gridCol w:w="749"/>
        <w:gridCol w:w="749"/>
        <w:gridCol w:w="749"/>
        <w:gridCol w:w="749"/>
      </w:tblGrid>
      <w:tr>
        <w:trPr>
          <w:cantSplit/>
          <w:tblHeader/>
        </w:trPr>
        <w:tc>
          <w:tcPr>
            <w:tcW w:type="dxa" w:w="25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Driver</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FY23A</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FY24A</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FY25A</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FY26E</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FY27E</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FY28E</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FY29E</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FY30E</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FY31E</w:t>
            </w:r>
          </w:p>
        </w:tc>
      </w:tr>
      <w:tr>
        <w:trPr>
          <w:cantSplit/>
        </w:trPr>
        <w:tc>
          <w:tcPr>
            <w:tcW w:type="dxa" w:w="25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Cost of sales % of product revenue</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40.9%</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43.1%</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36.2%</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34.3%</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34.3%</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34.2%</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34.1%</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34.0%</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34.0%</w:t>
            </w:r>
          </w:p>
        </w:tc>
      </w:tr>
      <w:tr>
        <w:trPr>
          <w:cantSplit/>
        </w:trPr>
        <w:tc>
          <w:tcPr>
            <w:tcW w:type="dxa" w:w="25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Gross margin</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60.2%</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60.6%</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67.9%</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70.7%</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70.9%</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71.2%</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71.4%</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71.5%</w:t>
            </w:r>
          </w:p>
        </w:tc>
      </w:tr>
      <w:tr>
        <w:trPr>
          <w:cantSplit/>
        </w:trPr>
        <w:tc>
          <w:tcPr>
            <w:tcW w:type="dxa" w:w="25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Fulfilment % of revenue</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42.1%</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43.5%</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45.6%</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50.1%</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50.5%</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50.2%</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50.0%</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50.0%</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50.0%</w:t>
            </w:r>
          </w:p>
        </w:tc>
      </w:tr>
      <w:tr>
        <w:trPr>
          <w:cantSplit/>
        </w:trPr>
        <w:tc>
          <w:tcPr>
            <w:tcW w:type="dxa" w:w="25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Fulfilment per order (US$)</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18.88</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18.33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17.69</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18.36</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18.10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18.10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18.29</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18.47</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18.85</w:t>
            </w:r>
          </w:p>
        </w:tc>
      </w:tr>
      <w:tr>
        <w:trPr>
          <w:cantSplit/>
        </w:trPr>
        <w:tc>
          <w:tcPr>
            <w:tcW w:type="dxa" w:w="25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Contribution margin</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18.1%</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17.2%</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22.3%</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20.2%</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20.2%</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20.7%</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21.2%</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21.4%</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21.5%</w:t>
            </w:r>
          </w:p>
        </w:tc>
      </w:tr>
      <w:tr>
        <w:trPr>
          <w:cantSplit/>
        </w:trPr>
        <w:tc>
          <w:tcPr>
            <w:tcW w:type="dxa" w:w="25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Marketing % of revenue</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10.8%</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10.7%</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14.8%</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13.2%</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13.2%</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13.2%</w:t>
            </w:r>
          </w:p>
        </w:tc>
      </w:tr>
      <w:tr>
        <w:trPr>
          <w:cantSplit/>
        </w:trPr>
        <w:tc>
          <w:tcPr>
            <w:tcW w:type="dxa" w:w="25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Technology &amp; content % of revenue</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r>
      <w:tr>
        <w:trPr>
          <w:cantSplit/>
        </w:trPr>
        <w:tc>
          <w:tcPr>
            <w:tcW w:type="dxa" w:w="25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G&amp;A % of revenue</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1.7%</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r>
      <w:tr>
        <w:trPr>
          <w:cantSplit/>
        </w:trPr>
        <w:tc>
          <w:tcPr>
            <w:tcW w:type="dxa" w:w="25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Operating (EBIT) margin</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4.3%</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2.5%</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4.1%</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2.5%</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3.0%</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3.7%</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4.3%</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4.5%</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4.6%</w:t>
            </w:r>
          </w:p>
        </w:tc>
      </w:tr>
      <w:tr>
        <w:trPr>
          <w:cantSplit/>
        </w:trPr>
        <w:tc>
          <w:tcPr>
            <w:tcW w:type="dxa" w:w="25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SBC (US$m)</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71</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120</w:t>
            </w:r>
          </w:p>
        </w:tc>
      </w:tr>
      <w:tr>
        <w:trPr>
          <w:cantSplit/>
        </w:trPr>
        <w:tc>
          <w:tcPr>
            <w:tcW w:type="dxa" w:w="25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Adjusted EBIT margin</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4.4%</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2.7%</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4.3%</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2.7%</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3.2%</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4.0%</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4.5%</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4.8%</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4.9%</w:t>
            </w:r>
          </w:p>
        </w:tc>
      </w:tr>
      <w:tr>
        <w:trPr>
          <w:cantSplit/>
        </w:trPr>
        <w:tc>
          <w:tcPr>
            <w:tcW w:type="dxa" w:w="25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EBITDA margin (IFRS 16)</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4.8%</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4.8%</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5.7%</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w:t>
            </w:r>
          </w:p>
        </w:tc>
      </w:tr>
      <w:tr>
        <w:trPr>
          <w:cantSplit/>
        </w:trPr>
        <w:tc>
          <w:tcPr>
            <w:tcW w:type="dxa" w:w="25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Interest yield on cash</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w:t>
            </w:r>
          </w:p>
        </w:tc>
      </w:tr>
      <w:tr>
        <w:trPr>
          <w:cantSplit/>
        </w:trPr>
        <w:tc>
          <w:tcPr>
            <w:tcW w:type="dxa" w:w="25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Interest income (US$m)</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472</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597</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621</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501</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507</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534</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582</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633</w:t>
            </w:r>
          </w:p>
        </w:tc>
      </w:tr>
      <w:tr>
        <w:trPr>
          <w:cantSplit/>
        </w:trPr>
        <w:tc>
          <w:tcPr>
            <w:tcW w:type="dxa" w:w="25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Core effective tax rate</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11.4%</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26.8%</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20.6%</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24.2%</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22.0%</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22.0%</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22.0%</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22.0%</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22.0%</w:t>
            </w:r>
          </w:p>
        </w:tc>
      </w:tr>
      <w:tr>
        <w:trPr>
          <w:cantSplit/>
        </w:trPr>
        <w:tc>
          <w:tcPr>
            <w:tcW w:type="dxa" w:w="25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Capex % of revenue</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0.97%</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0.74%</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0.53%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0.75%</w:t>
            </w:r>
          </w:p>
        </w:tc>
      </w:tr>
      <w:tr>
        <w:trPr>
          <w:cantSplit/>
        </w:trPr>
        <w:tc>
          <w:tcPr>
            <w:tcW w:type="dxa" w:w="25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Operating NWC % of revenue</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(7.7%)</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(7.5%)</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(9.6%)</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(9.8%)</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(9.8%)</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(9.8%)</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(9.8%)</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(9.8%)</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(9.8%)</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pStyle w:val="Heading2"/>
        <w:keepNext/>
      </w:pPr>
      <w:bookmarkStart w:name="h_48" w:id="48"/>
      <w:r>
        <w:t xml:space="preserve">Below-the-line and per-share estimates</w:t>
      </w:r>
      <w:bookmarkEnd w:id="48"/>
    </w:p>
    <w:p>
      <w:pPr>
        <w:spacing w:after="120" w:line="264"/>
        <w:jc w:val="both"/>
      </w:pPr>
      <w:r>
        <w:rPr>
          <w:rFonts w:ascii="Times New Roman" w:cs="Times New Roman" w:eastAsia="Times New Roman" w:hAnsi="Times New Roman"/>
          <w:b/>
          <w:bCs/>
        </w:rPr>
        <w:t xml:space="preserve">Interest income.</w:t>
      </w:r>
    </w:p>
    <w:p>
      <w:pPr>
        <w:pStyle w:val="ListParagraph"/>
        <w:numPr>
          <w:ilvl w:val="0"/>
          <w:numId w:val="3"/>
        </w:numPr>
        <w:spacing w:after="60" w:line="252"/>
      </w:pPr>
      <w:r>
        <w:rPr>
          <w:rFonts w:ascii="Times New Roman" w:cs="Times New Roman" w:eastAsia="Times New Roman" w:hAnsi="Times New Roman"/>
          <w:b/>
          <w:bCs/>
        </w:rPr>
        <w:t xml:space="preserve">Yield on opening cash resources:</w:t>
      </w:r>
      <w:r>
        <w:rPr>
          <w:rFonts w:ascii="Times New Roman" w:cs="Times New Roman" w:eastAsia="Times New Roman" w:hAnsi="Times New Roman"/>
        </w:rPr>
        <w:t xml:space="preserve"> 4.1% in FY2026E, 3.6% in FY2027E and 3.3% from FY2029E.</w:t>
      </w:r>
    </w:p>
    <w:p>
      <w:pPr>
        <w:pStyle w:val="ListParagraph"/>
        <w:numPr>
          <w:ilvl w:val="0"/>
          <w:numId w:val="3"/>
        </w:numPr>
        <w:spacing w:after="60" w:line="252"/>
      </w:pPr>
      <w:r>
        <w:rPr>
          <w:rFonts w:ascii="Times New Roman" w:cs="Times New Roman" w:eastAsia="Times New Roman" w:hAnsi="Times New Roman"/>
          <w:b/>
          <w:bCs/>
        </w:rPr>
        <w:t xml:space="preserve">Resulting income:</w:t>
      </w:r>
      <w:r>
        <w:rPr>
          <w:rFonts w:ascii="Times New Roman" w:cs="Times New Roman" w:eastAsia="Times New Roman" w:hAnsi="Times New Roman"/>
        </w:rPr>
        <w:t xml:space="preserve"> US$585m in FY2026E and US$501m in FY2027E.</w:t>
      </w:r>
    </w:p>
    <w:p>
      <w:pPr>
        <w:pStyle w:val="ListParagraph"/>
        <w:numPr>
          <w:ilvl w:val="0"/>
          <w:numId w:val="3"/>
        </w:numPr>
        <w:spacing w:after="60" w:line="252"/>
      </w:pPr>
      <w:r>
        <w:rPr>
          <w:rFonts w:ascii="Times New Roman" w:cs="Times New Roman" w:eastAsia="Times New Roman" w:hAnsi="Times New Roman"/>
          <w:b/>
          <w:bCs/>
        </w:rPr>
        <w:t xml:space="preserve">Share of profit:</w:t>
      </w:r>
      <w:r>
        <w:rPr>
          <w:rFonts w:ascii="Times New Roman" w:cs="Times New Roman" w:eastAsia="Times New Roman" w:hAnsi="Times New Roman"/>
        </w:rPr>
        <w:t xml:space="preserve"> interest income is about 27% of FY2027E adjusted pre-tax profit, which is why we discuss ex-cash multiples in the valuation.</w:t>
      </w:r>
    </w:p>
    <w:p>
      <w:pPr>
        <w:spacing w:after="120" w:line="264"/>
        <w:jc w:val="both"/>
      </w:pPr>
      <w:r>
        <w:rPr>
          <w:rFonts w:ascii="Times New Roman" w:cs="Times New Roman" w:eastAsia="Times New Roman" w:hAnsi="Times New Roman"/>
          <w:b/>
          <w:bCs/>
        </w:rPr>
        <w:t xml:space="preserve">Other items.</w:t>
      </w:r>
    </w:p>
    <w:p>
      <w:pPr>
        <w:pStyle w:val="ListParagraph"/>
        <w:numPr>
          <w:ilvl w:val="0"/>
          <w:numId w:val="3"/>
        </w:numPr>
        <w:spacing w:after="60" w:line="252"/>
      </w:pPr>
      <w:r>
        <w:rPr>
          <w:rFonts w:ascii="Times New Roman" w:cs="Times New Roman" w:eastAsia="Times New Roman" w:hAnsi="Times New Roman"/>
          <w:b/>
          <w:bCs/>
        </w:rPr>
        <w:t xml:space="preserve">Exchange gains/losses:</w:t>
      </w:r>
      <w:r>
        <w:rPr>
          <w:rFonts w:ascii="Times New Roman" w:cs="Times New Roman" w:eastAsia="Times New Roman" w:hAnsi="Times New Roman"/>
        </w:rPr>
        <w:t xml:space="preserve"> we forecast none beyond 1H26's reported US$151m loss.</w:t>
      </w:r>
    </w:p>
    <w:p>
      <w:pPr>
        <w:pStyle w:val="ListParagraph"/>
        <w:numPr>
          <w:ilvl w:val="0"/>
          <w:numId w:val="3"/>
        </w:numPr>
        <w:spacing w:after="60" w:line="252"/>
      </w:pPr>
      <w:r>
        <w:rPr>
          <w:rFonts w:ascii="Times New Roman" w:cs="Times New Roman" w:eastAsia="Times New Roman" w:hAnsi="Times New Roman"/>
          <w:b/>
          <w:bCs/>
        </w:rPr>
        <w:t xml:space="preserve">Associates:</w:t>
      </w:r>
      <w:r>
        <w:rPr>
          <w:rFonts w:ascii="Times New Roman" w:cs="Times New Roman" w:eastAsia="Times New Roman" w:hAnsi="Times New Roman"/>
        </w:rPr>
        <w:t xml:space="preserve"> no contribution.</w:t>
      </w:r>
    </w:p>
    <w:p>
      <w:pPr>
        <w:pStyle w:val="ListParagraph"/>
        <w:numPr>
          <w:ilvl w:val="0"/>
          <w:numId w:val="3"/>
        </w:numPr>
        <w:spacing w:after="60" w:line="252"/>
      </w:pPr>
      <w:r>
        <w:rPr>
          <w:rFonts w:ascii="Times New Roman" w:cs="Times New Roman" w:eastAsia="Times New Roman" w:hAnsi="Times New Roman"/>
          <w:b/>
          <w:bCs/>
        </w:rPr>
        <w:t xml:space="preserve">"Others, net":</w:t>
      </w:r>
      <w:r>
        <w:rPr>
          <w:rFonts w:ascii="Times New Roman" w:cs="Times New Roman" w:eastAsia="Times New Roman" w:hAnsi="Times New Roman"/>
        </w:rPr>
        <w:t xml:space="preserve"> a small negative line (lease interest and credit losses) of US$66-85m a year.</w:t>
      </w:r>
    </w:p>
    <w:p>
      <w:pPr>
        <w:spacing w:after="120" w:line="264"/>
        <w:jc w:val="both"/>
      </w:pPr>
      <w:r>
        <w:rPr>
          <w:rFonts w:ascii="Times New Roman" w:cs="Times New Roman" w:eastAsia="Times New Roman" w:hAnsi="Times New Roman"/>
          <w:b/>
          <w:bCs/>
        </w:rPr>
        <w:t xml:space="preserve">Tax.</w:t>
      </w:r>
      <w:r>
        <w:rPr>
          <w:rFonts w:ascii="Times New Roman" w:cs="Times New Roman" w:eastAsia="Times New Roman" w:hAnsi="Times New Roman"/>
        </w:rPr>
        <w:t xml:space="preserve"> 22% from FY2027E. FY2026E is 24.2%, reflecting the 1H26 rate and a 23% 2H26E assumption.</w:t>
      </w:r>
    </w:p>
    <w:p>
      <w:pPr>
        <w:spacing w:after="120" w:line="264"/>
        <w:jc w:val="both"/>
      </w:pPr>
      <w:r>
        <w:rPr>
          <w:rFonts w:ascii="Times New Roman" w:cs="Times New Roman" w:eastAsia="Times New Roman" w:hAnsi="Times New Roman"/>
          <w:b/>
          <w:bCs/>
        </w:rPr>
        <w:t xml:space="preserve">Share count.</w:t>
      </w:r>
    </w:p>
    <w:p>
      <w:pPr>
        <w:pStyle w:val="ListParagraph"/>
        <w:numPr>
          <w:ilvl w:val="0"/>
          <w:numId w:val="3"/>
        </w:numPr>
        <w:spacing w:after="60" w:line="252"/>
      </w:pPr>
      <w:r>
        <w:rPr>
          <w:rFonts w:ascii="Times New Roman" w:cs="Times New Roman" w:eastAsia="Times New Roman" w:hAnsi="Times New Roman"/>
          <w:b/>
          <w:bCs/>
        </w:rPr>
        <w:t xml:space="preserve">Diluted shares:</w:t>
      </w:r>
      <w:r>
        <w:rPr>
          <w:rFonts w:ascii="Times New Roman" w:cs="Times New Roman" w:eastAsia="Times New Roman" w:hAnsi="Times New Roman"/>
        </w:rPr>
        <w:t xml:space="preserve"> 4,419.2m, comprising 4,246.2m in issue after the IPO, 157.1m options with near-nil exercise prices and 15.9m RSUs.</w:t>
      </w:r>
    </w:p>
    <w:p>
      <w:pPr>
        <w:pStyle w:val="ListParagraph"/>
        <w:numPr>
          <w:ilvl w:val="0"/>
          <w:numId w:val="3"/>
        </w:numPr>
        <w:spacing w:after="60" w:line="252"/>
      </w:pPr>
      <w:r>
        <w:rPr>
          <w:rFonts w:ascii="Times New Roman" w:cs="Times New Roman" w:eastAsia="Times New Roman" w:hAnsi="Times New Roman"/>
          <w:b/>
          <w:bCs/>
        </w:rPr>
        <w:t xml:space="preserve">Dilution:</w:t>
      </w:r>
      <w:r>
        <w:rPr>
          <w:rFonts w:ascii="Times New Roman" w:cs="Times New Roman" w:eastAsia="Times New Roman" w:hAnsi="Times New Roman"/>
        </w:rPr>
        <w:t xml:space="preserve"> we add 0.5% a year from FY2027E for new equity awards.</w:t>
      </w:r>
    </w:p>
    <w:p>
      <w:pPr>
        <w:pStyle w:val="ListParagraph"/>
        <w:numPr>
          <w:ilvl w:val="0"/>
          <w:numId w:val="3"/>
        </w:numPr>
        <w:spacing w:after="60" w:line="252"/>
      </w:pPr>
      <w:r>
        <w:rPr>
          <w:rFonts w:ascii="Times New Roman" w:cs="Times New Roman" w:eastAsia="Times New Roman" w:hAnsi="Times New Roman"/>
          <w:b/>
          <w:bCs/>
        </w:rPr>
        <w:t xml:space="preserve">Share-base convention:</w:t>
      </w:r>
      <w:r>
        <w:rPr>
          <w:rFonts w:ascii="Times New Roman" w:cs="Times New Roman" w:eastAsia="Times New Roman" w:hAnsi="Times New Roman"/>
        </w:rPr>
        <w:t xml:space="preserve"> historical per-share figures are on the post-IPO share base for comparability.</w:t>
      </w:r>
    </w:p>
    <w:p>
      <w:pPr>
        <w:spacing w:after="120" w:line="264"/>
        <w:jc w:val="both"/>
      </w:pPr>
      <w:r>
        <w:rPr>
          <w:rFonts w:ascii="Times New Roman" w:cs="Times New Roman" w:eastAsia="Times New Roman" w:hAnsi="Times New Roman"/>
          <w:b/>
          <w:bCs/>
        </w:rPr>
        <w:t xml:space="preserve">Resulting per-share estimates.</w:t>
      </w:r>
    </w:p>
    <w:p>
      <w:pPr>
        <w:pStyle w:val="ListParagraph"/>
        <w:numPr>
          <w:ilvl w:val="0"/>
          <w:numId w:val="3"/>
        </w:numPr>
        <w:spacing w:after="60" w:line="252"/>
      </w:pPr>
      <w:r>
        <w:rPr>
          <w:rFonts w:ascii="Times New Roman" w:cs="Times New Roman" w:eastAsia="Times New Roman" w:hAnsi="Times New Roman"/>
          <w:b/>
          <w:bCs/>
        </w:rPr>
        <w:t xml:space="preserve">Adjusted diluted EPS:</w:t>
      </w:r>
      <w:r>
        <w:rPr>
          <w:rFonts w:ascii="Times New Roman" w:cs="Times New Roman" w:eastAsia="Times New Roman" w:hAnsi="Times New Roman"/>
        </w:rPr>
        <w:t xml:space="preserve"> HK$2.04 in FY2026E, HK$2.57 in FY2027E, HK$3.18 in FY2028E and HK$4.48 in FY2031E.</w:t>
      </w:r>
    </w:p>
    <w:p>
      <w:pPr>
        <w:pStyle w:val="ListParagraph"/>
        <w:numPr>
          <w:ilvl w:val="0"/>
          <w:numId w:val="3"/>
        </w:numPr>
        <w:spacing w:after="60" w:line="252"/>
      </w:pPr>
      <w:r>
        <w:rPr>
          <w:rFonts w:ascii="Times New Roman" w:cs="Times New Roman" w:eastAsia="Times New Roman" w:hAnsi="Times New Roman"/>
          <w:b/>
          <w:bCs/>
        </w:rPr>
        <w:t xml:space="preserve">IFRS diluted EPS:</w:t>
      </w:r>
      <w:r>
        <w:rPr>
          <w:rFonts w:ascii="Times New Roman" w:cs="Times New Roman" w:eastAsia="Times New Roman" w:hAnsi="Times New Roman"/>
        </w:rPr>
        <w:t xml:space="preserve"> FY2026E is distorted to US$1.57 by the fair-value gains.</w:t>
      </w:r>
    </w:p>
    <w:p>
      <w:pPr>
        <w:spacing w:after="120" w:line="264"/>
        <w:jc w:val="both"/>
      </w:pPr>
      <w:r>
        <w:rPr>
          <w:rFonts w:ascii="Times New Roman" w:cs="Times New Roman" w:eastAsia="Times New Roman" w:hAnsi="Times New Roman"/>
          <w:b/>
          <w:bCs/>
        </w:rPr>
        <w:t xml:space="preserve">Dividends.</w:t>
      </w:r>
      <w:r>
        <w:rPr>
          <w:rFonts w:ascii="Times New Roman" w:cs="Times New Roman" w:eastAsia="Times New Roman" w:hAnsi="Times New Roman"/>
        </w:rPr>
        <w:t xml:space="preserve"> We assume a 50% payout of adjusted net income, giving DPS of HK$1.02 for FY2026E (paid in 2027), HK$1.29 for FY2027E and HK$1.59 for FY2028E.</w:t>
      </w:r>
    </w:p>
    <w:p>
      <w:pPr>
        <w:pStyle w:val="Heading2"/>
        <w:keepNext/>
      </w:pPr>
      <w:bookmarkStart w:name="h_49" w:id="49"/>
      <w:r>
        <w:t xml:space="preserve">Where we differ from the market</w:t>
      </w:r>
      <w:bookmarkEnd w:id="49"/>
    </w:p>
    <w:p>
      <w:pPr>
        <w:spacing w:after="120" w:line="264"/>
        <w:jc w:val="both"/>
      </w:pPr>
      <w:r>
        <w:rPr>
          <w:rFonts w:ascii="Times New Roman" w:cs="Times New Roman" w:eastAsia="Times New Roman" w:hAnsi="Times New Roman"/>
        </w:rPr>
        <w:t xml:space="preserve">There is limited published sell-side coverage one month after listing, so we compare our estimates with the company's own guidance and the implied market narrative:</w:t>
      </w:r>
    </w:p>
    <w:p>
      <w:pPr>
        <w:pStyle w:val="ListParagraph"/>
        <w:numPr>
          <w:ilvl w:val="0"/>
          <w:numId w:val="3"/>
        </w:numPr>
        <w:spacing w:after="60" w:line="252"/>
      </w:pPr>
      <w:r>
        <w:rPr>
          <w:rFonts w:ascii="Times New Roman" w:cs="Times New Roman" w:eastAsia="Times New Roman" w:hAnsi="Times New Roman"/>
          <w:b/>
          <w:bCs/>
        </w:rPr>
        <w:t xml:space="preserve">2H26 profitability.</w:t>
      </w:r>
      <w:r>
        <w:rPr>
          <w:rFonts w:ascii="Times New Roman" w:cs="Times New Roman" w:eastAsia="Times New Roman" w:hAnsi="Times New Roman"/>
        </w:rPr>
        <w:t xml:space="preserve"> Management is "cautiously optimistic" about 2H26 adjusted net income and expects the operating environment to remain challenging. Our 2H26E adjusted net income of US$651m (3.0% margin) is above 1H26's US$499m but well below 2H25's US$693m. In our view this is a prudent reading of that guidance.</w:t>
      </w:r>
    </w:p>
    <w:p>
      <w:pPr>
        <w:pStyle w:val="ListParagraph"/>
        <w:numPr>
          <w:ilvl w:val="0"/>
          <w:numId w:val="3"/>
        </w:numPr>
        <w:spacing w:after="60" w:line="252"/>
      </w:pPr>
      <w:r>
        <w:rPr>
          <w:rFonts w:ascii="Times New Roman" w:cs="Times New Roman" w:eastAsia="Times New Roman" w:hAnsi="Times New Roman"/>
          <w:b/>
          <w:bCs/>
        </w:rPr>
        <w:t xml:space="preserve">Long-term margins.</w:t>
      </w:r>
      <w:r>
        <w:rPr>
          <w:rFonts w:ascii="Times New Roman" w:cs="Times New Roman" w:eastAsia="Times New Roman" w:hAnsi="Times New Roman"/>
        </w:rPr>
        <w:t xml:space="preserve"> At HK$30.84, the market price implies SHEIN will never recover to its historical operating margins. We estimate the current price is consistent with a steady-state EBIT margin of about 1.5-2% and no growth. Our base case assumes margins recover to around the FY2023/FY2025 levels by FY2029E, and no further.</w:t>
      </w:r>
    </w:p>
    <w:p>
      <w:pPr>
        <w:pStyle w:val="Heading1"/>
        <w:keepNext/>
        <w:pageBreakBefore/>
      </w:pPr>
      <w:bookmarkStart w:name="h_50" w:id="50"/>
      <w:r>
        <w:t xml:space="preserve">Scenario Analysis</w:t>
      </w:r>
      <w:bookmarkEnd w:id="50"/>
    </w:p>
    <w:p>
      <w:pPr>
        <w:spacing w:after="120" w:line="264"/>
        <w:jc w:val="both"/>
      </w:pPr>
      <w:r>
        <w:rPr>
          <w:rFonts w:ascii="Times New Roman" w:cs="Times New Roman" w:eastAsia="Times New Roman" w:hAnsi="Times New Roman"/>
        </w:rPr>
        <w:t xml:space="preserve">SHEIN's equity value is unusually sensitive to two questions: whether Europe follows the US path after the duty change, and how much of the 2Q26 margin compression reverses. We therefore run three complete scenarios through the model. A single selector on the Scenarios tab switches every FY2027E-FY2031E driver, and every scenario re-runs the three statements, the DCF and the P/E valuation. Each scenario passes all of the model's integrity checks, including balance-sheet balance and cash reconciliation. The 2H26E assumptions are common to all three cases because that half-year is already under way.</w:t>
      </w:r>
    </w:p>
    <w:p>
      <w:pPr>
        <w:pStyle w:val="Heading2"/>
        <w:keepNext/>
      </w:pPr>
      <w:bookmarkStart w:name="h_51" w:id="51"/>
      <w:r>
        <w:t xml:space="preserve">Scenario definitions</w:t>
      </w:r>
      <w:bookmarkEnd w:id="51"/>
    </w:p>
    <w:p>
      <w:pPr>
        <w:spacing w:after="120" w:line="264"/>
        <w:jc w:val="both"/>
      </w:pPr>
      <w:r>
        <w:rPr>
          <w:rFonts w:ascii="Times New Roman" w:cs="Times New Roman" w:eastAsia="Times New Roman" w:hAnsi="Times New Roman"/>
          <w:b/>
          <w:bCs/>
        </w:rPr>
        <w:t xml:space="preserve">Bull case: "Europe follows the US, and freight normalises."</w:t>
      </w:r>
    </w:p>
    <w:p>
      <w:pPr>
        <w:pStyle w:val="ListParagraph"/>
        <w:numPr>
          <w:ilvl w:val="0"/>
          <w:numId w:val="3"/>
        </w:numPr>
        <w:spacing w:after="60" w:line="252"/>
      </w:pPr>
      <w:r>
        <w:rPr>
          <w:rFonts w:ascii="Times New Roman" w:cs="Times New Roman" w:eastAsia="Times New Roman" w:hAnsi="Times New Roman"/>
          <w:b/>
          <w:bCs/>
        </w:rPr>
        <w:t xml:space="preserve">Revenue.</w:t>
      </w:r>
    </w:p>
    <w:p>
      <w:pPr>
        <w:pStyle w:val="ListParagraph"/>
        <w:numPr>
          <w:ilvl w:val="1"/>
          <w:numId w:val="3"/>
        </w:numPr>
        <w:spacing w:after="60" w:line="252"/>
      </w:pPr>
      <w:r>
        <w:rPr>
          <w:rFonts w:ascii="Times New Roman" w:cs="Times New Roman" w:eastAsia="Times New Roman" w:hAnsi="Times New Roman"/>
        </w:rPr>
        <w:t xml:space="preserve">Europe returns to growth in FY2027E (+2%) as local warehousing offsets the €3 duty, then grows 6%.</w:t>
      </w:r>
    </w:p>
    <w:p>
      <w:pPr>
        <w:pStyle w:val="ListParagraph"/>
        <w:numPr>
          <w:ilvl w:val="1"/>
          <w:numId w:val="3"/>
        </w:numPr>
        <w:spacing w:after="60" w:line="252"/>
      </w:pPr>
      <w:r>
        <w:rPr>
          <w:rFonts w:ascii="Times New Roman" w:cs="Times New Roman" w:eastAsia="Times New Roman" w:hAnsi="Times New Roman"/>
        </w:rPr>
        <w:t xml:space="preserve">The US recovers to +5%.</w:t>
      </w:r>
    </w:p>
    <w:p>
      <w:pPr>
        <w:pStyle w:val="ListParagraph"/>
        <w:numPr>
          <w:ilvl w:val="1"/>
          <w:numId w:val="3"/>
        </w:numPr>
        <w:spacing w:after="60" w:line="252"/>
      </w:pPr>
      <w:r>
        <w:rPr>
          <w:rFonts w:ascii="Times New Roman" w:cs="Times New Roman" w:eastAsia="Times New Roman" w:hAnsi="Times New Roman"/>
        </w:rPr>
        <w:t xml:space="preserve">The rest of the world grows 16% in FY2027E, fading to 9%.</w:t>
      </w:r>
    </w:p>
    <w:p>
      <w:pPr>
        <w:pStyle w:val="ListParagraph"/>
        <w:numPr>
          <w:ilvl w:val="0"/>
          <w:numId w:val="3"/>
        </w:numPr>
        <w:spacing w:after="60" w:line="252"/>
      </w:pPr>
      <w:r>
        <w:rPr>
          <w:rFonts w:ascii="Times New Roman" w:cs="Times New Roman" w:eastAsia="Times New Roman" w:hAnsi="Times New Roman"/>
          <w:b/>
          <w:bCs/>
        </w:rPr>
        <w:t xml:space="preserve">Costs.</w:t>
      </w:r>
    </w:p>
    <w:p>
      <w:pPr>
        <w:pStyle w:val="ListParagraph"/>
        <w:numPr>
          <w:ilvl w:val="1"/>
          <w:numId w:val="3"/>
        </w:numPr>
        <w:spacing w:after="60" w:line="252"/>
      </w:pPr>
      <w:r>
        <w:rPr>
          <w:rFonts w:ascii="Times New Roman" w:cs="Times New Roman" w:eastAsia="Times New Roman" w:hAnsi="Times New Roman"/>
        </w:rPr>
        <w:t xml:space="preserve">Fulfilment falls to 49.8% of revenue in FY2027E and 49.3% by FY2031E.</w:t>
      </w:r>
    </w:p>
    <w:p>
      <w:pPr>
        <w:pStyle w:val="ListParagraph"/>
        <w:numPr>
          <w:ilvl w:val="1"/>
          <w:numId w:val="3"/>
        </w:numPr>
        <w:spacing w:after="60" w:line="252"/>
      </w:pPr>
      <w:r>
        <w:rPr>
          <w:rFonts w:ascii="Times New Roman" w:cs="Times New Roman" w:eastAsia="Times New Roman" w:hAnsi="Times New Roman"/>
        </w:rPr>
        <w:t xml:space="preserve">Marketing eases to 12.8%.</w:t>
      </w:r>
    </w:p>
    <w:p>
      <w:pPr>
        <w:pStyle w:val="ListParagraph"/>
        <w:numPr>
          <w:ilvl w:val="1"/>
          <w:numId w:val="3"/>
        </w:numPr>
        <w:spacing w:after="60" w:line="252"/>
      </w:pPr>
      <w:r>
        <w:rPr>
          <w:rFonts w:ascii="Times New Roman" w:cs="Times New Roman" w:eastAsia="Times New Roman" w:hAnsi="Times New Roman"/>
        </w:rPr>
        <w:t xml:space="preserve">Higher price points lift product margins.</w:t>
      </w:r>
    </w:p>
    <w:p>
      <w:pPr>
        <w:pStyle w:val="ListParagraph"/>
        <w:numPr>
          <w:ilvl w:val="0"/>
          <w:numId w:val="3"/>
        </w:numPr>
        <w:spacing w:after="60" w:line="252"/>
      </w:pPr>
      <w:r>
        <w:rPr>
          <w:rFonts w:ascii="Times New Roman" w:cs="Times New Roman" w:eastAsia="Times New Roman" w:hAnsi="Times New Roman"/>
          <w:b/>
          <w:bCs/>
        </w:rPr>
        <w:t xml:space="preserve">Outcome.</w:t>
      </w:r>
      <w:r>
        <w:rPr>
          <w:rFonts w:ascii="Times New Roman" w:cs="Times New Roman" w:eastAsia="Times New Roman" w:hAnsi="Times New Roman"/>
        </w:rPr>
        <w:t xml:space="preserve"> Revenue CAGR is 8.6% (FY2026E-31E) and the adjusted EBIT margin reaches 6.6% by FY2031E, still well below Inditex's.</w:t>
      </w:r>
    </w:p>
    <w:p>
      <w:pPr>
        <w:spacing w:after="120" w:line="264"/>
        <w:jc w:val="both"/>
      </w:pPr>
      <w:r>
        <w:rPr>
          <w:rFonts w:ascii="Times New Roman" w:cs="Times New Roman" w:eastAsia="Times New Roman" w:hAnsi="Times New Roman"/>
          <w:b/>
          <w:bCs/>
        </w:rPr>
        <w:t xml:space="preserve">Base case: "A slow grind back to historical margins."</w:t>
      </w:r>
    </w:p>
    <w:p>
      <w:pPr>
        <w:pStyle w:val="ListParagraph"/>
        <w:numPr>
          <w:ilvl w:val="0"/>
          <w:numId w:val="3"/>
        </w:numPr>
        <w:spacing w:after="60" w:line="252"/>
      </w:pPr>
      <w:r>
        <w:rPr>
          <w:rFonts w:ascii="Times New Roman" w:cs="Times New Roman" w:eastAsia="Times New Roman" w:hAnsi="Times New Roman"/>
          <w:b/>
          <w:bCs/>
        </w:rPr>
        <w:t xml:space="preserve">Revenue.</w:t>
      </w:r>
    </w:p>
    <w:p>
      <w:pPr>
        <w:pStyle w:val="ListParagraph"/>
        <w:numPr>
          <w:ilvl w:val="1"/>
          <w:numId w:val="3"/>
        </w:numPr>
        <w:spacing w:after="60" w:line="252"/>
      </w:pPr>
      <w:r>
        <w:rPr>
          <w:rFonts w:ascii="Times New Roman" w:cs="Times New Roman" w:eastAsia="Times New Roman" w:hAnsi="Times New Roman"/>
        </w:rPr>
        <w:t xml:space="preserve">Europe declines 4% in FY2027E as it laps the pre-duty first half, then grows 4-5%.</w:t>
      </w:r>
    </w:p>
    <w:p>
      <w:pPr>
        <w:pStyle w:val="ListParagraph"/>
        <w:numPr>
          <w:ilvl w:val="1"/>
          <w:numId w:val="3"/>
        </w:numPr>
        <w:spacing w:after="60" w:line="252"/>
      </w:pPr>
      <w:r>
        <w:rPr>
          <w:rFonts w:ascii="Times New Roman" w:cs="Times New Roman" w:eastAsia="Times New Roman" w:hAnsi="Times New Roman"/>
        </w:rPr>
        <w:t xml:space="preserve">The US grows 2-4%.</w:t>
      </w:r>
    </w:p>
    <w:p>
      <w:pPr>
        <w:pStyle w:val="ListParagraph"/>
        <w:numPr>
          <w:ilvl w:val="1"/>
          <w:numId w:val="3"/>
        </w:numPr>
        <w:spacing w:after="60" w:line="252"/>
      </w:pPr>
      <w:r>
        <w:rPr>
          <w:rFonts w:ascii="Times New Roman" w:cs="Times New Roman" w:eastAsia="Times New Roman" w:hAnsi="Times New Roman"/>
        </w:rPr>
        <w:t xml:space="preserve">The rest of the world grows 12% fading to 7%.</w:t>
      </w:r>
    </w:p>
    <w:p>
      <w:pPr>
        <w:pStyle w:val="ListParagraph"/>
        <w:numPr>
          <w:ilvl w:val="0"/>
          <w:numId w:val="3"/>
        </w:numPr>
        <w:spacing w:after="60" w:line="252"/>
      </w:pPr>
      <w:r>
        <w:rPr>
          <w:rFonts w:ascii="Times New Roman" w:cs="Times New Roman" w:eastAsia="Times New Roman" w:hAnsi="Times New Roman"/>
          <w:b/>
          <w:bCs/>
        </w:rPr>
        <w:t xml:space="preserve">Costs.</w:t>
      </w:r>
    </w:p>
    <w:p>
      <w:pPr>
        <w:pStyle w:val="ListParagraph"/>
        <w:numPr>
          <w:ilvl w:val="1"/>
          <w:numId w:val="3"/>
        </w:numPr>
        <w:spacing w:after="60" w:line="252"/>
      </w:pPr>
      <w:r>
        <w:rPr>
          <w:rFonts w:ascii="Times New Roman" w:cs="Times New Roman" w:eastAsia="Times New Roman" w:hAnsi="Times New Roman"/>
        </w:rPr>
        <w:t xml:space="preserve">Fulfilment is 50.5% of revenue in FY2027E, easing to 50.0%.</w:t>
      </w:r>
    </w:p>
    <w:p>
      <w:pPr>
        <w:pStyle w:val="ListParagraph"/>
        <w:numPr>
          <w:ilvl w:val="1"/>
          <w:numId w:val="3"/>
        </w:numPr>
        <w:spacing w:after="60" w:line="252"/>
      </w:pPr>
      <w:r>
        <w:rPr>
          <w:rFonts w:ascii="Times New Roman" w:cs="Times New Roman" w:eastAsia="Times New Roman" w:hAnsi="Times New Roman"/>
        </w:rPr>
        <w:t xml:space="preserve">Marketing eases to 13.2%.</w:t>
      </w:r>
    </w:p>
    <w:p>
      <w:pPr>
        <w:pStyle w:val="ListParagraph"/>
        <w:numPr>
          <w:ilvl w:val="0"/>
          <w:numId w:val="3"/>
        </w:numPr>
        <w:spacing w:after="60" w:line="252"/>
      </w:pPr>
      <w:r>
        <w:rPr>
          <w:rFonts w:ascii="Times New Roman" w:cs="Times New Roman" w:eastAsia="Times New Roman" w:hAnsi="Times New Roman"/>
          <w:b/>
          <w:bCs/>
        </w:rPr>
        <w:t xml:space="preserve">Outcome.</w:t>
      </w:r>
      <w:r>
        <w:rPr>
          <w:rFonts w:ascii="Times New Roman" w:cs="Times New Roman" w:eastAsia="Times New Roman" w:hAnsi="Times New Roman"/>
        </w:rPr>
        <w:t xml:space="preserve"> Revenue CAGR is 6.1% and the adjusted EBIT margin reaches 4.9% by FY2031E, around the FY2023/FY2025 level.</w:t>
      </w:r>
    </w:p>
    <w:p>
      <w:pPr>
        <w:spacing w:after="120" w:line="264"/>
        <w:jc w:val="both"/>
      </w:pPr>
      <w:r>
        <w:rPr>
          <w:rFonts w:ascii="Times New Roman" w:cs="Times New Roman" w:eastAsia="Times New Roman" w:hAnsi="Times New Roman"/>
          <w:b/>
          <w:bCs/>
        </w:rPr>
        <w:t xml:space="preserve">Bear case: "Europe breaks, and margins stay at the trough."</w:t>
      </w:r>
    </w:p>
    <w:p>
      <w:pPr>
        <w:pStyle w:val="ListParagraph"/>
        <w:numPr>
          <w:ilvl w:val="0"/>
          <w:numId w:val="3"/>
        </w:numPr>
        <w:spacing w:after="60" w:line="252"/>
      </w:pPr>
      <w:r>
        <w:rPr>
          <w:rFonts w:ascii="Times New Roman" w:cs="Times New Roman" w:eastAsia="Times New Roman" w:hAnsi="Times New Roman"/>
          <w:b/>
          <w:bCs/>
        </w:rPr>
        <w:t xml:space="preserve">Revenue.</w:t>
      </w:r>
    </w:p>
    <w:p>
      <w:pPr>
        <w:pStyle w:val="ListParagraph"/>
        <w:numPr>
          <w:ilvl w:val="1"/>
          <w:numId w:val="3"/>
        </w:numPr>
        <w:spacing w:after="60" w:line="252"/>
      </w:pPr>
      <w:r>
        <w:rPr>
          <w:rFonts w:ascii="Times New Roman" w:cs="Times New Roman" w:eastAsia="Times New Roman" w:hAnsi="Times New Roman"/>
        </w:rPr>
        <w:t xml:space="preserve">Europe falls another 10% in FY2027E and grows only 3% thereafter.</w:t>
      </w:r>
    </w:p>
    <w:p>
      <w:pPr>
        <w:pStyle w:val="ListParagraph"/>
        <w:numPr>
          <w:ilvl w:val="1"/>
          <w:numId w:val="3"/>
        </w:numPr>
        <w:spacing w:after="60" w:line="252"/>
      </w:pPr>
      <w:r>
        <w:rPr>
          <w:rFonts w:ascii="Times New Roman" w:cs="Times New Roman" w:eastAsia="Times New Roman" w:hAnsi="Times New Roman"/>
        </w:rPr>
        <w:t xml:space="preserve">The US declines 4% in FY2027E.</w:t>
      </w:r>
    </w:p>
    <w:p>
      <w:pPr>
        <w:pStyle w:val="ListParagraph"/>
        <w:numPr>
          <w:ilvl w:val="1"/>
          <w:numId w:val="3"/>
        </w:numPr>
        <w:spacing w:after="60" w:line="252"/>
      </w:pPr>
      <w:r>
        <w:rPr>
          <w:rFonts w:ascii="Times New Roman" w:cs="Times New Roman" w:eastAsia="Times New Roman" w:hAnsi="Times New Roman"/>
        </w:rPr>
        <w:t xml:space="preserve">Rest-of-world growth slows to 8% and then 4%.</w:t>
      </w:r>
    </w:p>
    <w:p>
      <w:pPr>
        <w:pStyle w:val="ListParagraph"/>
        <w:numPr>
          <w:ilvl w:val="0"/>
          <w:numId w:val="3"/>
        </w:numPr>
        <w:spacing w:after="60" w:line="252"/>
      </w:pPr>
      <w:r>
        <w:rPr>
          <w:rFonts w:ascii="Times New Roman" w:cs="Times New Roman" w:eastAsia="Times New Roman" w:hAnsi="Times New Roman"/>
          <w:b/>
          <w:bCs/>
        </w:rPr>
        <w:t xml:space="preserve">Costs.</w:t>
      </w:r>
    </w:p>
    <w:p>
      <w:pPr>
        <w:pStyle w:val="ListParagraph"/>
        <w:numPr>
          <w:ilvl w:val="1"/>
          <w:numId w:val="3"/>
        </w:numPr>
        <w:spacing w:after="60" w:line="252"/>
      </w:pPr>
      <w:r>
        <w:rPr>
          <w:rFonts w:ascii="Times New Roman" w:cs="Times New Roman" w:eastAsia="Times New Roman" w:hAnsi="Times New Roman"/>
        </w:rPr>
        <w:t xml:space="preserve">Fulfilment stays above 50.8% of revenue.</w:t>
      </w:r>
    </w:p>
    <w:p>
      <w:pPr>
        <w:pStyle w:val="ListParagraph"/>
        <w:numPr>
          <w:ilvl w:val="1"/>
          <w:numId w:val="3"/>
        </w:numPr>
        <w:spacing w:after="60" w:line="252"/>
      </w:pPr>
      <w:r>
        <w:rPr>
          <w:rFonts w:ascii="Times New Roman" w:cs="Times New Roman" w:eastAsia="Times New Roman" w:hAnsi="Times New Roman"/>
        </w:rPr>
        <w:t xml:space="preserve">Marketing stays at 13.6-13.8%.</w:t>
      </w:r>
    </w:p>
    <w:p>
      <w:pPr>
        <w:pStyle w:val="ListParagraph"/>
        <w:numPr>
          <w:ilvl w:val="1"/>
          <w:numId w:val="3"/>
        </w:numPr>
        <w:spacing w:after="60" w:line="252"/>
      </w:pPr>
      <w:r>
        <w:rPr>
          <w:rFonts w:ascii="Times New Roman" w:cs="Times New Roman" w:eastAsia="Times New Roman" w:hAnsi="Times New Roman"/>
        </w:rPr>
        <w:t xml:space="preserve">Customer growth slows to 2-3%.</w:t>
      </w:r>
    </w:p>
    <w:p>
      <w:pPr>
        <w:pStyle w:val="ListParagraph"/>
        <w:numPr>
          <w:ilvl w:val="0"/>
          <w:numId w:val="3"/>
        </w:numPr>
        <w:spacing w:after="60" w:line="252"/>
      </w:pPr>
      <w:r>
        <w:rPr>
          <w:rFonts w:ascii="Times New Roman" w:cs="Times New Roman" w:eastAsia="Times New Roman" w:hAnsi="Times New Roman"/>
          <w:b/>
          <w:bCs/>
        </w:rPr>
        <w:t xml:space="preserve">Outcome.</w:t>
      </w:r>
      <w:r>
        <w:rPr>
          <w:rFonts w:ascii="Times New Roman" w:cs="Times New Roman" w:eastAsia="Times New Roman" w:hAnsi="Times New Roman"/>
        </w:rPr>
        <w:t xml:space="preserve"> Revenue CAGR is 2.8% and the adjusted EBIT margin is 1.8% in FY2027E and 3.0% by FY2031E, close to the 1H26 trough.</w:t>
      </w:r>
    </w:p>
    <w:p>
      <w:pPr>
        <w:keepNext/>
        <w:spacing w:after="60" w:before="160"/>
      </w:pPr>
      <w:r>
        <w:rPr>
          <w:rFonts w:ascii="Times New Roman" w:cs="Times New Roman" w:eastAsia="Times New Roman" w:hAnsi="Times New Roman"/>
          <w:b/>
          <w:bCs/>
          <w:color w:val="1F3A5F"/>
          <w:sz w:val="18"/>
          <w:szCs w:val="18"/>
        </w:rPr>
        <w:t xml:space="preserve">Figure 38: </w:t>
      </w:r>
      <w:r>
        <w:rPr>
          <w:rFonts w:ascii="Times New Roman" w:cs="Times New Roman" w:eastAsia="Times New Roman" w:hAnsi="Times New Roman"/>
          <w:b/>
          <w:bCs/>
          <w:color w:val="1F3A5F"/>
          <w:sz w:val="18"/>
          <w:szCs w:val="18"/>
        </w:rPr>
        <w:t xml:space="preserve">Scenario assumptions (FY2027E and FY2031E)</w:t>
      </w:r>
    </w:p>
    <w:tbl>
      <w:tblPr>
        <w:tblW w:type="dxa" w:w="927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1066"/>
        <w:gridCol w:w="1066"/>
        <w:gridCol w:w="1066"/>
        <w:gridCol w:w="1066"/>
        <w:gridCol w:w="1066"/>
        <w:gridCol w:w="1066"/>
      </w:tblGrid>
      <w:tr>
        <w:trPr>
          <w:cantSplit/>
          <w:tblHeader/>
        </w:trPr>
        <w:tc>
          <w:tcPr>
            <w:tcW w:type="dxa" w:w="288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Driver</w:t>
            </w:r>
          </w:p>
        </w:tc>
        <w:tc>
          <w:tcPr>
            <w:tcW w:type="dxa" w:w="106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Bull 27E</w:t>
            </w:r>
          </w:p>
        </w:tc>
        <w:tc>
          <w:tcPr>
            <w:tcW w:type="dxa" w:w="106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Base 27E</w:t>
            </w:r>
          </w:p>
        </w:tc>
        <w:tc>
          <w:tcPr>
            <w:tcW w:type="dxa" w:w="106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Bear 27E</w:t>
            </w:r>
          </w:p>
        </w:tc>
        <w:tc>
          <w:tcPr>
            <w:tcW w:type="dxa" w:w="106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Bull 31E</w:t>
            </w:r>
          </w:p>
        </w:tc>
        <w:tc>
          <w:tcPr>
            <w:tcW w:type="dxa" w:w="106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Base 31E</w:t>
            </w:r>
          </w:p>
        </w:tc>
        <w:tc>
          <w:tcPr>
            <w:tcW w:type="dxa" w:w="106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Bear 31E</w:t>
            </w:r>
          </w:p>
        </w:tc>
      </w:tr>
      <w:tr>
        <w:trPr>
          <w:cantSplit/>
        </w:trPr>
        <w:tc>
          <w:tcPr>
            <w:tcW w:type="dxa" w:w="28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 growth</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w:t>
            </w:r>
          </w:p>
        </w:tc>
      </w:tr>
      <w:tr>
        <w:trPr>
          <w:cantSplit/>
        </w:trPr>
        <w:tc>
          <w:tcPr>
            <w:tcW w:type="dxa" w:w="28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Europe growth</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(10.0%)</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6.0%</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w:t>
            </w:r>
          </w:p>
        </w:tc>
      </w:tr>
      <w:tr>
        <w:trPr>
          <w:cantSplit/>
        </w:trPr>
        <w:tc>
          <w:tcPr>
            <w:tcW w:type="dxa" w:w="28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Rest-of-world growth</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w:t>
            </w:r>
          </w:p>
        </w:tc>
      </w:tr>
      <w:tr>
        <w:trPr>
          <w:cantSplit/>
        </w:trPr>
        <w:tc>
          <w:tcPr>
            <w:tcW w:type="dxa" w:w="28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COGS % product revenue</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34.0%</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34.3%</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34.6%</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33.5%</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34.0%</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34.6%</w:t>
            </w:r>
          </w:p>
        </w:tc>
      </w:tr>
      <w:tr>
        <w:trPr>
          <w:cantSplit/>
        </w:trPr>
        <w:tc>
          <w:tcPr>
            <w:tcW w:type="dxa" w:w="28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Fulfilment % revenue</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49.8%</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50.5%</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51.2%</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49.3%</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50.8%</w:t>
            </w:r>
          </w:p>
        </w:tc>
      </w:tr>
      <w:tr>
        <w:trPr>
          <w:cantSplit/>
        </w:trPr>
        <w:tc>
          <w:tcPr>
            <w:tcW w:type="dxa" w:w="28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Marketing % revenue</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13.3%</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13.5%</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13.8%</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12.8%</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13.2%</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13.6%</w:t>
            </w:r>
          </w:p>
        </w:tc>
      </w:tr>
      <w:tr>
        <w:trPr>
          <w:cantSplit/>
        </w:trPr>
        <w:tc>
          <w:tcPr>
            <w:tcW w:type="dxa" w:w="28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Tech &amp; content % revenue</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w:t>
            </w:r>
          </w:p>
        </w:tc>
      </w:tr>
      <w:tr>
        <w:trPr>
          <w:cantSplit/>
        </w:trPr>
        <w:tc>
          <w:tcPr>
            <w:tcW w:type="dxa" w:w="28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G&amp;A % revenue</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w:t>
            </w:r>
          </w:p>
        </w:tc>
      </w:tr>
      <w:tr>
        <w:trPr>
          <w:cantSplit/>
        </w:trPr>
        <w:tc>
          <w:tcPr>
            <w:tcW w:type="dxa" w:w="2880"/>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Active customer growth</w:t>
            </w:r>
          </w:p>
        </w:tc>
        <w:tc>
          <w:tcPr>
            <w:tcW w:type="dxa" w:w="106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8.0%</w:t>
            </w:r>
          </w:p>
        </w:tc>
        <w:tc>
          <w:tcPr>
            <w:tcW w:type="dxa" w:w="106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6.0%</w:t>
            </w:r>
          </w:p>
        </w:tc>
        <w:tc>
          <w:tcPr>
            <w:tcW w:type="dxa" w:w="106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3.0%</w:t>
            </w:r>
          </w:p>
        </w:tc>
        <w:tc>
          <w:tcPr>
            <w:tcW w:type="dxa" w:w="106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5.0%</w:t>
            </w:r>
          </w:p>
        </w:tc>
        <w:tc>
          <w:tcPr>
            <w:tcW w:type="dxa" w:w="106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3.5%</w:t>
            </w:r>
          </w:p>
        </w:tc>
        <w:tc>
          <w:tcPr>
            <w:tcW w:type="dxa" w:w="106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2.0%</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pStyle w:val="Heading2"/>
        <w:keepNext/>
      </w:pPr>
      <w:bookmarkStart w:name="h_52" w:id="52"/>
      <w:r>
        <w:t xml:space="preserve">Scenario outputs</w:t>
      </w:r>
      <w:bookmarkEnd w:id="52"/>
    </w:p>
    <w:p>
      <w:pPr>
        <w:spacing w:after="120" w:line="264"/>
        <w:jc w:val="both"/>
      </w:pPr>
      <w:r>
        <w:rPr>
          <w:rFonts w:ascii="Times New Roman" w:cs="Times New Roman" w:eastAsia="Times New Roman" w:hAnsi="Times New Roman"/>
        </w:rPr>
        <w:t xml:space="preserve">The scenario spread is wide in earnings terms but narrow at the bottom end in valuation terms:</w:t>
      </w:r>
    </w:p>
    <w:p>
      <w:pPr>
        <w:pStyle w:val="ListParagraph"/>
        <w:numPr>
          <w:ilvl w:val="0"/>
          <w:numId w:val="3"/>
        </w:numPr>
        <w:spacing w:after="60" w:line="252"/>
      </w:pPr>
      <w:r>
        <w:rPr>
          <w:rFonts w:ascii="Times New Roman" w:cs="Times New Roman" w:eastAsia="Times New Roman" w:hAnsi="Times New Roman"/>
          <w:b/>
          <w:bCs/>
        </w:rPr>
        <w:t xml:space="preserve">FY2027E adjusted EPS</w:t>
      </w:r>
      <w:r>
        <w:rPr>
          <w:rFonts w:ascii="Times New Roman" w:cs="Times New Roman" w:eastAsia="Times New Roman" w:hAnsi="Times New Roman"/>
        </w:rPr>
        <w:t xml:space="preserve"> ranges from HK$1.65 (bear) to HK$3.50 (bull), a spread of more than 2x around our HK$2.57 base case.</w:t>
      </w:r>
    </w:p>
    <w:p>
      <w:pPr>
        <w:pStyle w:val="ListParagraph"/>
        <w:numPr>
          <w:ilvl w:val="0"/>
          <w:numId w:val="3"/>
        </w:numPr>
        <w:spacing w:after="60" w:line="252"/>
      </w:pPr>
      <w:r>
        <w:rPr>
          <w:rFonts w:ascii="Times New Roman" w:cs="Times New Roman" w:eastAsia="Times New Roman" w:hAnsi="Times New Roman"/>
          <w:b/>
          <w:bCs/>
        </w:rPr>
        <w:t xml:space="preserve">Blended value</w:t>
      </w:r>
      <w:r>
        <w:rPr>
          <w:rFonts w:ascii="Times New Roman" w:cs="Times New Roman" w:eastAsia="Times New Roman" w:hAnsi="Times New Roman"/>
        </w:rPr>
        <w:t xml:space="preserve"> ranges only from HK$29.64 to HK$61.32 per share. About HK$20 per share of net cash, after our US$2.5bn of haircuts, is common to all three cases.</w:t>
      </w:r>
    </w:p>
    <w:p>
      <w:pPr>
        <w:spacing w:after="120" w:line="264"/>
        <w:jc w:val="both"/>
      </w:pPr>
      <w:r>
        <w:rPr>
          <w:rFonts w:ascii="Times New Roman" w:cs="Times New Roman" w:eastAsia="Times New Roman" w:hAnsi="Times New Roman"/>
        </w:rPr>
        <w:t xml:space="preserve">The bear-case value is 4% below the current share price. The base case is 47% above and the bull case 99% above. We regard this asymmetry as the central feature of the investment case.</w:t>
      </w:r>
    </w:p>
    <w:p>
      <w:pPr>
        <w:spacing w:after="120" w:line="264"/>
        <w:jc w:val="both"/>
      </w:pPr>
      <w:r>
        <w:rPr>
          <w:rFonts w:ascii="Times New Roman" w:cs="Times New Roman" w:eastAsia="Times New Roman" w:hAnsi="Times New Roman"/>
        </w:rPr>
        <w:t xml:space="preserve">Cumulative unlevered free cash flow over 2H26E-FY2031E ranges from US$3.4bn in the bear case to US$12.8bn in the bull case. Even in the bear case, SHEIN generates enough cash to fund its 50% dividend policy without drawing down the balance sheet.</w:t>
      </w:r>
    </w:p>
    <w:p>
      <w:pPr>
        <w:keepNext/>
        <w:spacing w:after="60" w:before="160"/>
      </w:pPr>
      <w:r>
        <w:rPr>
          <w:rFonts w:ascii="Times New Roman" w:cs="Times New Roman" w:eastAsia="Times New Roman" w:hAnsi="Times New Roman"/>
          <w:b/>
          <w:bCs/>
          <w:color w:val="1F3A5F"/>
          <w:sz w:val="18"/>
          <w:szCs w:val="18"/>
        </w:rPr>
        <w:t xml:space="preserve">Figure 39: </w:t>
      </w:r>
      <w:r>
        <w:rPr>
          <w:rFonts w:ascii="Times New Roman" w:cs="Times New Roman" w:eastAsia="Times New Roman" w:hAnsi="Times New Roman"/>
          <w:b/>
          <w:bCs/>
          <w:color w:val="1F3A5F"/>
          <w:sz w:val="18"/>
          <w:szCs w:val="18"/>
        </w:rPr>
        <w:t xml:space="preserve">Scenario outputs (full-model re-runs)</w:t>
      </w:r>
    </w:p>
    <w:tbl>
      <w:tblPr>
        <w:tblW w:type="dxa" w:w="921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32"/>
        <w:gridCol w:w="1728"/>
        <w:gridCol w:w="1728"/>
        <w:gridCol w:w="1728"/>
      </w:tblGrid>
      <w:tr>
        <w:trPr>
          <w:cantSplit/>
          <w:tblHeader/>
        </w:trPr>
        <w:tc>
          <w:tcPr>
            <w:tcW w:type="dxa" w:w="403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Metric</w:t>
            </w:r>
          </w:p>
        </w:tc>
        <w:tc>
          <w:tcPr>
            <w:tcW w:type="dxa" w:w="172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Bull</w:t>
            </w:r>
          </w:p>
        </w:tc>
        <w:tc>
          <w:tcPr>
            <w:tcW w:type="dxa" w:w="172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Base</w:t>
            </w:r>
          </w:p>
        </w:tc>
        <w:tc>
          <w:tcPr>
            <w:tcW w:type="dxa" w:w="172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Bear</w:t>
            </w:r>
          </w:p>
        </w:tc>
      </w:tr>
      <w:tr>
        <w:trPr>
          <w:cantSplit/>
        </w:trPr>
        <w:tc>
          <w:tcPr>
            <w:tcW w:type="dxa" w:w="40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FY27E revenue (US$m)</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45,735</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43,890</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41,768</w:t>
            </w:r>
          </w:p>
        </w:tc>
      </w:tr>
      <w:tr>
        <w:trPr>
          <w:cantSplit/>
        </w:trPr>
        <w:tc>
          <w:tcPr>
            <w:tcW w:type="dxa" w:w="40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FY31E revenue (US$m)</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63,311</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56,376</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48,063</w:t>
            </w:r>
          </w:p>
        </w:tc>
      </w:tr>
      <w:tr>
        <w:trPr>
          <w:cantSplit/>
        </w:trPr>
        <w:tc>
          <w:tcPr>
            <w:tcW w:type="dxa" w:w="40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Revenue CAGR FY26E-31E</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8.6%</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6.1%</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2.8%</w:t>
            </w:r>
          </w:p>
        </w:tc>
      </w:tr>
      <w:tr>
        <w:trPr>
          <w:cantSplit/>
        </w:trPr>
        <w:tc>
          <w:tcPr>
            <w:tcW w:type="dxa" w:w="40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FY27E adj. EBIT margin</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w:t>
            </w:r>
          </w:p>
        </w:tc>
      </w:tr>
      <w:tr>
        <w:trPr>
          <w:cantSplit/>
        </w:trPr>
        <w:tc>
          <w:tcPr>
            <w:tcW w:type="dxa" w:w="40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FY31E adj. EBIT margin</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6.6%</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w:t>
            </w:r>
          </w:p>
        </w:tc>
      </w:tr>
      <w:tr>
        <w:trPr>
          <w:cantSplit/>
        </w:trPr>
        <w:tc>
          <w:tcPr>
            <w:tcW w:type="dxa" w:w="40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FY27E adj. net income (US$m)</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1,982</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1,457</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936</w:t>
            </w:r>
          </w:p>
        </w:tc>
      </w:tr>
      <w:tr>
        <w:trPr>
          <w:cantSplit/>
        </w:trPr>
        <w:tc>
          <w:tcPr>
            <w:tcW w:type="dxa" w:w="40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FY27E adj. EPS (HK$)</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3.50</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2.57</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1.65</w:t>
            </w:r>
          </w:p>
        </w:tc>
      </w:tr>
      <w:tr>
        <w:trPr>
          <w:cantSplit/>
        </w:trPr>
        <w:tc>
          <w:tcPr>
            <w:tcW w:type="dxa" w:w="40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FY31E adj. net income (US$m)</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3,749</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2,589</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1,514</w:t>
            </w:r>
          </w:p>
        </w:tc>
      </w:tr>
      <w:tr>
        <w:trPr>
          <w:cantSplit/>
        </w:trPr>
        <w:tc>
          <w:tcPr>
            <w:tcW w:type="dxa" w:w="40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Cumulative FCFF 2H26E-31E (US$m)</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12,843</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8,082</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3,370</w:t>
            </w:r>
          </w:p>
        </w:tc>
      </w:tr>
      <w:tr>
        <w:trPr>
          <w:cantSplit/>
        </w:trPr>
        <w:tc>
          <w:tcPr>
            <w:tcW w:type="dxa" w:w="40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DCF value (HK$/sh)</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73.64</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54.35</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36.13</w:t>
            </w:r>
          </w:p>
        </w:tc>
      </w:tr>
      <w:tr>
        <w:trPr>
          <w:cantSplit/>
        </w:trPr>
        <w:tc>
          <w:tcPr>
            <w:tcW w:type="dxa" w:w="40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P/E value @14x (HK$/sh)</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49.01</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36.04</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23.15</w:t>
            </w:r>
          </w:p>
        </w:tc>
      </w:tr>
      <w:tr>
        <w:trPr>
          <w:cantSplit/>
        </w:trPr>
        <w:tc>
          <w:tcPr>
            <w:tcW w:type="dxa" w:w="403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Blended value (HK$/sh)</w:t>
            </w:r>
          </w:p>
        </w:tc>
        <w:tc>
          <w:tcPr>
            <w:tcW w:type="dxa" w:w="172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61.32</w:t>
            </w:r>
          </w:p>
        </w:tc>
        <w:tc>
          <w:tcPr>
            <w:tcW w:type="dxa" w:w="172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45.20</w:t>
            </w:r>
          </w:p>
        </w:tc>
        <w:tc>
          <w:tcPr>
            <w:tcW w:type="dxa" w:w="172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29.64</w:t>
            </w:r>
          </w:p>
        </w:tc>
      </w:tr>
      <w:tr>
        <w:trPr>
          <w:cantSplit/>
        </w:trPr>
        <w:tc>
          <w:tcPr>
            <w:tcW w:type="dxa" w:w="4032"/>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6"/>
                <w:szCs w:val="16"/>
              </w:rPr>
              <w:t xml:space="preserve">vs. current price</w:t>
            </w:r>
          </w:p>
        </w:tc>
        <w:tc>
          <w:tcPr>
            <w:tcW w:type="dxa" w:w="1728"/>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99%</w:t>
            </w:r>
          </w:p>
        </w:tc>
        <w:tc>
          <w:tcPr>
            <w:tcW w:type="dxa" w:w="1728"/>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47%</w:t>
            </w:r>
          </w:p>
        </w:tc>
        <w:tc>
          <w:tcPr>
            <w:tcW w:type="dxa" w:w="1728"/>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(4%)</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keepNext/>
        <w:spacing w:after="60" w:before="160"/>
      </w:pPr>
      <w:r>
        <w:rPr>
          <w:rFonts w:ascii="Times New Roman" w:cs="Times New Roman" w:eastAsia="Times New Roman" w:hAnsi="Times New Roman"/>
          <w:b/>
          <w:bCs/>
          <w:color w:val="1F3A5F"/>
          <w:sz w:val="18"/>
          <w:szCs w:val="18"/>
        </w:rPr>
        <w:t xml:space="preserve">Figure 40: </w:t>
      </w:r>
      <w:r>
        <w:rPr>
          <w:rFonts w:ascii="Times New Roman" w:cs="Times New Roman" w:eastAsia="Times New Roman" w:hAnsi="Times New Roman"/>
          <w:b/>
          <w:bCs/>
          <w:color w:val="1F3A5F"/>
          <w:sz w:val="18"/>
          <w:szCs w:val="18"/>
        </w:rPr>
        <w:t xml:space="preserve">Bull, base and bear revenue and operating (EBIT) margin paths</w:t>
      </w:r>
    </w:p>
    <w:p>
      <w:pPr>
        <w:keepNext/>
        <w:spacing w:after="20"/>
        <w:jc w:val="center"/>
      </w:pPr>
      <w:r>
        <w:drawing>
          <wp:inline distT="0" distB="0" distL="0" distR="0">
            <wp:extent cx="5762625" cy="2686050"/>
            <wp:effectExtent t="0" r="0" b="0" l="0"/>
            <wp:docPr id="28" name="chart_14_scenario_comparison.png" descr="Bull, base and bear revenue and operating (EBIT) margin paths" title="Bull, base and bear revenue and operating (EBIT) margin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2686050"/>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41: </w:t>
      </w:r>
      <w:r>
        <w:rPr>
          <w:rFonts w:ascii="Times New Roman" w:cs="Times New Roman" w:eastAsia="Times New Roman" w:hAnsi="Times New Roman"/>
          <w:b/>
          <w:bCs/>
          <w:color w:val="1F3A5F"/>
          <w:sz w:val="18"/>
          <w:szCs w:val="18"/>
        </w:rPr>
        <w:t xml:space="preserve">Bear, base and bull value per share vs. current price and target (HK$)</w:t>
      </w:r>
    </w:p>
    <w:p>
      <w:pPr>
        <w:keepNext/>
        <w:spacing w:after="20"/>
        <w:jc w:val="center"/>
      </w:pPr>
      <w:r>
        <w:drawing>
          <wp:inline distT="0" distB="0" distL="0" distR="0">
            <wp:extent cx="5762625" cy="2962275"/>
            <wp:effectExtent t="0" r="0" b="0" l="0"/>
            <wp:docPr id="29" name="chart_33_price_target_scenarios.png" descr="Bear, base and bull value per share vs. current price and target (HK$)" title="Bear, base and bull value per share vs. current price and target (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2962275"/>
                    </a:xfrm>
                    <a:prstGeom prst="rect">
                      <a:avLst/>
                    </a:prstGeom>
                  </pic:spPr>
                </pic:pic>
              </a:graphicData>
            </a:graphic>
          </wp:inline>
        </w:drawing>
      </w:r>
    </w:p>
    <w:p>
      <w:pPr>
        <w:spacing w:after="120"/>
      </w:pPr>
    </w:p>
    <w:p>
      <w:pPr>
        <w:spacing w:after="120" w:line="264"/>
        <w:jc w:val="both"/>
      </w:pPr>
      <w:r>
        <w:rPr>
          <w:rFonts w:ascii="Times New Roman" w:cs="Times New Roman" w:eastAsia="Times New Roman" w:hAnsi="Times New Roman"/>
        </w:rPr>
        <w:t xml:space="preserve">We do not probability-weight the scenarios in our price target, which is based on the base case. For reference, a 25/50/25 bull/base/bear weighting gives HK$45.34, almost identical to our base-case blended value. This is because the upside and downside cases are roughly symmetric around the base case in absolute terms, even though they are very asymmetric relative to today's share price.</w:t>
      </w:r>
    </w:p>
    <w:p>
      <w:pPr>
        <w:pStyle w:val="Heading1"/>
        <w:keepNext/>
        <w:pageBreakBefore/>
      </w:pPr>
      <w:bookmarkStart w:name="h_53" w:id="53"/>
      <w:r>
        <w:t xml:space="preserve">Valuation</w:t>
      </w:r>
      <w:bookmarkEnd w:id="53"/>
    </w:p>
    <w:p>
      <w:pPr>
        <w:spacing w:after="120" w:line="264"/>
        <w:jc w:val="both"/>
      </w:pPr>
      <w:r>
        <w:rPr>
          <w:rFonts w:ascii="Times New Roman" w:cs="Times New Roman" w:eastAsia="Times New Roman" w:hAnsi="Times New Roman"/>
        </w:rPr>
        <w:t xml:space="preserve">We value SHEIN using a 50/50 blend of a discounted cash flow model and a P/E multiple on FY2027E adjusted EPS. We cross-check the result against trading comparables, SHEIN's own private funding rounds, and the market-implied expectations embedded in the current share price. Our 12-month price target is </w:t>
      </w:r>
      <w:r>
        <w:rPr>
          <w:rFonts w:ascii="Times New Roman" w:cs="Times New Roman" w:eastAsia="Times New Roman" w:hAnsi="Times New Roman"/>
          <w:b/>
          <w:bCs/>
        </w:rPr>
        <w:t xml:space="preserve">HK$45.00</w:t>
      </w:r>
      <w:r>
        <w:rPr>
          <w:rFonts w:ascii="Times New Roman" w:cs="Times New Roman" w:eastAsia="Times New Roman" w:hAnsi="Times New Roman"/>
        </w:rPr>
        <w:t xml:space="preserve">, 45.9% above the 30 September 2026 close of HK$30.84. We initiate at </w:t>
      </w:r>
      <w:r>
        <w:rPr>
          <w:rFonts w:ascii="Times New Roman" w:cs="Times New Roman" w:eastAsia="Times New Roman" w:hAnsi="Times New Roman"/>
          <w:b/>
          <w:bCs/>
        </w:rPr>
        <w:t xml:space="preserve">BUY</w:t>
      </w:r>
      <w:r>
        <w:rPr>
          <w:rFonts w:ascii="Times New Roman" w:cs="Times New Roman" w:eastAsia="Times New Roman" w:hAnsi="Times New Roman"/>
        </w:rPr>
        <w:t xml:space="preserve">.</w:t>
      </w:r>
    </w:p>
    <w:p>
      <w:pPr>
        <w:keepNext/>
        <w:spacing w:after="60" w:before="160"/>
      </w:pPr>
      <w:r>
        <w:rPr>
          <w:rFonts w:ascii="Times New Roman" w:cs="Times New Roman" w:eastAsia="Times New Roman" w:hAnsi="Times New Roman"/>
          <w:b/>
          <w:bCs/>
          <w:color w:val="1F3A5F"/>
          <w:sz w:val="18"/>
          <w:szCs w:val="18"/>
        </w:rPr>
        <w:t xml:space="preserve">Figure 42: </w:t>
      </w:r>
      <w:r>
        <w:rPr>
          <w:rFonts w:ascii="Times New Roman" w:cs="Times New Roman" w:eastAsia="Times New Roman" w:hAnsi="Times New Roman"/>
          <w:b/>
          <w:bCs/>
          <w:color w:val="1F3A5F"/>
          <w:sz w:val="18"/>
          <w:szCs w:val="18"/>
        </w:rPr>
        <w:t xml:space="preserve">Price target derivation (HK$ per share)</w:t>
      </w:r>
    </w:p>
    <w:tbl>
      <w:tblPr>
        <w:tblW w:type="dxa" w:w="777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296"/>
        <w:gridCol w:w="1152"/>
        <w:gridCol w:w="1584"/>
      </w:tblGrid>
      <w:tr>
        <w:trPr>
          <w:cantSplit/>
          <w:tblHeader/>
        </w:trPr>
        <w:tc>
          <w:tcPr>
            <w:tcW w:type="dxa" w:w="374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Method</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Value</w:t>
            </w:r>
          </w:p>
        </w:tc>
        <w:tc>
          <w:tcPr>
            <w:tcW w:type="dxa" w:w="115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Weight</w:t>
            </w:r>
          </w:p>
        </w:tc>
        <w:tc>
          <w:tcPr>
            <w:tcW w:type="dxa" w:w="158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Contribution</w:t>
            </w:r>
          </w:p>
        </w:tc>
      </w:tr>
      <w:tr>
        <w:trPr>
          <w:cantSplit/>
        </w:trPr>
        <w:tc>
          <w:tcPr>
            <w:tcW w:type="dxa" w:w="374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DCF (WACC 11.2%, g 2.5%)</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54.35</w:t>
            </w:r>
          </w:p>
        </w:tc>
        <w:tc>
          <w:tcPr>
            <w:tcW w:type="dxa" w:w="11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w:t>
            </w: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27.18</w:t>
            </w:r>
          </w:p>
        </w:tc>
      </w:tr>
      <w:tr>
        <w:trPr>
          <w:cantSplit/>
        </w:trPr>
        <w:tc>
          <w:tcPr>
            <w:tcW w:type="dxa" w:w="374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P/E: 14.0x FY27E adj. EPS</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36.04</w:t>
            </w:r>
          </w:p>
        </w:tc>
        <w:tc>
          <w:tcPr>
            <w:tcW w:type="dxa" w:w="11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w:t>
            </w:r>
          </w:p>
        </w:tc>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18.02</w:t>
            </w:r>
          </w:p>
        </w:tc>
      </w:tr>
      <w:tr>
        <w:trPr>
          <w:cantSplit/>
        </w:trPr>
        <w:tc>
          <w:tcPr>
            <w:tcW w:type="dxa" w:w="374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Weighted value</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11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45.20</w:t>
            </w:r>
          </w:p>
        </w:tc>
      </w:tr>
      <w:tr>
        <w:trPr>
          <w:cantSplit/>
        </w:trPr>
        <w:tc>
          <w:tcPr>
            <w:tcW w:type="dxa" w:w="3744"/>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Price target (rounded to HK$0.50)</w:t>
            </w:r>
          </w:p>
        </w:tc>
        <w:tc>
          <w:tcPr>
            <w:tcW w:type="dxa" w:w="1296"/>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115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1584"/>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45.00</w:t>
            </w:r>
          </w:p>
        </w:tc>
      </w:tr>
      <w:tr>
        <w:trPr>
          <w:cantSplit/>
        </w:trPr>
        <w:tc>
          <w:tcPr>
            <w:tcW w:type="dxa" w:w="374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Current price (30-Sep-2026)</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11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30.84</w:t>
            </w:r>
          </w:p>
        </w:tc>
      </w:tr>
      <w:tr>
        <w:trPr>
          <w:cantSplit/>
        </w:trPr>
        <w:tc>
          <w:tcPr>
            <w:tcW w:type="dxa" w:w="3744"/>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Upside</w:t>
            </w:r>
          </w:p>
        </w:tc>
        <w:tc>
          <w:tcPr>
            <w:tcW w:type="dxa" w:w="1296"/>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115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1584"/>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45.9%</w:t>
            </w:r>
          </w:p>
        </w:tc>
      </w:tr>
      <w:tr>
        <w:trPr>
          <w:cantSplit/>
        </w:trPr>
        <w:tc>
          <w:tcPr>
            <w:tcW w:type="dxa" w:w="374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Implied P/E FY26E / FY27E</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11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22.0x / 17.5x</w:t>
            </w:r>
          </w:p>
        </w:tc>
      </w:tr>
      <w:tr>
        <w:trPr>
          <w:cantSplit/>
        </w:trPr>
        <w:tc>
          <w:tcPr>
            <w:tcW w:type="dxa" w:w="3744"/>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Implied EV/FY27E adj. EBIT</w:t>
            </w:r>
          </w:p>
        </w:tc>
        <w:tc>
          <w:tcPr>
            <w:tcW w:type="dxa" w:w="129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1152"/>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1584"/>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8.2x</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spacing w:after="120" w:line="264"/>
        <w:jc w:val="both"/>
      </w:pPr>
      <w:r>
        <w:rPr>
          <w:rFonts w:ascii="Times New Roman" w:cs="Times New Roman" w:eastAsia="Times New Roman" w:hAnsi="Times New Roman"/>
        </w:rPr>
        <w:t xml:space="preserve">At our target the implied market capitalisation is US$25.3bn, just below the ~US$26bn IPO valuation. At that level the stock would trade at:</w:t>
      </w:r>
    </w:p>
    <w:p>
      <w:pPr>
        <w:pStyle w:val="ListParagraph"/>
        <w:numPr>
          <w:ilvl w:val="0"/>
          <w:numId w:val="3"/>
        </w:numPr>
        <w:spacing w:after="60" w:line="252"/>
      </w:pPr>
      <w:r>
        <w:rPr>
          <w:rFonts w:ascii="Times New Roman" w:cs="Times New Roman" w:eastAsia="Times New Roman" w:hAnsi="Times New Roman"/>
        </w:rPr>
        <w:t xml:space="preserve">22.0x FY2026E and 17.5x FY2027E adjusted P/E;</w:t>
      </w:r>
    </w:p>
    <w:p>
      <w:pPr>
        <w:pStyle w:val="ListParagraph"/>
        <w:numPr>
          <w:ilvl w:val="0"/>
          <w:numId w:val="3"/>
        </w:numPr>
        <w:spacing w:after="60" w:line="252"/>
      </w:pPr>
      <w:r>
        <w:rPr>
          <w:rFonts w:ascii="Times New Roman" w:cs="Times New Roman" w:eastAsia="Times New Roman" w:hAnsi="Times New Roman"/>
        </w:rPr>
        <w:t xml:space="preserve">8.2x FY2027E EV/adjusted EBIT, once pro forma cash is deducted.</w:t>
      </w:r>
    </w:p>
    <w:p>
      <w:pPr>
        <w:spacing w:after="120" w:line="264"/>
        <w:jc w:val="both"/>
      </w:pPr>
      <w:r>
        <w:rPr>
          <w:rFonts w:ascii="Times New Roman" w:cs="Times New Roman" w:eastAsia="Times New Roman" w:hAnsi="Times New Roman"/>
        </w:rPr>
        <w:t xml:space="preserve">All of these multiples are below the peer medians.</w:t>
      </w:r>
    </w:p>
    <w:p>
      <w:pPr>
        <w:pStyle w:val="Heading2"/>
        <w:keepNext/>
      </w:pPr>
      <w:bookmarkStart w:name="h_54" w:id="54"/>
      <w:r>
        <w:t xml:space="preserve">Discounted cash flow</w:t>
      </w:r>
      <w:bookmarkEnd w:id="54"/>
    </w:p>
    <w:p>
      <w:pPr>
        <w:pStyle w:val="Heading3"/>
        <w:keepNext/>
      </w:pPr>
      <w:bookmarkStart w:name="h_55" w:id="55"/>
      <w:r>
        <w:t xml:space="preserve">Methodology</w:t>
      </w:r>
      <w:bookmarkEnd w:id="55"/>
    </w:p>
    <w:p>
      <w:pPr>
        <w:pStyle w:val="ListParagraph"/>
        <w:numPr>
          <w:ilvl w:val="0"/>
          <w:numId w:val="3"/>
        </w:numPr>
        <w:spacing w:after="60" w:line="252"/>
      </w:pPr>
      <w:r>
        <w:rPr>
          <w:rFonts w:ascii="Times New Roman" w:cs="Times New Roman" w:eastAsia="Times New Roman" w:hAnsi="Times New Roman"/>
          <w:b/>
          <w:bCs/>
        </w:rPr>
        <w:t xml:space="preserve">Cash flows:</w:t>
      </w:r>
      <w:r>
        <w:rPr>
          <w:rFonts w:ascii="Times New Roman" w:cs="Times New Roman" w:eastAsia="Times New Roman" w:hAnsi="Times New Roman"/>
        </w:rPr>
        <w:t xml:space="preserve"> unlevered FCF = EBIT × (1 – 22% tax) + D&amp;A (PP&amp;E and intangibles) – capex – Δ operating NWC.</w:t>
      </w:r>
    </w:p>
    <w:p>
      <w:pPr>
        <w:pStyle w:val="ListParagraph"/>
        <w:numPr>
          <w:ilvl w:val="1"/>
          <w:numId w:val="3"/>
        </w:numPr>
        <w:spacing w:after="60" w:line="252"/>
      </w:pPr>
      <w:r>
        <w:rPr>
          <w:rFonts w:ascii="Times New Roman" w:cs="Times New Roman" w:eastAsia="Times New Roman" w:hAnsi="Times New Roman"/>
        </w:rPr>
        <w:t xml:space="preserve">Share-based compensation is treated as a real cost, so it is </w:t>
      </w:r>
      <w:r>
        <w:rPr>
          <w:rFonts w:ascii="Times New Roman" w:cs="Times New Roman" w:eastAsia="Times New Roman" w:hAnsi="Times New Roman"/>
          <w:b/>
          <w:bCs/>
        </w:rPr>
        <w:t xml:space="preserve">not</w:t>
      </w:r>
      <w:r>
        <w:rPr>
          <w:rFonts w:ascii="Times New Roman" w:cs="Times New Roman" w:eastAsia="Times New Roman" w:hAnsi="Times New Roman"/>
        </w:rPr>
        <w:t xml:space="preserve"> added back.</w:t>
      </w:r>
    </w:p>
    <w:p>
      <w:pPr>
        <w:pStyle w:val="ListParagraph"/>
        <w:numPr>
          <w:ilvl w:val="1"/>
          <w:numId w:val="3"/>
        </w:numPr>
        <w:spacing w:after="60" w:line="252"/>
      </w:pPr>
      <w:r>
        <w:rPr>
          <w:rFonts w:ascii="Times New Roman" w:cs="Times New Roman" w:eastAsia="Times New Roman" w:hAnsi="Times New Roman"/>
        </w:rPr>
        <w:t xml:space="preserve">IFRS 16 lease payments are treated as operating costs: right-of-use depreciation is not added back, and lease liabilities are not deducted in the bridge.</w:t>
      </w:r>
    </w:p>
    <w:p>
      <w:pPr>
        <w:pStyle w:val="ListParagraph"/>
        <w:numPr>
          <w:ilvl w:val="0"/>
          <w:numId w:val="3"/>
        </w:numPr>
        <w:spacing w:after="60" w:line="252"/>
      </w:pPr>
      <w:r>
        <w:rPr>
          <w:rFonts w:ascii="Times New Roman" w:cs="Times New Roman" w:eastAsia="Times New Roman" w:hAnsi="Times New Roman"/>
          <w:b/>
          <w:bCs/>
        </w:rPr>
        <w:t xml:space="preserve">Explicit period:</w:t>
      </w:r>
      <w:r>
        <w:rPr>
          <w:rFonts w:ascii="Times New Roman" w:cs="Times New Roman" w:eastAsia="Times New Roman" w:hAnsi="Times New Roman"/>
        </w:rPr>
        <w:t xml:space="preserve"> a 2H26E stub plus FY2027E-FY2031E, discounted to the 30-Sep-2026 valuation date on a mid-period convention.</w:t>
      </w:r>
    </w:p>
    <w:p>
      <w:pPr>
        <w:pStyle w:val="ListParagraph"/>
        <w:numPr>
          <w:ilvl w:val="0"/>
          <w:numId w:val="3"/>
        </w:numPr>
        <w:spacing w:after="60" w:line="252"/>
      </w:pPr>
      <w:r>
        <w:rPr>
          <w:rFonts w:ascii="Times New Roman" w:cs="Times New Roman" w:eastAsia="Times New Roman" w:hAnsi="Times New Roman"/>
          <w:b/>
          <w:bCs/>
        </w:rPr>
        <w:t xml:space="preserve">Cash starting point:</w:t>
      </w:r>
      <w:r>
        <w:rPr>
          <w:rFonts w:ascii="Times New Roman" w:cs="Times New Roman" w:eastAsia="Times New Roman" w:hAnsi="Times New Roman"/>
        </w:rPr>
        <w:t xml:space="preserve"> the 30-Jun-2026 balance sheet. The stub FCFF includes the seasonal second-half working-capital unwind of US$0.9bn, which offsets the working-capital float embedded in June cash.</w:t>
      </w:r>
    </w:p>
    <w:p>
      <w:pPr>
        <w:pStyle w:val="Heading3"/>
        <w:keepNext/>
      </w:pPr>
      <w:bookmarkStart w:name="h_56" w:id="56"/>
      <w:r>
        <w:t xml:space="preserve">Discount rate</w:t>
      </w:r>
      <w:bookmarkEnd w:id="56"/>
    </w:p>
    <w:p>
      <w:pPr>
        <w:spacing w:after="120" w:line="264"/>
        <w:jc w:val="both"/>
      </w:pPr>
      <w:r>
        <w:rPr>
          <w:rFonts w:ascii="Times New Roman" w:cs="Times New Roman" w:eastAsia="Times New Roman" w:hAnsi="Times New Roman"/>
        </w:rPr>
        <w:t xml:space="preserve">We use an 11.2% WACC. SHEIN has no financial debt, so the WACC equals the cost of equity, which we derive from CAPM:</w:t>
      </w:r>
    </w:p>
    <w:p>
      <w:pPr>
        <w:pStyle w:val="ListParagraph"/>
        <w:numPr>
          <w:ilvl w:val="0"/>
          <w:numId w:val="3"/>
        </w:numPr>
        <w:spacing w:after="60" w:line="252"/>
      </w:pPr>
      <w:r>
        <w:rPr>
          <w:rFonts w:ascii="Times New Roman" w:cs="Times New Roman" w:eastAsia="Times New Roman" w:hAnsi="Times New Roman"/>
          <w:b/>
          <w:bCs/>
        </w:rPr>
        <w:t xml:space="preserve">Risk-free rate: 4.0%.</w:t>
      </w:r>
      <w:r>
        <w:rPr>
          <w:rFonts w:ascii="Times New Roman" w:cs="Times New Roman" w:eastAsia="Times New Roman" w:hAnsi="Times New Roman"/>
        </w:rPr>
        <w:t xml:space="preserve"> This matches the rate used by the company's valuer for the 30 June 2026 preferred-share valuation.</w:t>
      </w:r>
    </w:p>
    <w:p>
      <w:pPr>
        <w:pStyle w:val="ListParagraph"/>
        <w:numPr>
          <w:ilvl w:val="0"/>
          <w:numId w:val="3"/>
        </w:numPr>
        <w:spacing w:after="60" w:line="252"/>
      </w:pPr>
      <w:r>
        <w:rPr>
          <w:rFonts w:ascii="Times New Roman" w:cs="Times New Roman" w:eastAsia="Times New Roman" w:hAnsi="Times New Roman"/>
          <w:b/>
          <w:bCs/>
        </w:rPr>
        <w:t xml:space="preserve">Beta: 1.2.</w:t>
      </w:r>
      <w:r>
        <w:rPr>
          <w:rFonts w:ascii="Times New Roman" w:cs="Times New Roman" w:eastAsia="Times New Roman" w:hAnsi="Times New Roman"/>
        </w:rPr>
        <w:t xml:space="preserve"> This reflects Hong Kong-listed consumer-internet peers and the ~40% volatility assumed in the company's own option valuation.</w:t>
      </w:r>
    </w:p>
    <w:p>
      <w:pPr>
        <w:pStyle w:val="ListParagraph"/>
        <w:numPr>
          <w:ilvl w:val="0"/>
          <w:numId w:val="3"/>
        </w:numPr>
        <w:spacing w:after="60" w:line="252"/>
      </w:pPr>
      <w:r>
        <w:rPr>
          <w:rFonts w:ascii="Times New Roman" w:cs="Times New Roman" w:eastAsia="Times New Roman" w:hAnsi="Times New Roman"/>
          <w:b/>
          <w:bCs/>
        </w:rPr>
        <w:t xml:space="preserve">Equity risk premium: 6.0%.</w:t>
      </w:r>
      <w:r>
        <w:rPr>
          <w:rFonts w:ascii="Times New Roman" w:cs="Times New Roman" w:eastAsia="Times New Roman" w:hAnsi="Times New Roman"/>
        </w:rPr>
        <w:t xml:space="preserve"> This includes a premium for China-linked geopolitical risk.</w:t>
      </w:r>
    </w:p>
    <w:p>
      <w:pPr>
        <w:spacing w:after="120" w:line="264"/>
        <w:jc w:val="both"/>
      </w:pPr>
      <w:r>
        <w:rPr>
          <w:rFonts w:ascii="Times New Roman" w:cs="Times New Roman" w:eastAsia="Times New Roman" w:hAnsi="Times New Roman"/>
        </w:rPr>
        <w:t xml:space="preserve">Our 2.5% terminal growth rate is roughly nominal global GDP growth, and well below CIC's 5.5% forecast CAGR for online fashion over 2025-30E.</w:t>
      </w:r>
    </w:p>
    <w:p>
      <w:pPr>
        <w:keepNext/>
        <w:spacing w:after="60" w:before="160"/>
      </w:pPr>
      <w:r>
        <w:rPr>
          <w:rFonts w:ascii="Times New Roman" w:cs="Times New Roman" w:eastAsia="Times New Roman" w:hAnsi="Times New Roman"/>
          <w:b/>
          <w:bCs/>
          <w:color w:val="1F3A5F"/>
          <w:sz w:val="18"/>
          <w:szCs w:val="18"/>
        </w:rPr>
        <w:t xml:space="preserve">Figure 43: </w:t>
      </w:r>
      <w:r>
        <w:rPr>
          <w:rFonts w:ascii="Times New Roman" w:cs="Times New Roman" w:eastAsia="Times New Roman" w:hAnsi="Times New Roman"/>
          <w:b/>
          <w:bCs/>
          <w:color w:val="1F3A5F"/>
          <w:sz w:val="18"/>
          <w:szCs w:val="18"/>
        </w:rPr>
        <w:t xml:space="preserve">Discount-rate assumptions</w:t>
      </w:r>
    </w:p>
    <w:tbl>
      <w:tblPr>
        <w:tblW w:type="dxa" w:w="5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40"/>
      </w:tblGrid>
      <w:tr>
        <w:trPr>
          <w:cantSplit/>
          <w:tblHeader/>
        </w:trPr>
        <w:tc>
          <w:tcPr>
            <w:tcW w:type="dxa" w:w="374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Input</w:t>
            </w:r>
          </w:p>
        </w:tc>
        <w:tc>
          <w:tcPr>
            <w:tcW w:type="dxa" w:w="144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Value</w:t>
            </w:r>
          </w:p>
        </w:tc>
      </w:tr>
      <w:tr>
        <w:trPr>
          <w:cantSplit/>
        </w:trPr>
        <w:tc>
          <w:tcPr>
            <w:tcW w:type="dxa" w:w="374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Risk-free rate</w:t>
            </w:r>
          </w:p>
        </w:tc>
        <w:tc>
          <w:tcPr>
            <w:tcW w:type="dxa" w:w="14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w:t>
            </w:r>
          </w:p>
        </w:tc>
      </w:tr>
      <w:tr>
        <w:trPr>
          <w:cantSplit/>
        </w:trPr>
        <w:tc>
          <w:tcPr>
            <w:tcW w:type="dxa" w:w="374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Equity beta</w:t>
            </w:r>
          </w:p>
        </w:tc>
        <w:tc>
          <w:tcPr>
            <w:tcW w:type="dxa" w:w="144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1.20</w:t>
            </w:r>
          </w:p>
        </w:tc>
      </w:tr>
      <w:tr>
        <w:trPr>
          <w:cantSplit/>
        </w:trPr>
        <w:tc>
          <w:tcPr>
            <w:tcW w:type="dxa" w:w="374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Equity risk premium</w:t>
            </w:r>
          </w:p>
        </w:tc>
        <w:tc>
          <w:tcPr>
            <w:tcW w:type="dxa" w:w="14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6.0%</w:t>
            </w:r>
          </w:p>
        </w:tc>
      </w:tr>
      <w:tr>
        <w:trPr>
          <w:cantSplit/>
        </w:trPr>
        <w:tc>
          <w:tcPr>
            <w:tcW w:type="dxa" w:w="374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Cost of equity</w:t>
            </w:r>
          </w:p>
        </w:tc>
        <w:tc>
          <w:tcPr>
            <w:tcW w:type="dxa" w:w="144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11.2%</w:t>
            </w:r>
          </w:p>
        </w:tc>
      </w:tr>
      <w:tr>
        <w:trPr>
          <w:cantSplit/>
        </w:trPr>
        <w:tc>
          <w:tcPr>
            <w:tcW w:type="dxa" w:w="374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Debt / capital</w:t>
            </w:r>
          </w:p>
        </w:tc>
        <w:tc>
          <w:tcPr>
            <w:tcW w:type="dxa" w:w="14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0.0%</w:t>
            </w:r>
          </w:p>
        </w:tc>
      </w:tr>
      <w:tr>
        <w:trPr>
          <w:cantSplit/>
        </w:trPr>
        <w:tc>
          <w:tcPr>
            <w:tcW w:type="dxa" w:w="3744"/>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WACC</w:t>
            </w:r>
          </w:p>
        </w:tc>
        <w:tc>
          <w:tcPr>
            <w:tcW w:type="dxa" w:w="1440"/>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11.2%</w:t>
            </w:r>
          </w:p>
        </w:tc>
      </w:tr>
      <w:tr>
        <w:trPr>
          <w:cantSplit/>
        </w:trPr>
        <w:tc>
          <w:tcPr>
            <w:tcW w:type="dxa" w:w="374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Terminal growth</w:t>
            </w:r>
          </w:p>
        </w:tc>
        <w:tc>
          <w:tcPr>
            <w:tcW w:type="dxa" w:w="14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w:t>
            </w:r>
          </w:p>
        </w:tc>
      </w:tr>
      <w:tr>
        <w:trPr>
          <w:cantSplit/>
        </w:trPr>
        <w:tc>
          <w:tcPr>
            <w:tcW w:type="dxa" w:w="3744"/>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Tax rate on EBIT</w:t>
            </w:r>
          </w:p>
        </w:tc>
        <w:tc>
          <w:tcPr>
            <w:tcW w:type="dxa" w:w="1440"/>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22.0%</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pStyle w:val="Heading3"/>
        <w:keepNext/>
      </w:pPr>
      <w:bookmarkStart w:name="h_57" w:id="57"/>
      <w:r>
        <w:t xml:space="preserve">Free cash flow, terminal value and enterprise value</w:t>
      </w:r>
      <w:bookmarkEnd w:id="57"/>
    </w:p>
    <w:p>
      <w:pPr>
        <w:spacing w:after="120" w:line="264"/>
        <w:jc w:val="both"/>
      </w:pPr>
      <w:r>
        <w:rPr>
          <w:rFonts w:ascii="Times New Roman" w:cs="Times New Roman" w:eastAsia="Times New Roman" w:hAnsi="Times New Roman"/>
          <w:b/>
          <w:bCs/>
        </w:rPr>
        <w:t xml:space="preserve">Unlevered free cash flow (FCFF)</w:t>
      </w:r>
      <w:r>
        <w:rPr>
          <w:rFonts w:ascii="Times New Roman" w:cs="Times New Roman" w:eastAsia="Times New Roman" w:hAnsi="Times New Roman"/>
        </w:rPr>
        <w:t xml:space="preserve">, on the base case:</w:t>
      </w:r>
    </w:p>
    <w:p>
      <w:pPr>
        <w:pStyle w:val="ListParagraph"/>
        <w:numPr>
          <w:ilvl w:val="0"/>
          <w:numId w:val="3"/>
        </w:numPr>
        <w:spacing w:after="60" w:line="252"/>
      </w:pPr>
      <w:r>
        <w:rPr>
          <w:rFonts w:ascii="Times New Roman" w:cs="Times New Roman" w:eastAsia="Times New Roman" w:hAnsi="Times New Roman"/>
          <w:b/>
          <w:bCs/>
        </w:rPr>
        <w:t xml:space="preserve">2H26E stub: –US$519m.</w:t>
      </w:r>
      <w:r>
        <w:rPr>
          <w:rFonts w:ascii="Times New Roman" w:cs="Times New Roman" w:eastAsia="Times New Roman" w:hAnsi="Times New Roman"/>
        </w:rPr>
        <w:t xml:space="preserve"> The seasonal working-capital unwind (US$0.9bn) more than offsets NOPAT.</w:t>
      </w:r>
    </w:p>
    <w:p>
      <w:pPr>
        <w:pStyle w:val="ListParagraph"/>
        <w:numPr>
          <w:ilvl w:val="0"/>
          <w:numId w:val="3"/>
        </w:numPr>
        <w:spacing w:after="60" w:line="252"/>
      </w:pPr>
      <w:r>
        <w:rPr>
          <w:rFonts w:ascii="Times New Roman" w:cs="Times New Roman" w:eastAsia="Times New Roman" w:hAnsi="Times New Roman"/>
          <w:b/>
          <w:bCs/>
        </w:rPr>
        <w:t xml:space="preserve">FY2027E: US$1,089m.</w:t>
      </w:r>
    </w:p>
    <w:p>
      <w:pPr>
        <w:pStyle w:val="ListParagraph"/>
        <w:numPr>
          <w:ilvl w:val="0"/>
          <w:numId w:val="3"/>
        </w:numPr>
        <w:spacing w:after="60" w:line="252"/>
      </w:pPr>
      <w:r>
        <w:rPr>
          <w:rFonts w:ascii="Times New Roman" w:cs="Times New Roman" w:eastAsia="Times New Roman" w:hAnsi="Times New Roman"/>
          <w:b/>
          <w:bCs/>
        </w:rPr>
        <w:t xml:space="preserve">FY2031E: US$2,154m.</w:t>
      </w:r>
    </w:p>
    <w:p>
      <w:pPr>
        <w:spacing w:after="120" w:line="264"/>
        <w:jc w:val="both"/>
      </w:pPr>
      <w:r>
        <w:rPr>
          <w:rFonts w:ascii="Times New Roman" w:cs="Times New Roman" w:eastAsia="Times New Roman" w:hAnsi="Times New Roman"/>
        </w:rPr>
        <w:t xml:space="preserve">Growth adds to cash flow because negative working capital scales with revenue.</w:t>
      </w:r>
    </w:p>
    <w:p>
      <w:pPr>
        <w:spacing w:after="120" w:line="264"/>
        <w:jc w:val="both"/>
      </w:pPr>
      <w:r>
        <w:rPr>
          <w:rFonts w:ascii="Times New Roman" w:cs="Times New Roman" w:eastAsia="Times New Roman" w:hAnsi="Times New Roman"/>
          <w:b/>
          <w:bCs/>
        </w:rPr>
        <w:t xml:space="preserve">Present values.</w:t>
      </w:r>
    </w:p>
    <w:p>
      <w:pPr>
        <w:pStyle w:val="ListParagraph"/>
        <w:numPr>
          <w:ilvl w:val="0"/>
          <w:numId w:val="3"/>
        </w:numPr>
        <w:spacing w:after="60" w:line="252"/>
      </w:pPr>
      <w:r>
        <w:rPr>
          <w:rFonts w:ascii="Times New Roman" w:cs="Times New Roman" w:eastAsia="Times New Roman" w:hAnsi="Times New Roman"/>
          <w:b/>
          <w:bCs/>
        </w:rPr>
        <w:t xml:space="preserve">Explicit period:</w:t>
      </w:r>
      <w:r>
        <w:rPr>
          <w:rFonts w:ascii="Times New Roman" w:cs="Times New Roman" w:eastAsia="Times New Roman" w:hAnsi="Times New Roman"/>
        </w:rPr>
        <w:t xml:space="preserve"> the PV of 2H26E-FY2031E FCFF is US$5.8bn.</w:t>
      </w:r>
    </w:p>
    <w:p>
      <w:pPr>
        <w:pStyle w:val="ListParagraph"/>
        <w:numPr>
          <w:ilvl w:val="0"/>
          <w:numId w:val="3"/>
        </w:numPr>
        <w:spacing w:after="60" w:line="252"/>
      </w:pPr>
      <w:r>
        <w:rPr>
          <w:rFonts w:ascii="Times New Roman" w:cs="Times New Roman" w:eastAsia="Times New Roman" w:hAnsi="Times New Roman"/>
          <w:b/>
          <w:bCs/>
        </w:rPr>
        <w:t xml:space="preserve">Terminal value:</w:t>
      </w:r>
      <w:r>
        <w:rPr>
          <w:rFonts w:ascii="Times New Roman" w:cs="Times New Roman" w:eastAsia="Times New Roman" w:hAnsi="Times New Roman"/>
        </w:rPr>
        <w:t xml:space="preserve"> the PV of the Gordon-growth terminal value is US$13.5bn, 70% of enterprise value.</w:t>
      </w:r>
    </w:p>
    <w:p>
      <w:pPr>
        <w:pStyle w:val="ListParagraph"/>
        <w:numPr>
          <w:ilvl w:val="0"/>
          <w:numId w:val="3"/>
        </w:numPr>
        <w:spacing w:after="60" w:line="252"/>
      </w:pPr>
      <w:r>
        <w:rPr>
          <w:rFonts w:ascii="Times New Roman" w:cs="Times New Roman" w:eastAsia="Times New Roman" w:hAnsi="Times New Roman"/>
          <w:b/>
          <w:bCs/>
        </w:rPr>
        <w:t xml:space="preserve">Operating enterprise value:</w:t>
      </w:r>
      <w:r>
        <w:rPr>
          <w:rFonts w:ascii="Times New Roman" w:cs="Times New Roman" w:eastAsia="Times New Roman" w:hAnsi="Times New Roman"/>
        </w:rPr>
        <w:t xml:space="preserve"> US$19.2bn.</w:t>
      </w:r>
    </w:p>
    <w:p>
      <w:pPr>
        <w:spacing w:after="120" w:line="264"/>
        <w:jc w:val="both"/>
      </w:pPr>
      <w:r>
        <w:rPr>
          <w:rFonts w:ascii="Times New Roman" w:cs="Times New Roman" w:eastAsia="Times New Roman" w:hAnsi="Times New Roman"/>
          <w:b/>
          <w:bCs/>
        </w:rPr>
        <w:t xml:space="preserve">Implied exit multiples.</w:t>
      </w:r>
      <w:r>
        <w:rPr>
          <w:rFonts w:ascii="Times New Roman" w:cs="Times New Roman" w:eastAsia="Times New Roman" w:hAnsi="Times New Roman"/>
        </w:rPr>
        <w:t xml:space="preserve"> The implied terminal multiples are 7.2x FY2031E EBITDA and 9.0x EBIT. Both are well below the peer median EV/EBITDA of 14.1x, so the terminal value is not stretched.</w:t>
      </w:r>
    </w:p>
    <w:p>
      <w:pPr>
        <w:keepNext/>
        <w:spacing w:after="60" w:before="160"/>
      </w:pPr>
      <w:r>
        <w:rPr>
          <w:rFonts w:ascii="Times New Roman" w:cs="Times New Roman" w:eastAsia="Times New Roman" w:hAnsi="Times New Roman"/>
          <w:b/>
          <w:bCs/>
          <w:color w:val="1F3A5F"/>
          <w:sz w:val="18"/>
          <w:szCs w:val="18"/>
        </w:rPr>
        <w:t xml:space="preserve">Figure 44: </w:t>
      </w:r>
      <w:r>
        <w:rPr>
          <w:rFonts w:ascii="Times New Roman" w:cs="Times New Roman" w:eastAsia="Times New Roman" w:hAnsi="Times New Roman"/>
          <w:b/>
          <w:bCs/>
          <w:color w:val="1F3A5F"/>
          <w:sz w:val="18"/>
          <w:szCs w:val="18"/>
        </w:rPr>
        <w:t xml:space="preserve">DCF - unlevered free cash flow (US$m)</w:t>
      </w:r>
    </w:p>
    <w:tbl>
      <w:tblPr>
        <w:tblW w:type="dxa" w:w="921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6"/>
        <w:gridCol w:w="1080"/>
        <w:gridCol w:w="1080"/>
        <w:gridCol w:w="1080"/>
        <w:gridCol w:w="1080"/>
        <w:gridCol w:w="1080"/>
        <w:gridCol w:w="1080"/>
      </w:tblGrid>
      <w:tr>
        <w:trPr>
          <w:cantSplit/>
          <w:tblHeader/>
        </w:trPr>
        <w:tc>
          <w:tcPr>
            <w:tcW w:type="dxa" w:w="273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US$m</w:t>
            </w:r>
          </w:p>
        </w:tc>
        <w:tc>
          <w:tcPr>
            <w:tcW w:type="dxa" w:w="108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2H26E</w:t>
            </w:r>
          </w:p>
        </w:tc>
        <w:tc>
          <w:tcPr>
            <w:tcW w:type="dxa" w:w="108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FY27E</w:t>
            </w:r>
          </w:p>
        </w:tc>
        <w:tc>
          <w:tcPr>
            <w:tcW w:type="dxa" w:w="108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FY28E</w:t>
            </w:r>
          </w:p>
        </w:tc>
        <w:tc>
          <w:tcPr>
            <w:tcW w:type="dxa" w:w="108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FY29E</w:t>
            </w:r>
          </w:p>
        </w:tc>
        <w:tc>
          <w:tcPr>
            <w:tcW w:type="dxa" w:w="108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FY30E</w:t>
            </w:r>
          </w:p>
        </w:tc>
        <w:tc>
          <w:tcPr>
            <w:tcW w:type="dxa" w:w="108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FY31E</w:t>
            </w:r>
          </w:p>
        </w:tc>
      </w:tr>
      <w:tr>
        <w:trPr>
          <w:cantSplit/>
        </w:trPr>
        <w:tc>
          <w:tcPr>
            <w:tcW w:type="dxa" w:w="273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Net revenues</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21,749</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43,890</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46,960</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50,175</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53,370</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56,376</w:t>
            </w:r>
          </w:p>
        </w:tc>
      </w:tr>
      <w:tr>
        <w:trPr>
          <w:cantSplit/>
        </w:trPr>
        <w:tc>
          <w:tcPr>
            <w:tcW w:type="dxa" w:w="273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EBIT (IFRS)</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542</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1,305</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1,752</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2,150</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2,423</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2,617</w:t>
            </w:r>
          </w:p>
        </w:tc>
      </w:tr>
      <w:tr>
        <w:trPr>
          <w:cantSplit/>
        </w:trPr>
        <w:tc>
          <w:tcPr>
            <w:tcW w:type="dxa" w:w="273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EBIT margin</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4.6%</w:t>
            </w:r>
          </w:p>
        </w:tc>
      </w:tr>
      <w:tr>
        <w:trPr>
          <w:cantSplit/>
        </w:trPr>
        <w:tc>
          <w:tcPr>
            <w:tcW w:type="dxa" w:w="273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Taxes on EBIT (22%)</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(119)</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(287)</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(385)</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(473)</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(533)</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(576)</w:t>
            </w:r>
          </w:p>
        </w:tc>
      </w:tr>
      <w:tr>
        <w:trPr>
          <w:cantSplit/>
        </w:trPr>
        <w:tc>
          <w:tcPr>
            <w:tcW w:type="dxa" w:w="273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NOPAT</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422</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1,018</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1,366</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1,677</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1,890</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2,041</w:t>
            </w:r>
          </w:p>
        </w:tc>
      </w:tr>
      <w:tr>
        <w:trPr>
          <w:cantSplit/>
        </w:trPr>
        <w:tc>
          <w:tcPr>
            <w:tcW w:type="dxa" w:w="273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D&amp;A</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93</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189</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202</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216</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229</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242</w:t>
            </w:r>
          </w:p>
        </w:tc>
      </w:tr>
      <w:tr>
        <w:trPr>
          <w:cantSplit/>
        </w:trPr>
        <w:tc>
          <w:tcPr>
            <w:tcW w:type="dxa" w:w="273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Capex</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(153)</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(329)</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(352)</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(376)</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(400)</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(423)</w:t>
            </w:r>
          </w:p>
        </w:tc>
      </w:tr>
      <w:tr>
        <w:trPr>
          <w:cantSplit/>
        </w:trPr>
        <w:tc>
          <w:tcPr>
            <w:tcW w:type="dxa" w:w="273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Increase in NWC</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(881)</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211</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288</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305</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312</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294</w:t>
            </w:r>
          </w:p>
        </w:tc>
      </w:tr>
      <w:tr>
        <w:trPr>
          <w:cantSplit/>
        </w:trPr>
        <w:tc>
          <w:tcPr>
            <w:tcW w:type="dxa" w:w="273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FCFF</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(519)</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1,089</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1,504</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1,822</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2,031</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2,154</w:t>
            </w:r>
          </w:p>
        </w:tc>
      </w:tr>
      <w:tr>
        <w:trPr>
          <w:cantSplit/>
        </w:trPr>
        <w:tc>
          <w:tcPr>
            <w:tcW w:type="dxa" w:w="273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Discount factor</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1.000</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0.923</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0.830</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0.747</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0.672</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0.604</w:t>
            </w:r>
          </w:p>
        </w:tc>
      </w:tr>
      <w:tr>
        <w:trPr>
          <w:cantSplit/>
        </w:trPr>
        <w:tc>
          <w:tcPr>
            <w:tcW w:type="dxa" w:w="2736"/>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6"/>
                <w:szCs w:val="16"/>
              </w:rPr>
              <w:t xml:space="preserve">PV of FCFF</w:t>
            </w:r>
          </w:p>
        </w:tc>
        <w:tc>
          <w:tcPr>
            <w:tcW w:type="dxa" w:w="1080"/>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(519)</w:t>
            </w:r>
          </w:p>
        </w:tc>
        <w:tc>
          <w:tcPr>
            <w:tcW w:type="dxa" w:w="1080"/>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1,005</w:t>
            </w:r>
          </w:p>
        </w:tc>
        <w:tc>
          <w:tcPr>
            <w:tcW w:type="dxa" w:w="1080"/>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1,249</w:t>
            </w:r>
          </w:p>
        </w:tc>
        <w:tc>
          <w:tcPr>
            <w:tcW w:type="dxa" w:w="1080"/>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1,360</w:t>
            </w:r>
          </w:p>
        </w:tc>
        <w:tc>
          <w:tcPr>
            <w:tcW w:type="dxa" w:w="1080"/>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1,364</w:t>
            </w:r>
          </w:p>
        </w:tc>
        <w:tc>
          <w:tcPr>
            <w:tcW w:type="dxa" w:w="1080"/>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1,301</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pStyle w:val="Heading3"/>
        <w:keepNext/>
      </w:pPr>
      <w:bookmarkStart w:name="h_58" w:id="58"/>
      <w:r>
        <w:t xml:space="preserve">Equity bridge</w:t>
      </w:r>
      <w:bookmarkEnd w:id="58"/>
    </w:p>
    <w:p>
      <w:pPr>
        <w:spacing w:after="120" w:line="264"/>
        <w:jc w:val="both"/>
      </w:pPr>
      <w:r>
        <w:rPr>
          <w:rFonts w:ascii="Times New Roman" w:cs="Times New Roman" w:eastAsia="Times New Roman" w:hAnsi="Times New Roman"/>
        </w:rPr>
        <w:t xml:space="preserve">We start from the audited 30 June 2026 cash position and adjust it for the known listing-related flows:</w:t>
      </w:r>
    </w:p>
    <w:p>
      <w:pPr>
        <w:pStyle w:val="ListParagraph"/>
        <w:numPr>
          <w:ilvl w:val="0"/>
          <w:numId w:val="3"/>
        </w:numPr>
        <w:spacing w:after="60" w:line="252"/>
      </w:pPr>
      <w:r>
        <w:rPr>
          <w:rFonts w:ascii="Times New Roman" w:cs="Times New Roman" w:eastAsia="Times New Roman" w:hAnsi="Times New Roman"/>
        </w:rPr>
        <w:t xml:space="preserve">plus IPO net proceeds of HK$13.2bn (US$1.68bn);</w:t>
      </w:r>
    </w:p>
    <w:p>
      <w:pPr>
        <w:pStyle w:val="ListParagraph"/>
        <w:numPr>
          <w:ilvl w:val="0"/>
          <w:numId w:val="3"/>
        </w:numPr>
        <w:spacing w:after="60" w:line="252"/>
      </w:pPr>
      <w:r>
        <w:rPr>
          <w:rFonts w:ascii="Times New Roman" w:cs="Times New Roman" w:eastAsia="Times New Roman" w:hAnsi="Times New Roman"/>
        </w:rPr>
        <w:t xml:space="preserve">less the US$2.2bn Conversion Adjustment cash paid to Series Pre-D, D and D+ holders;</w:t>
      </w:r>
    </w:p>
    <w:p>
      <w:pPr>
        <w:pStyle w:val="ListParagraph"/>
        <w:numPr>
          <w:ilvl w:val="0"/>
          <w:numId w:val="3"/>
        </w:numPr>
        <w:spacing w:after="60" w:line="252"/>
      </w:pPr>
      <w:r>
        <w:rPr>
          <w:rFonts w:ascii="Times New Roman" w:cs="Times New Roman" w:eastAsia="Times New Roman" w:hAnsi="Times New Roman"/>
        </w:rPr>
        <w:t xml:space="preserve">less US$587m of preferred distributions paid after 30 June;</w:t>
      </w:r>
    </w:p>
    <w:p>
      <w:pPr>
        <w:pStyle w:val="ListParagraph"/>
        <w:numPr>
          <w:ilvl w:val="0"/>
          <w:numId w:val="3"/>
        </w:numPr>
        <w:spacing w:after="60" w:line="252"/>
      </w:pPr>
      <w:r>
        <w:rPr>
          <w:rFonts w:ascii="Times New Roman" w:cs="Times New Roman" w:eastAsia="Times New Roman" w:hAnsi="Times New Roman"/>
        </w:rPr>
        <w:t xml:space="preserve">less restricted cash.</w:t>
      </w:r>
    </w:p>
    <w:p>
      <w:pPr>
        <w:spacing w:after="120" w:line="264"/>
        <w:jc w:val="both"/>
      </w:pPr>
      <w:r>
        <w:rPr>
          <w:rFonts w:ascii="Times New Roman" w:cs="Times New Roman" w:eastAsia="Times New Roman" w:hAnsi="Times New Roman"/>
        </w:rPr>
        <w:t xml:space="preserve">The result is US$13.5bn of pro forma unrestricted cash.</w:t>
      </w:r>
    </w:p>
    <w:p>
      <w:pPr>
        <w:spacing w:after="120" w:line="264"/>
        <w:jc w:val="both"/>
      </w:pPr>
      <w:r>
        <w:rPr>
          <w:rFonts w:ascii="Times New Roman" w:cs="Times New Roman" w:eastAsia="Times New Roman" w:hAnsi="Times New Roman"/>
        </w:rPr>
        <w:t xml:space="preserve">We then apply two deliberate haircuts:</w:t>
      </w:r>
    </w:p>
    <w:p>
      <w:pPr>
        <w:pStyle w:val="ListParagraph"/>
        <w:numPr>
          <w:ilvl w:val="0"/>
          <w:numId w:val="3"/>
        </w:numPr>
        <w:spacing w:after="60" w:line="252"/>
      </w:pPr>
      <w:r>
        <w:rPr>
          <w:rFonts w:ascii="Times New Roman" w:cs="Times New Roman" w:eastAsia="Times New Roman" w:hAnsi="Times New Roman"/>
          <w:b/>
          <w:bCs/>
        </w:rPr>
        <w:t xml:space="preserve">Minimum operating cash of US$1.5bn</w:t>
      </w:r>
      <w:r>
        <w:rPr>
          <w:rFonts w:ascii="Times New Roman" w:cs="Times New Roman" w:eastAsia="Times New Roman" w:hAnsi="Times New Roman"/>
        </w:rPr>
        <w:t xml:space="preserve"> (about 3.5% of revenue), reflecting the negative working-capital model.</w:t>
      </w:r>
    </w:p>
    <w:p>
      <w:pPr>
        <w:pStyle w:val="ListParagraph"/>
        <w:numPr>
          <w:ilvl w:val="0"/>
          <w:numId w:val="3"/>
        </w:numPr>
        <w:spacing w:after="60" w:line="252"/>
      </w:pPr>
      <w:r>
        <w:rPr>
          <w:rFonts w:ascii="Times New Roman" w:cs="Times New Roman" w:eastAsia="Times New Roman" w:hAnsi="Times New Roman"/>
          <w:b/>
          <w:bCs/>
        </w:rPr>
        <w:t xml:space="preserve">Regulatory contingency reserve of US$1.0bn</w:t>
      </w:r>
      <w:r>
        <w:rPr>
          <w:rFonts w:ascii="Times New Roman" w:cs="Times New Roman" w:eastAsia="Times New Roman" w:hAnsi="Times New Roman"/>
        </w:rPr>
        <w:t xml:space="preserve">, covering the open matters: the EU Digital Services Act investigation (maximum fine 6% of global turnover), the FTC investigation, the CNIL appeal and the Irish DPC inquiry.</w:t>
      </w:r>
    </w:p>
    <w:p>
      <w:pPr>
        <w:spacing w:after="120" w:line="264"/>
        <w:jc w:val="both"/>
      </w:pPr>
      <w:r>
        <w:rPr>
          <w:rFonts w:ascii="Times New Roman" w:cs="Times New Roman" w:eastAsia="Times New Roman" w:hAnsi="Times New Roman"/>
        </w:rPr>
        <w:t xml:space="preserve">Adding US$0.4bn of associates and investments gives an equity value of US$30.6bn, or </w:t>
      </w:r>
      <w:r>
        <w:rPr>
          <w:rFonts w:ascii="Times New Roman" w:cs="Times New Roman" w:eastAsia="Times New Roman" w:hAnsi="Times New Roman"/>
          <w:b/>
          <w:bCs/>
        </w:rPr>
        <w:t xml:space="preserve">HK$54.35 per diluted share</w:t>
      </w:r>
      <w:r>
        <w:rPr>
          <w:rFonts w:ascii="Times New Roman" w:cs="Times New Roman" w:eastAsia="Times New Roman" w:hAnsi="Times New Roman"/>
        </w:rPr>
        <w:t xml:space="preserve">. Net cash and investments after haircuts are HK$20.23 per share. We do not deduct lease liabilities (US$1.1bn), because lease costs are already inside FCFF.</w:t>
      </w:r>
    </w:p>
    <w:p>
      <w:pPr>
        <w:keepNext/>
        <w:spacing w:after="60" w:before="160"/>
      </w:pPr>
      <w:r>
        <w:rPr>
          <w:rFonts w:ascii="Times New Roman" w:cs="Times New Roman" w:eastAsia="Times New Roman" w:hAnsi="Times New Roman"/>
          <w:b/>
          <w:bCs/>
          <w:color w:val="1F3A5F"/>
          <w:sz w:val="18"/>
          <w:szCs w:val="18"/>
        </w:rPr>
        <w:t xml:space="preserve">Figure 45: </w:t>
      </w:r>
      <w:r>
        <w:rPr>
          <w:rFonts w:ascii="Times New Roman" w:cs="Times New Roman" w:eastAsia="Times New Roman" w:hAnsi="Times New Roman"/>
          <w:b/>
          <w:bCs/>
          <w:color w:val="1F3A5F"/>
          <w:sz w:val="18"/>
          <w:szCs w:val="18"/>
        </w:rPr>
        <w:t xml:space="preserve">DCF enterprise value to equity value (US$m)</w:t>
      </w:r>
    </w:p>
    <w:tbl>
      <w:tblPr>
        <w:tblW w:type="dxa" w:w="61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8"/>
        <w:gridCol w:w="1584"/>
      </w:tblGrid>
      <w:tr>
        <w:trPr>
          <w:cantSplit/>
          <w:tblHeader/>
        </w:trPr>
        <w:tc>
          <w:tcPr>
            <w:tcW w:type="dxa" w:w="460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Item</w:t>
            </w:r>
          </w:p>
        </w:tc>
        <w:tc>
          <w:tcPr>
            <w:tcW w:type="dxa" w:w="158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Value</w:t>
            </w:r>
          </w:p>
        </w:tc>
      </w:tr>
      <w:tr>
        <w:trPr>
          <w:cantSplit/>
        </w:trPr>
        <w:tc>
          <w:tcPr>
            <w:tcW w:type="dxa" w:w="4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Sum of PV of FCFF (2H26E-FY31E)</w:t>
            </w: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5,761</w:t>
            </w:r>
          </w:p>
        </w:tc>
      </w:tr>
      <w:tr>
        <w:trPr>
          <w:cantSplit/>
        </w:trPr>
        <w:tc>
          <w:tcPr>
            <w:tcW w:type="dxa" w:w="4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PV of terminal value</w:t>
            </w:r>
          </w:p>
        </w:tc>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13,460</w:t>
            </w:r>
          </w:p>
        </w:tc>
      </w:tr>
      <w:tr>
        <w:trPr>
          <w:cantSplit/>
        </w:trPr>
        <w:tc>
          <w:tcPr>
            <w:tcW w:type="dxa" w:w="460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Operating enterprise value</w:t>
            </w:r>
          </w:p>
        </w:tc>
        <w:tc>
          <w:tcPr>
            <w:tcW w:type="dxa" w:w="1584"/>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19,221</w:t>
            </w:r>
          </w:p>
        </w:tc>
      </w:tr>
      <w:tr>
        <w:trPr>
          <w:cantSplit/>
        </w:trPr>
        <w:tc>
          <w:tcPr>
            <w:tcW w:type="dxa" w:w="4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Terminal value % of EV</w:t>
            </w:r>
          </w:p>
        </w:tc>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70.0%</w:t>
            </w:r>
          </w:p>
        </w:tc>
      </w:tr>
      <w:tr>
        <w:trPr>
          <w:cantSplit/>
        </w:trPr>
        <w:tc>
          <w:tcPr>
            <w:tcW w:type="dxa" w:w="4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Cash resources, 30-Jun-2026</w:t>
            </w: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15,248</w:t>
            </w:r>
          </w:p>
        </w:tc>
      </w:tr>
      <w:tr>
        <w:trPr>
          <w:cantSplit/>
        </w:trPr>
        <w:tc>
          <w:tcPr>
            <w:tcW w:type="dxa" w:w="4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Restricted cash</w:t>
            </w:r>
          </w:p>
        </w:tc>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(660)</w:t>
            </w:r>
          </w:p>
        </w:tc>
      </w:tr>
      <w:tr>
        <w:trPr>
          <w:cantSplit/>
        </w:trPr>
        <w:tc>
          <w:tcPr>
            <w:tcW w:type="dxa" w:w="4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IPO net proceeds</w:t>
            </w: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1,684</w:t>
            </w:r>
          </w:p>
        </w:tc>
      </w:tr>
      <w:tr>
        <w:trPr>
          <w:cantSplit/>
        </w:trPr>
        <w:tc>
          <w:tcPr>
            <w:tcW w:type="dxa" w:w="4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Conversion Adjustment cash</w:t>
            </w:r>
          </w:p>
        </w:tc>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(2,200)</w:t>
            </w:r>
          </w:p>
        </w:tc>
      </w:tr>
      <w:tr>
        <w:trPr>
          <w:cantSplit/>
        </w:trPr>
        <w:tc>
          <w:tcPr>
            <w:tcW w:type="dxa" w:w="4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Preferred distributions after 30-Jun</w:t>
            </w: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(587)</w:t>
            </w:r>
          </w:p>
        </w:tc>
      </w:tr>
      <w:tr>
        <w:trPr>
          <w:cantSplit/>
        </w:trPr>
        <w:tc>
          <w:tcPr>
            <w:tcW w:type="dxa" w:w="4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Minimum operating cash</w:t>
            </w:r>
          </w:p>
        </w:tc>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(1,500)</w:t>
            </w:r>
          </w:p>
        </w:tc>
      </w:tr>
      <w:tr>
        <w:trPr>
          <w:cantSplit/>
        </w:trPr>
        <w:tc>
          <w:tcPr>
            <w:tcW w:type="dxa" w:w="4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Regulatory contingency reserve</w:t>
            </w: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(1,000)</w:t>
            </w:r>
          </w:p>
        </w:tc>
      </w:tr>
      <w:tr>
        <w:trPr>
          <w:cantSplit/>
        </w:trPr>
        <w:tc>
          <w:tcPr>
            <w:tcW w:type="dxa" w:w="4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Associates &amp; FVTPL investments</w:t>
            </w:r>
          </w:p>
        </w:tc>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411</w:t>
            </w:r>
          </w:p>
        </w:tc>
      </w:tr>
      <w:tr>
        <w:trPr>
          <w:cantSplit/>
        </w:trPr>
        <w:tc>
          <w:tcPr>
            <w:tcW w:type="dxa" w:w="460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Equity value</w:t>
            </w:r>
          </w:p>
        </w:tc>
        <w:tc>
          <w:tcPr>
            <w:tcW w:type="dxa" w:w="1584"/>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30,618</w:t>
            </w:r>
          </w:p>
        </w:tc>
      </w:tr>
      <w:tr>
        <w:trPr>
          <w:cantSplit/>
        </w:trPr>
        <w:tc>
          <w:tcPr>
            <w:tcW w:type="dxa" w:w="4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Diluted shares (m)</w:t>
            </w:r>
          </w:p>
        </w:tc>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4,419.2</w:t>
            </w:r>
          </w:p>
        </w:tc>
      </w:tr>
      <w:tr>
        <w:trPr>
          <w:cantSplit/>
        </w:trPr>
        <w:tc>
          <w:tcPr>
            <w:tcW w:type="dxa" w:w="4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DCF value per share (US$)</w:t>
            </w: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6.93</w:t>
            </w:r>
          </w:p>
        </w:tc>
      </w:tr>
      <w:tr>
        <w:trPr>
          <w:cantSplit/>
        </w:trPr>
        <w:tc>
          <w:tcPr>
            <w:tcW w:type="dxa" w:w="460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DCF value per share (HK$)</w:t>
            </w:r>
          </w:p>
        </w:tc>
        <w:tc>
          <w:tcPr>
            <w:tcW w:type="dxa" w:w="1584"/>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54.35</w:t>
            </w:r>
          </w:p>
        </w:tc>
      </w:tr>
      <w:tr>
        <w:trPr>
          <w:cantSplit/>
        </w:trPr>
        <w:tc>
          <w:tcPr>
            <w:tcW w:type="dxa" w:w="4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Implied terminal EV/EBITDA</w:t>
            </w: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7.2x</w:t>
            </w:r>
          </w:p>
        </w:tc>
      </w:tr>
      <w:tr>
        <w:trPr>
          <w:cantSplit/>
        </w:trPr>
        <w:tc>
          <w:tcPr>
            <w:tcW w:type="dxa" w:w="4608"/>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Implied P/E on FY27E adj. EPS</w:t>
            </w:r>
          </w:p>
        </w:tc>
        <w:tc>
          <w:tcPr>
            <w:tcW w:type="dxa" w:w="1584"/>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21.1x</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keepNext/>
        <w:spacing w:after="60" w:before="160"/>
      </w:pPr>
      <w:r>
        <w:rPr>
          <w:rFonts w:ascii="Times New Roman" w:cs="Times New Roman" w:eastAsia="Times New Roman" w:hAnsi="Times New Roman"/>
          <w:b/>
          <w:bCs/>
          <w:color w:val="1F3A5F"/>
          <w:sz w:val="18"/>
          <w:szCs w:val="18"/>
        </w:rPr>
        <w:t xml:space="preserve">Figure 46: </w:t>
      </w:r>
      <w:r>
        <w:rPr>
          <w:rFonts w:ascii="Times New Roman" w:cs="Times New Roman" w:eastAsia="Times New Roman" w:hAnsi="Times New Roman"/>
          <w:b/>
          <w:bCs/>
          <w:color w:val="1F3A5F"/>
          <w:sz w:val="18"/>
          <w:szCs w:val="18"/>
        </w:rPr>
        <w:t xml:space="preserve">DCF value per share build-up (HK$)</w:t>
      </w:r>
    </w:p>
    <w:p>
      <w:pPr>
        <w:keepNext/>
        <w:spacing w:after="20"/>
        <w:jc w:val="center"/>
      </w:pPr>
      <w:r>
        <w:drawing>
          <wp:inline distT="0" distB="0" distL="0" distR="0">
            <wp:extent cx="5762625" cy="2924175"/>
            <wp:effectExtent t="0" r="0" b="0" l="0"/>
            <wp:docPr id="30" name="chart_29_dcf_valuation_waterfall.png" descr="DCF value per share build-up (HK$)" title="DCF value per share build-up (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3"/>
        <w:keepNext/>
      </w:pPr>
      <w:bookmarkStart w:name="h_59" w:id="59"/>
      <w:r>
        <w:t xml:space="preserve">Sensitivity analysis</w:t>
      </w:r>
      <w:bookmarkEnd w:id="59"/>
    </w:p>
    <w:p>
      <w:pPr>
        <w:spacing w:after="120" w:line="264"/>
        <w:jc w:val="both"/>
      </w:pPr>
      <w:r>
        <w:rPr>
          <w:rFonts w:ascii="Times New Roman" w:cs="Times New Roman" w:eastAsia="Times New Roman" w:hAnsi="Times New Roman"/>
        </w:rPr>
        <w:t xml:space="preserve">The DCF value ranges from HK$46.72 to HK$68.21 across WACC of 9.7-12.7% and terminal growth of 1.5-3.5%. The second grid varies the two operating drivers that matter most: the revenue CAGR and the FY2031E EBIT margin. It shows a range of HK$35.95-77.21. It is a simplified re-computation around the base case, so the central cell (HK$53.69) differs slightly from the full-model DCF value.</w:t>
      </w:r>
    </w:p>
    <w:p>
      <w:pPr>
        <w:spacing w:after="120" w:line="264"/>
        <w:jc w:val="both"/>
      </w:pPr>
      <w:r>
        <w:rPr>
          <w:rFonts w:ascii="Times New Roman" w:cs="Times New Roman" w:eastAsia="Times New Roman" w:hAnsi="Times New Roman"/>
          <w:b/>
          <w:bCs/>
        </w:rPr>
        <w:t xml:space="preserve">Every cell in both grids is above the current share price.</w:t>
      </w:r>
      <w:r>
        <w:rPr>
          <w:rFonts w:ascii="Times New Roman" w:cs="Times New Roman" w:eastAsia="Times New Roman" w:hAnsi="Times New Roman"/>
        </w:rPr>
        <w:t xml:space="preserve"> The most pessimistic combination tested, a 2.1% revenue CAGR with a 2.6% terminal EBIT margin, still gives HK$35.95 per share. The balance sheet sets a floor close to today's price, and the operating business is valued at close to zero.</w:t>
      </w:r>
    </w:p>
    <w:p>
      <w:pPr>
        <w:keepNext/>
        <w:spacing w:after="60" w:before="160"/>
      </w:pPr>
      <w:r>
        <w:rPr>
          <w:rFonts w:ascii="Times New Roman" w:cs="Times New Roman" w:eastAsia="Times New Roman" w:hAnsi="Times New Roman"/>
          <w:b/>
          <w:bCs/>
          <w:color w:val="1F3A5F"/>
          <w:sz w:val="18"/>
          <w:szCs w:val="18"/>
        </w:rPr>
        <w:t xml:space="preserve">Figure 47: </w:t>
      </w:r>
      <w:r>
        <w:rPr>
          <w:rFonts w:ascii="Times New Roman" w:cs="Times New Roman" w:eastAsia="Times New Roman" w:hAnsi="Times New Roman"/>
          <w:b/>
          <w:bCs/>
          <w:color w:val="1F3A5F"/>
          <w:sz w:val="18"/>
          <w:szCs w:val="18"/>
        </w:rPr>
        <w:t xml:space="preserve">DCF value per share (HK$) - WACC vs terminal growth</w:t>
      </w:r>
    </w:p>
    <w:tbl>
      <w:tblPr>
        <w:tblW w:type="dxa" w:w="80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1296"/>
        <w:gridCol w:w="1296"/>
        <w:gridCol w:w="1296"/>
        <w:gridCol w:w="1296"/>
        <w:gridCol w:w="1296"/>
      </w:tblGrid>
      <w:tr>
        <w:trPr>
          <w:cantSplit/>
          <w:tblHeader/>
        </w:trPr>
        <w:tc>
          <w:tcPr>
            <w:tcW w:type="dxa" w:w="158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WACC \ g</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1.5%</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2.0%</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2.5%</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3.0%</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3.5%</w:t>
            </w:r>
          </w:p>
        </w:tc>
      </w:tr>
      <w:tr>
        <w:trPr>
          <w:cantSplit/>
        </w:trPr>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9.7%</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57.15</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59.37</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61.91</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64.82</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68.21</w:t>
            </w:r>
          </w:p>
        </w:tc>
      </w:tr>
      <w:tr>
        <w:trPr>
          <w:cantSplit/>
        </w:trPr>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10.2%</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54.90</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56.86</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59.06</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61.57</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64.46</w:t>
            </w:r>
          </w:p>
        </w:tc>
      </w:tr>
      <w:tr>
        <w:trPr>
          <w:cantSplit/>
        </w:trPr>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10.7%</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52.91</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54.63</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56.56</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58.74</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61.23</w:t>
            </w:r>
          </w:p>
        </w:tc>
      </w:tr>
      <w:tr>
        <w:trPr>
          <w:cantSplit/>
        </w:trPr>
        <w:tc>
          <w:tcPr>
            <w:tcW w:type="dxa" w:w="1584"/>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11.2%</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51.12</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52.65</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54.35</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56.27</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58.43</w:t>
            </w:r>
          </w:p>
        </w:tc>
      </w:tr>
      <w:tr>
        <w:trPr>
          <w:cantSplit/>
        </w:trPr>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11.7%</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49.51</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50.87</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52.39</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54.07</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55.97</w:t>
            </w:r>
          </w:p>
        </w:tc>
      </w:tr>
      <w:tr>
        <w:trPr>
          <w:cantSplit/>
        </w:trPr>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12.2%</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48.05</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49.27</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50.62</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52.12</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53.79</w:t>
            </w:r>
          </w:p>
        </w:tc>
      </w:tr>
      <w:tr>
        <w:trPr>
          <w:cantSplit/>
        </w:trPr>
        <w:tc>
          <w:tcPr>
            <w:tcW w:type="dxa" w:w="1584"/>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12.7%</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46.72</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47.82</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49.04</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50.37</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51.86</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keepNext/>
        <w:spacing w:after="60" w:before="160"/>
      </w:pPr>
      <w:r>
        <w:rPr>
          <w:rFonts w:ascii="Times New Roman" w:cs="Times New Roman" w:eastAsia="Times New Roman" w:hAnsi="Times New Roman"/>
          <w:b/>
          <w:bCs/>
          <w:color w:val="1F3A5F"/>
          <w:sz w:val="18"/>
          <w:szCs w:val="18"/>
        </w:rPr>
        <w:t xml:space="preserve">Figure 48: </w:t>
      </w:r>
      <w:r>
        <w:rPr>
          <w:rFonts w:ascii="Times New Roman" w:cs="Times New Roman" w:eastAsia="Times New Roman" w:hAnsi="Times New Roman"/>
          <w:b/>
          <w:bCs/>
          <w:color w:val="1F3A5F"/>
          <w:sz w:val="18"/>
          <w:szCs w:val="18"/>
        </w:rPr>
        <w:t xml:space="preserve">DCF sensitivity heatmap: WACC vs. terminal growth (HK$ per share)</w:t>
      </w:r>
    </w:p>
    <w:p>
      <w:pPr>
        <w:keepNext/>
        <w:spacing w:after="20"/>
        <w:jc w:val="center"/>
      </w:pPr>
      <w:r>
        <w:drawing>
          <wp:inline distT="0" distB="0" distL="0" distR="0">
            <wp:extent cx="5762625" cy="3295650"/>
            <wp:effectExtent t="0" r="0" b="0" l="0"/>
            <wp:docPr id="31" name="chart_28_dcf_sensitivity_heatmap.png" descr="DCF sensitivity heatmap: WACC vs. terminal growth (HK$ per share)" title="DCF sensitivity heatmap: WACC vs. terminal growth (HK$ per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3295650"/>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49: </w:t>
      </w:r>
      <w:r>
        <w:rPr>
          <w:rFonts w:ascii="Times New Roman" w:cs="Times New Roman" w:eastAsia="Times New Roman" w:hAnsi="Times New Roman"/>
          <w:b/>
          <w:bCs/>
          <w:color w:val="1F3A5F"/>
          <w:sz w:val="18"/>
          <w:szCs w:val="18"/>
        </w:rPr>
        <w:t xml:space="preserve">DCF value per share (HK$) - revenue CAGR FY26E-31E vs FY31E EBIT margin</w:t>
      </w:r>
    </w:p>
    <w:tbl>
      <w:tblPr>
        <w:tblW w:type="dxa" w:w="80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1296"/>
        <w:gridCol w:w="1296"/>
        <w:gridCol w:w="1296"/>
        <w:gridCol w:w="1296"/>
        <w:gridCol w:w="1296"/>
      </w:tblGrid>
      <w:tr>
        <w:trPr>
          <w:cantSplit/>
          <w:tblHeader/>
        </w:trPr>
        <w:tc>
          <w:tcPr>
            <w:tcW w:type="dxa" w:w="158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CAGR \ margin</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2.6%</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3.6%</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4.6%</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5.6%</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6.6%</w:t>
            </w:r>
          </w:p>
        </w:tc>
      </w:tr>
      <w:tr>
        <w:trPr>
          <w:cantSplit/>
        </w:trPr>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2.1%</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35.95</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41.61</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47.27</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52.93</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58.60</w:t>
            </w:r>
          </w:p>
        </w:tc>
      </w:tr>
      <w:tr>
        <w:trPr>
          <w:cantSplit/>
        </w:trPr>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4.1%</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37.97</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44.17</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50.37</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56.57</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62.76</w:t>
            </w:r>
          </w:p>
        </w:tc>
      </w:tr>
      <w:tr>
        <w:trPr>
          <w:cantSplit/>
        </w:trPr>
        <w:tc>
          <w:tcPr>
            <w:tcW w:type="dxa" w:w="1584"/>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6.1%</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40.15</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46.92</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53.69</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60.47</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67.24</w:t>
            </w:r>
          </w:p>
        </w:tc>
      </w:tr>
      <w:tr>
        <w:trPr>
          <w:cantSplit/>
        </w:trPr>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8.1%</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42.47</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49.87</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57.26</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64.66</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72.05</w:t>
            </w:r>
          </w:p>
        </w:tc>
      </w:tr>
      <w:tr>
        <w:trPr>
          <w:cantSplit/>
        </w:trPr>
        <w:tc>
          <w:tcPr>
            <w:tcW w:type="dxa" w:w="1584"/>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10.1%</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44.97</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53.03</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61.09</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69.15</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77.21</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pStyle w:val="Heading2"/>
        <w:keepNext/>
      </w:pPr>
      <w:bookmarkStart w:name="h_60" w:id="60"/>
      <w:r>
        <w:t xml:space="preserve">Comparable companies</w:t>
      </w:r>
      <w:bookmarkEnd w:id="60"/>
    </w:p>
    <w:p>
      <w:pPr>
        <w:pStyle w:val="Heading3"/>
        <w:keepNext/>
      </w:pPr>
      <w:bookmarkStart w:name="h_61" w:id="61"/>
      <w:r>
        <w:t xml:space="preserve">Peer selection</w:t>
      </w:r>
      <w:bookmarkEnd w:id="61"/>
    </w:p>
    <w:p>
      <w:pPr>
        <w:spacing w:after="120" w:line="264"/>
        <w:jc w:val="both"/>
      </w:pPr>
      <w:r>
        <w:rPr>
          <w:rFonts w:ascii="Times New Roman" w:cs="Times New Roman" w:eastAsia="Times New Roman" w:hAnsi="Times New Roman"/>
        </w:rPr>
        <w:t xml:space="preserve">SHEIN does not have a perfect comparable, so we use three peer groups:</w:t>
      </w:r>
    </w:p>
    <w:p>
      <w:pPr>
        <w:pStyle w:val="ListParagraph"/>
        <w:numPr>
          <w:ilvl w:val="0"/>
          <w:numId w:val="3"/>
        </w:numPr>
        <w:spacing w:after="60" w:line="252"/>
      </w:pPr>
      <w:r>
        <w:rPr>
          <w:rFonts w:ascii="Times New Roman" w:cs="Times New Roman" w:eastAsia="Times New Roman" w:hAnsi="Times New Roman"/>
          <w:b/>
          <w:bCs/>
        </w:rPr>
        <w:t xml:space="preserve">Global apparel retail</w:t>
      </w:r>
      <w:r>
        <w:rPr>
          <w:rFonts w:ascii="Times New Roman" w:cs="Times New Roman" w:eastAsia="Times New Roman" w:hAnsi="Times New Roman"/>
        </w:rPr>
        <w:t xml:space="preserve"> (Inditex, H&amp;M, Fast Retailing): vertically integrated fashion brands, which is what SHEIN says it is.</w:t>
      </w:r>
    </w:p>
    <w:p>
      <w:pPr>
        <w:pStyle w:val="ListParagraph"/>
        <w:numPr>
          <w:ilvl w:val="0"/>
          <w:numId w:val="3"/>
        </w:numPr>
        <w:spacing w:after="60" w:line="252"/>
      </w:pPr>
      <w:r>
        <w:rPr>
          <w:rFonts w:ascii="Times New Roman" w:cs="Times New Roman" w:eastAsia="Times New Roman" w:hAnsi="Times New Roman"/>
          <w:b/>
          <w:bCs/>
        </w:rPr>
        <w:t xml:space="preserve">Online fashion</w:t>
      </w:r>
      <w:r>
        <w:rPr>
          <w:rFonts w:ascii="Times New Roman" w:cs="Times New Roman" w:eastAsia="Times New Roman" w:hAnsi="Times New Roman"/>
        </w:rPr>
        <w:t xml:space="preserve"> (Zalando, ASOS, Revolve): digital fashion models with similar customer-acquisition economics.</w:t>
      </w:r>
    </w:p>
    <w:p>
      <w:pPr>
        <w:pStyle w:val="ListParagraph"/>
        <w:numPr>
          <w:ilvl w:val="0"/>
          <w:numId w:val="3"/>
        </w:numPr>
        <w:spacing w:after="60" w:line="252"/>
      </w:pPr>
      <w:r>
        <w:rPr>
          <w:rFonts w:ascii="Times New Roman" w:cs="Times New Roman" w:eastAsia="Times New Roman" w:hAnsi="Times New Roman"/>
          <w:b/>
          <w:bCs/>
        </w:rPr>
        <w:t xml:space="preserve">E-commerce platforms</w:t>
      </w:r>
      <w:r>
        <w:rPr>
          <w:rFonts w:ascii="Times New Roman" w:cs="Times New Roman" w:eastAsia="Times New Roman" w:hAnsi="Times New Roman"/>
        </w:rPr>
        <w:t xml:space="preserve"> (PDD/Temu, Alibaba/AliExpress, JD.com, Amazon, MercadoLibre): marketplaces and China-linked cross-border sellers that investors reference in practice.</w:t>
      </w:r>
    </w:p>
    <w:p>
      <w:pPr>
        <w:pStyle w:val="Heading3"/>
        <w:keepNext/>
      </w:pPr>
      <w:bookmarkStart w:name="h_62" w:id="62"/>
      <w:r>
        <w:t xml:space="preserve">Trading multiples</w:t>
      </w:r>
      <w:bookmarkEnd w:id="62"/>
    </w:p>
    <w:p>
      <w:pPr>
        <w:spacing w:after="120" w:line="264"/>
        <w:jc w:val="both"/>
      </w:pPr>
      <w:r>
        <w:rPr>
          <w:rFonts w:ascii="Times New Roman" w:cs="Times New Roman" w:eastAsia="Times New Roman" w:hAnsi="Times New Roman"/>
        </w:rPr>
        <w:t xml:space="preserve">SHEIN's multiples on its enterprise value are in a different league from those of every peer:</w:t>
      </w:r>
    </w:p>
    <w:p>
      <w:pPr>
        <w:pStyle w:val="ListParagraph"/>
        <w:numPr>
          <w:ilvl w:val="0"/>
          <w:numId w:val="3"/>
        </w:numPr>
        <w:spacing w:after="60" w:line="252"/>
      </w:pPr>
      <w:r>
        <w:rPr>
          <w:rFonts w:ascii="Times New Roman" w:cs="Times New Roman" w:eastAsia="Times New Roman" w:hAnsi="Times New Roman"/>
          <w:b/>
          <w:bCs/>
        </w:rPr>
        <w:t xml:space="preserve">Enterprise value:</w:t>
      </w:r>
      <w:r>
        <w:rPr>
          <w:rFonts w:ascii="Times New Roman" w:cs="Times New Roman" w:eastAsia="Times New Roman" w:hAnsi="Times New Roman"/>
        </w:rPr>
        <w:t xml:space="preserve"> US$3.5bn (fully diluted market cap less pro forma cash and investments, before any haircuts).</w:t>
      </w:r>
    </w:p>
    <w:p>
      <w:pPr>
        <w:pStyle w:val="ListParagraph"/>
        <w:numPr>
          <w:ilvl w:val="0"/>
          <w:numId w:val="3"/>
        </w:numPr>
        <w:spacing w:after="60" w:line="252"/>
      </w:pPr>
      <w:r>
        <w:rPr>
          <w:rFonts w:ascii="Times New Roman" w:cs="Times New Roman" w:eastAsia="Times New Roman" w:hAnsi="Times New Roman"/>
          <w:b/>
          <w:bCs/>
        </w:rPr>
        <w:t xml:space="preserve">Trailing multiples:</w:t>
      </w:r>
      <w:r>
        <w:rPr>
          <w:rFonts w:ascii="Times New Roman" w:cs="Times New Roman" w:eastAsia="Times New Roman" w:hAnsi="Times New Roman"/>
        </w:rPr>
        <w:t xml:space="preserve"> 0.08x EV/Sales, 2.2x EV/EBITDA and 3.0x EV/EBIT. The peer medians are 1.4x, 14.1x and 24.1x.</w:t>
      </w:r>
    </w:p>
    <w:p>
      <w:pPr>
        <w:spacing w:after="120" w:line="264"/>
        <w:jc w:val="both"/>
      </w:pPr>
      <w:r>
        <w:rPr>
          <w:rFonts w:ascii="Times New Roman" w:cs="Times New Roman" w:eastAsia="Times New Roman" w:hAnsi="Times New Roman"/>
        </w:rPr>
        <w:t xml:space="preserve">On P/E, which includes the interest income on its cash, SHEIN trades at 14.6x LTM and 12.6x NTM adjusted earnings. These are discounts of 36% and 38% to the peer medians of 22.8x and 20.3x.</w:t>
      </w:r>
    </w:p>
    <w:p>
      <w:pPr>
        <w:spacing w:after="120" w:line="264"/>
        <w:jc w:val="both"/>
      </w:pPr>
      <w:r>
        <w:rPr>
          <w:rFonts w:ascii="Times New Roman" w:cs="Times New Roman" w:eastAsia="Times New Roman" w:hAnsi="Times New Roman"/>
        </w:rPr>
        <w:t xml:space="preserve">The closest valuation analogue is PDD Holdings (Temu), at 3.0x EV/EBITDA and 6.8x NTM P/E. However, PDD's cash is held largely in China and it has no dividend commitment.</w:t>
      </w:r>
    </w:p>
    <w:p>
      <w:pPr>
        <w:keepNext/>
        <w:spacing w:after="60" w:before="160"/>
      </w:pPr>
      <w:r>
        <w:rPr>
          <w:rFonts w:ascii="Times New Roman" w:cs="Times New Roman" w:eastAsia="Times New Roman" w:hAnsi="Times New Roman"/>
          <w:b/>
          <w:bCs/>
          <w:color w:val="1F3A5F"/>
          <w:sz w:val="18"/>
          <w:szCs w:val="18"/>
        </w:rPr>
        <w:t xml:space="preserve">Figure 50: </w:t>
      </w:r>
      <w:r>
        <w:rPr>
          <w:rFonts w:ascii="Times New Roman" w:cs="Times New Roman" w:eastAsia="Times New Roman" w:hAnsi="Times New Roman"/>
          <w:b/>
          <w:bCs/>
          <w:color w:val="1F3A5F"/>
          <w:sz w:val="18"/>
          <w:szCs w:val="18"/>
        </w:rPr>
        <w:t xml:space="preserve">Trading comparables (prices as of 29/30-Sep-2026)</w:t>
      </w:r>
    </w:p>
    <w:tbl>
      <w:tblPr>
        <w:tblW w:type="dxa" w:w="92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8"/>
        <w:gridCol w:w="1368"/>
        <w:gridCol w:w="893"/>
        <w:gridCol w:w="835"/>
        <w:gridCol w:w="893"/>
        <w:gridCol w:w="835"/>
        <w:gridCol w:w="792"/>
        <w:gridCol w:w="792"/>
        <w:gridCol w:w="792"/>
      </w:tblGrid>
      <w:tr>
        <w:trPr>
          <w:cantSplit/>
          <w:tblHeader/>
        </w:trPr>
        <w:tc>
          <w:tcPr>
            <w:tcW w:type="dxa" w:w="208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Company</w:t>
            </w:r>
          </w:p>
        </w:tc>
        <w:tc>
          <w:tcPr>
            <w:tcW w:type="dxa" w:w="136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Segment</w:t>
            </w:r>
          </w:p>
        </w:tc>
        <w:tc>
          <w:tcPr>
            <w:tcW w:type="dxa" w:w="893"/>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Mkt cap US$bn</w:t>
            </w:r>
          </w:p>
        </w:tc>
        <w:tc>
          <w:tcPr>
            <w:tcW w:type="dxa" w:w="835"/>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EV/Sales LTM</w:t>
            </w:r>
          </w:p>
        </w:tc>
        <w:tc>
          <w:tcPr>
            <w:tcW w:type="dxa" w:w="893"/>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EV/EBITDA LTM</w:t>
            </w:r>
          </w:p>
        </w:tc>
        <w:tc>
          <w:tcPr>
            <w:tcW w:type="dxa" w:w="835"/>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EV/EBIT LTM</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P/E LTM</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P/E NTM</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EBITDA mgn</w:t>
            </w:r>
          </w:p>
        </w:tc>
      </w:tr>
      <w:tr>
        <w:trPr>
          <w:cantSplit/>
        </w:trP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Inditex</w:t>
            </w:r>
          </w:p>
        </w:tc>
        <w:tc>
          <w:tcPr>
            <w:tcW w:type="dxa" w:w="1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Global apparel</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189.2</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3.9x</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14.1x</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19.2x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25.9x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23.5x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23.7%</w:t>
            </w:r>
          </w:p>
        </w:tc>
      </w:tr>
      <w:tr>
        <w:trPr>
          <w:cantSplit/>
        </w:trP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H&amp;M</w:t>
            </w:r>
          </w:p>
        </w:tc>
        <w:tc>
          <w:tcPr>
            <w:tcW w:type="dxa" w:w="1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Global apparel</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25.3</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1.4x</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8.2x</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15.3x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19.0x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19.3x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11.3%</w:t>
            </w:r>
          </w:p>
        </w:tc>
      </w:tr>
      <w:tr>
        <w:trPr>
          <w:cantSplit/>
        </w:trP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Fast Retailing</w:t>
            </w:r>
          </w:p>
        </w:tc>
        <w:tc>
          <w:tcPr>
            <w:tcW w:type="dxa" w:w="1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Global apparel</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138.6</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5.4x</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22.6x</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29.0x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42.1x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38.8x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20.1%</w:t>
            </w:r>
          </w:p>
        </w:tc>
      </w:tr>
      <w:tr>
        <w:trPr>
          <w:cantSplit/>
        </w:trP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Zalando</w:t>
            </w:r>
          </w:p>
        </w:tc>
        <w:tc>
          <w:tcPr>
            <w:tcW w:type="dxa" w:w="1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Online fashion</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6.0</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0.4x</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6.4x</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12.4x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59.3x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12.9x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4.8%</w:t>
            </w:r>
          </w:p>
        </w:tc>
      </w:tr>
      <w:tr>
        <w:trPr>
          <w:cantSplit/>
        </w:trP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ASOS</w:t>
            </w:r>
          </w:p>
        </w:tc>
        <w:tc>
          <w:tcPr>
            <w:tcW w:type="dxa" w:w="1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Online fashion</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0.8</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0.5x</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n.m.</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n.m.</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n.m.</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n.m.</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w:t>
            </w:r>
          </w:p>
        </w:tc>
      </w:tr>
      <w:tr>
        <w:trPr>
          <w:cantSplit/>
        </w:trP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Revolve</w:t>
            </w:r>
          </w:p>
        </w:tc>
        <w:tc>
          <w:tcPr>
            <w:tcW w:type="dxa" w:w="1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Online fashion</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0.9x</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14.1x</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15.0x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21.0x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21.2x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6.7%</w:t>
            </w:r>
          </w:p>
        </w:tc>
      </w:tr>
      <w:tr>
        <w:trPr>
          <w:cantSplit/>
        </w:trP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PDD Holdings (Temu)</w:t>
            </w:r>
          </w:p>
        </w:tc>
        <w:tc>
          <w:tcPr>
            <w:tcW w:type="dxa" w:w="1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E-com platform</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110.3</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0.7x</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3.0x</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8.5x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6.8x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22.0%</w:t>
            </w:r>
          </w:p>
        </w:tc>
      </w:tr>
      <w:tr>
        <w:trPr>
          <w:cantSplit/>
        </w:trP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Alibaba (AliExpress)</w:t>
            </w:r>
          </w:p>
        </w:tc>
        <w:tc>
          <w:tcPr>
            <w:tcW w:type="dxa" w:w="1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E-com platform</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267.8</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1.6x</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17.1x</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35.7x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24.6x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13.6x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9.5%</w:t>
            </w:r>
          </w:p>
        </w:tc>
      </w:tr>
      <w:tr>
        <w:trPr>
          <w:cantSplit/>
        </w:trP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JD.com</w:t>
            </w:r>
          </w:p>
        </w:tc>
        <w:tc>
          <w:tcPr>
            <w:tcW w:type="dxa" w:w="1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E-com platform</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35.4</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0.1x</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7.2x</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39.0x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18.1x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6.4x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0.9%</w:t>
            </w:r>
          </w:p>
        </w:tc>
      </w:tr>
      <w:tr>
        <w:trPr>
          <w:cantSplit/>
        </w:trP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Amazon</w:t>
            </w:r>
          </w:p>
        </w:tc>
        <w:tc>
          <w:tcPr>
            <w:tcW w:type="dxa" w:w="1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E-com platform</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2,660.0</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3.6x</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16.5x</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29.8x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19.8x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26.3x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21.8%</w:t>
            </w:r>
          </w:p>
        </w:tc>
      </w:tr>
      <w:tr>
        <w:trPr>
          <w:cantSplit/>
        </w:trP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MercadoLibre</w:t>
            </w:r>
          </w:p>
        </w:tc>
        <w:tc>
          <w:tcPr>
            <w:tcW w:type="dxa" w:w="1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E-com platform</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87.5</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2.7x</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24.4x</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32.7x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46.9x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41.0x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11.1%</w:t>
            </w:r>
          </w:p>
        </w:tc>
      </w:tr>
      <w:tr>
        <w:trPr>
          <w:cantSplit/>
        </w:trPr>
        <w:tc>
          <w:tcPr>
            <w:tcW w:type="dxa" w:w="2088"/>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SHEIN (at HK$30.84)</w:t>
            </w:r>
          </w:p>
        </w:tc>
        <w:tc>
          <w:tcPr>
            <w:tcW w:type="dxa" w:w="1368"/>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Subject</w:t>
            </w:r>
          </w:p>
        </w:tc>
        <w:tc>
          <w:tcPr>
            <w:tcW w:type="dxa" w:w="893"/>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17.4</w:t>
            </w:r>
          </w:p>
        </w:tc>
        <w:tc>
          <w:tcPr>
            <w:tcW w:type="dxa" w:w="835"/>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0.08x</w:t>
            </w:r>
          </w:p>
        </w:tc>
        <w:tc>
          <w:tcPr>
            <w:tcW w:type="dxa" w:w="893"/>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2.2x</w:t>
            </w:r>
          </w:p>
        </w:tc>
        <w:tc>
          <w:tcPr>
            <w:tcW w:type="dxa" w:w="835"/>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3.0x</w:t>
            </w:r>
          </w:p>
        </w:tc>
        <w:tc>
          <w:tcPr>
            <w:tcW w:type="dxa" w:w="792"/>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14.6x</w:t>
            </w:r>
          </w:p>
        </w:tc>
        <w:tc>
          <w:tcPr>
            <w:tcW w:type="dxa" w:w="792"/>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12.6x</w:t>
            </w:r>
          </w:p>
        </w:tc>
        <w:tc>
          <w:tcPr>
            <w:tcW w:type="dxa" w:w="792"/>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3.8%</w:t>
            </w:r>
          </w:p>
        </w:tc>
      </w:tr>
      <w:tr>
        <w:trPr>
          <w:cantSplit/>
        </w:trP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Maximum</w:t>
            </w:r>
          </w:p>
        </w:tc>
        <w:tc>
          <w:tcPr>
            <w:tcW w:type="dxa" w:w="1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5.4x</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24.4x</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39.0x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59.3x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41.0x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23.7%</w:t>
            </w:r>
          </w:p>
        </w:tc>
      </w:tr>
      <w:tr>
        <w:trPr>
          <w:cantSplit/>
        </w:trP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75th percentile</w:t>
            </w:r>
          </w:p>
        </w:tc>
        <w:tc>
          <w:tcPr>
            <w:tcW w:type="dxa" w:w="1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3.2x</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16.9x</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31.9x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38.0x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25.6x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21.0%</w:t>
            </w:r>
          </w:p>
        </w:tc>
      </w:tr>
      <w:tr>
        <w:trPr>
          <w:cantSplit/>
        </w:trPr>
        <w:tc>
          <w:tcPr>
            <w:tcW w:type="dxa" w:w="208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Median</w:t>
            </w:r>
          </w:p>
        </w:tc>
        <w:tc>
          <w:tcPr>
            <w:tcW w:type="dxa" w:w="136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893"/>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835"/>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1.4x</w:t>
            </w:r>
          </w:p>
        </w:tc>
        <w:tc>
          <w:tcPr>
            <w:tcW w:type="dxa" w:w="893"/>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14.1x</w:t>
            </w:r>
          </w:p>
        </w:tc>
        <w:tc>
          <w:tcPr>
            <w:tcW w:type="dxa" w:w="835"/>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24.1x</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22.8x</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20.3x</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11.1%</w:t>
            </w:r>
          </w:p>
        </w:tc>
      </w:tr>
      <w:tr>
        <w:trPr>
          <w:cantSplit/>
        </w:trP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25th percentile</w:t>
            </w:r>
          </w:p>
        </w:tc>
        <w:tc>
          <w:tcPr>
            <w:tcW w:type="dxa" w:w="1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0.6x</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7.5x</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15.1x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19.2x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13.1x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5.7%</w:t>
            </w:r>
          </w:p>
        </w:tc>
      </w:tr>
      <w:tr>
        <w:trPr>
          <w:cantSplit/>
        </w:trPr>
        <w:tc>
          <w:tcPr>
            <w:tcW w:type="dxa" w:w="208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Minimum</w:t>
            </w:r>
          </w:p>
        </w:tc>
        <w:tc>
          <w:tcPr>
            <w:tcW w:type="dxa" w:w="136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p>
        </w:tc>
        <w:tc>
          <w:tcPr>
            <w:tcW w:type="dxa" w:w="893"/>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p>
        </w:tc>
        <w:tc>
          <w:tcPr>
            <w:tcW w:type="dxa" w:w="835"/>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0.1x</w:t>
            </w:r>
          </w:p>
        </w:tc>
        <w:tc>
          <w:tcPr>
            <w:tcW w:type="dxa" w:w="893"/>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3.0x</w:t>
            </w:r>
          </w:p>
        </w:tc>
        <w:tc>
          <w:tcPr>
            <w:tcW w:type="dxa" w:w="835"/>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3.0x</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8.5x</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6.4x</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(3.2%)</w:t>
            </w:r>
          </w:p>
        </w:tc>
      </w:tr>
    </w:tbl>
    <w:p>
      <w:pPr>
        <w:spacing w:after="160" w:before="20"/>
      </w:pPr>
      <w:r>
        <w:rPr>
          <w:rFonts w:ascii="Times New Roman" w:cs="Times New Roman" w:eastAsia="Times New Roman" w:hAnsi="Times New Roman"/>
          <w:i/>
          <w:iCs/>
          <w:color w:val="595959"/>
          <w:sz w:val="15"/>
          <w:szCs w:val="15"/>
        </w:rPr>
        <w:t xml:space="preserve">Source: stockanalysis.com (peers; LTM to latest report, NTM consensus), company filings, analyst estimates. FX approximate.</w:t>
      </w:r>
    </w:p>
    <w:p>
      <w:pPr>
        <w:keepNext/>
        <w:spacing w:after="60" w:before="160"/>
      </w:pPr>
      <w:r>
        <w:rPr>
          <w:rFonts w:ascii="Times New Roman" w:cs="Times New Roman" w:eastAsia="Times New Roman" w:hAnsi="Times New Roman"/>
          <w:b/>
          <w:bCs/>
          <w:color w:val="1F3A5F"/>
          <w:sz w:val="18"/>
          <w:szCs w:val="18"/>
        </w:rPr>
        <w:t xml:space="preserve">Figure 51: </w:t>
      </w:r>
      <w:r>
        <w:rPr>
          <w:rFonts w:ascii="Times New Roman" w:cs="Times New Roman" w:eastAsia="Times New Roman" w:hAnsi="Times New Roman"/>
          <w:b/>
          <w:bCs/>
          <w:color w:val="1F3A5F"/>
          <w:sz w:val="18"/>
          <w:szCs w:val="18"/>
        </w:rPr>
        <w:t xml:space="preserve">Trading comparables: EV/EBITDA vs. EBITDA margin (LTM)</w:t>
      </w:r>
    </w:p>
    <w:p>
      <w:pPr>
        <w:keepNext/>
        <w:spacing w:after="20"/>
        <w:jc w:val="center"/>
      </w:pPr>
      <w:r>
        <w:drawing>
          <wp:inline distT="0" distB="0" distL="0" distR="0">
            <wp:extent cx="5762625" cy="3228975"/>
            <wp:effectExtent t="0" r="0" b="0" l="0"/>
            <wp:docPr id="32" name="chart_30_trading_comps_scatter.png" descr="Trading comparables: EV/EBITDA vs. EBITDA margin (LTM)" title="Trading comparables: EV/EBITDA vs. EBITDA margin (L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32289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52: </w:t>
      </w:r>
      <w:r>
        <w:rPr>
          <w:rFonts w:ascii="Times New Roman" w:cs="Times New Roman" w:eastAsia="Times New Roman" w:hAnsi="Times New Roman"/>
          <w:b/>
          <w:bCs/>
          <w:color w:val="1F3A5F"/>
          <w:sz w:val="18"/>
          <w:szCs w:val="18"/>
        </w:rPr>
        <w:t xml:space="preserve">Peer NTM P/E comparison</w:t>
      </w:r>
    </w:p>
    <w:p>
      <w:pPr>
        <w:keepNext/>
        <w:spacing w:after="20"/>
        <w:jc w:val="center"/>
      </w:pPr>
      <w:r>
        <w:drawing>
          <wp:inline distT="0" distB="0" distL="0" distR="0">
            <wp:extent cx="5762625" cy="3076575"/>
            <wp:effectExtent t="0" r="0" b="0" l="0"/>
            <wp:docPr id="33" name="chart_31_peer_multiples_comparison.png" descr="Peer NTM P/E comparison" title="Peer NTM P/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30765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53: </w:t>
      </w:r>
      <w:r>
        <w:rPr>
          <w:rFonts w:ascii="Times New Roman" w:cs="Times New Roman" w:eastAsia="Times New Roman" w:hAnsi="Times New Roman"/>
          <w:b/>
          <w:bCs/>
          <w:color w:val="1F3A5F"/>
          <w:sz w:val="18"/>
          <w:szCs w:val="18"/>
        </w:rPr>
        <w:t xml:space="preserve">Implied values from peer multiples</w:t>
      </w:r>
    </w:p>
    <w:tbl>
      <w:tblPr>
        <w:tblW w:type="dxa" w:w="95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50"/>
        <w:gridCol w:w="1783"/>
        <w:gridCol w:w="1966"/>
        <w:gridCol w:w="1599"/>
      </w:tblGrid>
      <w:tr>
        <w:trPr>
          <w:cantSplit/>
          <w:tblHeader/>
        </w:trPr>
        <w:tc>
          <w:tcPr>
            <w:tcW w:type="dxa" w:w="425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Method</w:t>
            </w:r>
          </w:p>
        </w:tc>
        <w:tc>
          <w:tcPr>
            <w:tcW w:type="dxa" w:w="1783"/>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Multiple</w:t>
            </w:r>
          </w:p>
        </w:tc>
        <w:tc>
          <w:tcPr>
            <w:tcW w:type="dxa" w:w="196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HK$/share</w:t>
            </w:r>
          </w:p>
        </w:tc>
        <w:tc>
          <w:tcPr>
            <w:tcW w:type="dxa" w:w="159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vs. price</w:t>
            </w:r>
          </w:p>
        </w:tc>
      </w:tr>
      <w:tr>
        <w:trPr>
          <w:cantSplit/>
        </w:trPr>
        <w:tc>
          <w:tcPr>
            <w:tcW w:type="dxa" w:w="425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All-peer median P/E NTM × NTM EPS</w:t>
            </w:r>
          </w:p>
        </w:tc>
        <w:tc>
          <w:tcPr>
            <w:tcW w:type="dxa" w:w="178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20.3x</w:t>
            </w:r>
          </w:p>
        </w:tc>
        <w:tc>
          <w:tcPr>
            <w:tcW w:type="dxa" w:w="19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49.67</w:t>
            </w:r>
          </w:p>
        </w:tc>
        <w:tc>
          <w:tcPr>
            <w:tcW w:type="dxa" w:w="159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+61%</w:t>
            </w:r>
          </w:p>
        </w:tc>
      </w:tr>
      <w:tr>
        <w:trPr>
          <w:cantSplit/>
        </w:trPr>
        <w:tc>
          <w:tcPr>
            <w:tcW w:type="dxa" w:w="425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Global apparel median P/E NTM</w:t>
            </w:r>
          </w:p>
        </w:tc>
        <w:tc>
          <w:tcPr>
            <w:tcW w:type="dxa" w:w="178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23.5x</w:t>
            </w:r>
          </w:p>
        </w:tc>
        <w:tc>
          <w:tcPr>
            <w:tcW w:type="dxa" w:w="19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57.62</w:t>
            </w:r>
          </w:p>
        </w:tc>
        <w:tc>
          <w:tcPr>
            <w:tcW w:type="dxa" w:w="159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+87%</w:t>
            </w:r>
          </w:p>
        </w:tc>
      </w:tr>
      <w:tr>
        <w:trPr>
          <w:cantSplit/>
        </w:trPr>
        <w:tc>
          <w:tcPr>
            <w:tcW w:type="dxa" w:w="425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Online fashion median P/E NTM</w:t>
            </w:r>
          </w:p>
        </w:tc>
        <w:tc>
          <w:tcPr>
            <w:tcW w:type="dxa" w:w="178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17.0x</w:t>
            </w:r>
          </w:p>
        </w:tc>
        <w:tc>
          <w:tcPr>
            <w:tcW w:type="dxa" w:w="19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41.75</w:t>
            </w:r>
          </w:p>
        </w:tc>
        <w:tc>
          <w:tcPr>
            <w:tcW w:type="dxa" w:w="159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w:t>
            </w:r>
          </w:p>
        </w:tc>
      </w:tr>
      <w:tr>
        <w:trPr>
          <w:cantSplit/>
        </w:trPr>
        <w:tc>
          <w:tcPr>
            <w:tcW w:type="dxa" w:w="425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E-commerce platforms median P/E NTM</w:t>
            </w:r>
          </w:p>
        </w:tc>
        <w:tc>
          <w:tcPr>
            <w:tcW w:type="dxa" w:w="178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13.6x</w:t>
            </w:r>
          </w:p>
        </w:tc>
        <w:tc>
          <w:tcPr>
            <w:tcW w:type="dxa" w:w="19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33.40</w:t>
            </w:r>
          </w:p>
        </w:tc>
        <w:tc>
          <w:tcPr>
            <w:tcW w:type="dxa" w:w="159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w:t>
            </w:r>
          </w:p>
        </w:tc>
      </w:tr>
      <w:tr>
        <w:trPr>
          <w:cantSplit/>
        </w:trPr>
        <w:tc>
          <w:tcPr>
            <w:tcW w:type="dxa" w:w="4250"/>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EV/FY27E adj. EBIT 8x-12x + valuation net cash</w:t>
            </w:r>
          </w:p>
        </w:tc>
        <w:tc>
          <w:tcPr>
            <w:tcW w:type="dxa" w:w="1783"/>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8-12x</w:t>
            </w:r>
          </w:p>
        </w:tc>
        <w:tc>
          <w:tcPr>
            <w:tcW w:type="dxa" w:w="196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40.2-50.2</w:t>
            </w:r>
          </w:p>
        </w:tc>
        <w:tc>
          <w:tcPr>
            <w:tcW w:type="dxa" w:w="159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+30-63%</w:t>
            </w:r>
          </w:p>
        </w:tc>
      </w:tr>
    </w:tbl>
    <w:p>
      <w:pPr>
        <w:spacing w:after="120"/>
      </w:pPr>
    </w:p>
    <w:p>
      <w:pPr>
        <w:spacing w:after="120" w:line="264"/>
        <w:jc w:val="both"/>
      </w:pPr>
      <w:r>
        <w:rPr>
          <w:rFonts w:ascii="Times New Roman" w:cs="Times New Roman" w:eastAsia="Times New Roman" w:hAnsi="Times New Roman"/>
          <w:b/>
          <w:bCs/>
        </w:rPr>
        <w:t xml:space="preserve">Choosing our 14x target P/E.</w:t>
      </w:r>
      <w:r>
        <w:rPr>
          <w:rFonts w:ascii="Times New Roman" w:cs="Times New Roman" w:eastAsia="Times New Roman" w:hAnsi="Times New Roman"/>
        </w:rPr>
        <w:t xml:space="preserve"> We apply 14x FY2027E adjusted EPS:</w:t>
      </w:r>
    </w:p>
    <w:p>
      <w:pPr>
        <w:pStyle w:val="ListParagraph"/>
        <w:numPr>
          <w:ilvl w:val="0"/>
          <w:numId w:val="3"/>
        </w:numPr>
        <w:spacing w:after="60" w:line="252"/>
      </w:pPr>
      <w:r>
        <w:rPr>
          <w:rFonts w:ascii="Times New Roman" w:cs="Times New Roman" w:eastAsia="Times New Roman" w:hAnsi="Times New Roman"/>
        </w:rPr>
        <w:t xml:space="preserve">It sits at the </w:t>
      </w:r>
      <w:r>
        <w:rPr>
          <w:rFonts w:ascii="Times New Roman" w:cs="Times New Roman" w:eastAsia="Times New Roman" w:hAnsi="Times New Roman"/>
          <w:b/>
          <w:bCs/>
        </w:rPr>
        <w:t xml:space="preserve">e-commerce-platform median</w:t>
      </w:r>
      <w:r>
        <w:rPr>
          <w:rFonts w:ascii="Times New Roman" w:cs="Times New Roman" w:eastAsia="Times New Roman" w:hAnsi="Times New Roman"/>
        </w:rPr>
        <w:t xml:space="preserve"> and at the </w:t>
      </w:r>
      <w:r>
        <w:rPr>
          <w:rFonts w:ascii="Times New Roman" w:cs="Times New Roman" w:eastAsia="Times New Roman" w:hAnsi="Times New Roman"/>
          <w:b/>
          <w:bCs/>
        </w:rPr>
        <w:t xml:space="preserve">25th percentile of all peers</w:t>
      </w:r>
      <w:r>
        <w:rPr>
          <w:rFonts w:ascii="Times New Roman" w:cs="Times New Roman" w:eastAsia="Times New Roman" w:hAnsi="Times New Roman"/>
        </w:rPr>
        <w:t xml:space="preserve">.</w:t>
      </w:r>
    </w:p>
    <w:p>
      <w:pPr>
        <w:pStyle w:val="ListParagraph"/>
        <w:numPr>
          <w:ilvl w:val="0"/>
          <w:numId w:val="3"/>
        </w:numPr>
        <w:spacing w:after="60" w:line="252"/>
      </w:pPr>
      <w:r>
        <w:rPr>
          <w:rFonts w:ascii="Times New Roman" w:cs="Times New Roman" w:eastAsia="Times New Roman" w:hAnsi="Times New Roman"/>
        </w:rPr>
        <w:t xml:space="preserve">It is well below the apparel peers that SHEIN's operating model resembles.</w:t>
      </w:r>
    </w:p>
    <w:p>
      <w:pPr>
        <w:spacing w:after="120" w:line="264"/>
        <w:jc w:val="both"/>
      </w:pPr>
      <w:r>
        <w:rPr>
          <w:rFonts w:ascii="Times New Roman" w:cs="Times New Roman" w:eastAsia="Times New Roman" w:hAnsi="Times New Roman"/>
        </w:rPr>
        <w:t xml:space="preserve">The discount reflects:</w:t>
      </w:r>
    </w:p>
    <w:p>
      <w:pPr>
        <w:pStyle w:val="ListParagraph"/>
        <w:numPr>
          <w:ilvl w:val="0"/>
          <w:numId w:val="3"/>
        </w:numPr>
        <w:spacing w:after="60" w:line="252"/>
      </w:pPr>
      <w:r>
        <w:rPr>
          <w:rFonts w:ascii="Times New Roman" w:cs="Times New Roman" w:eastAsia="Times New Roman" w:hAnsi="Times New Roman"/>
        </w:rPr>
        <w:t xml:space="preserve">SHEIN's lower margins (3-4% operating vs. 12-20% for Inditex and Fast Retailing).</w:t>
      </w:r>
    </w:p>
    <w:p>
      <w:pPr>
        <w:pStyle w:val="ListParagraph"/>
        <w:numPr>
          <w:ilvl w:val="0"/>
          <w:numId w:val="3"/>
        </w:numPr>
        <w:spacing w:after="60" w:line="252"/>
      </w:pPr>
      <w:r>
        <w:rPr>
          <w:rFonts w:ascii="Times New Roman" w:cs="Times New Roman" w:eastAsia="Times New Roman" w:hAnsi="Times New Roman"/>
        </w:rPr>
        <w:t xml:space="preserve">Its trade-policy and regulatory exposure.</w:t>
      </w:r>
    </w:p>
    <w:p>
      <w:pPr>
        <w:pStyle w:val="ListParagraph"/>
        <w:numPr>
          <w:ilvl w:val="0"/>
          <w:numId w:val="3"/>
        </w:numPr>
        <w:spacing w:after="60" w:line="252"/>
      </w:pPr>
      <w:r>
        <w:rPr>
          <w:rFonts w:ascii="Times New Roman" w:cs="Times New Roman" w:eastAsia="Times New Roman" w:hAnsi="Times New Roman"/>
        </w:rPr>
        <w:t xml:space="preserve">WVR governance.</w:t>
      </w:r>
    </w:p>
    <w:p>
      <w:pPr>
        <w:spacing w:after="120" w:line="264"/>
        <w:jc w:val="both"/>
      </w:pPr>
      <w:r>
        <w:rPr>
          <w:rFonts w:ascii="Times New Roman" w:cs="Times New Roman" w:eastAsia="Times New Roman" w:hAnsi="Times New Roman"/>
        </w:rPr>
        <w:t xml:space="preserve">At 14x, the implied ex-cash P/E is only about 8x (after deducting HK$20.2/share of net cash and the after-tax interest income), because roughly 27% of FY2027E adjusted pre-tax profit is interest income.</w:t>
      </w:r>
    </w:p>
    <w:p>
      <w:pPr>
        <w:spacing w:after="120" w:line="264"/>
        <w:jc w:val="both"/>
      </w:pPr>
      <w:r>
        <w:rPr>
          <w:rFonts w:ascii="Times New Roman" w:cs="Times New Roman" w:eastAsia="Times New Roman" w:hAnsi="Times New Roman"/>
          <w:b/>
          <w:bCs/>
        </w:rPr>
        <w:t xml:space="preserve">Why not PDD's 7x?</w:t>
      </w:r>
      <w:r>
        <w:rPr>
          <w:rFonts w:ascii="Times New Roman" w:cs="Times New Roman" w:eastAsia="Times New Roman" w:hAnsi="Times New Roman"/>
        </w:rPr>
        <w:t xml:space="preserve"> PDD trades on a 3x EV/EBITDA partly because its cash is held largely in China and its core domestic business faces intense competition. SHEIN's cash is mostly US-dollar deposits held through a Singapore-headquartered group, and its board has committed to paying out at least 50% of profit.</w:t>
      </w:r>
    </w:p>
    <w:p>
      <w:pPr>
        <w:pStyle w:val="Heading2"/>
        <w:keepNext/>
      </w:pPr>
      <w:bookmarkStart w:name="h_63" w:id="63"/>
      <w:r>
        <w:t xml:space="preserve">Precedent transactions</w:t>
      </w:r>
      <w:bookmarkEnd w:id="63"/>
    </w:p>
    <w:p>
      <w:pPr>
        <w:spacing w:after="120" w:line="264"/>
        <w:jc w:val="both"/>
      </w:pPr>
      <w:r>
        <w:rPr>
          <w:rFonts w:ascii="Times New Roman" w:cs="Times New Roman" w:eastAsia="Times New Roman" w:hAnsi="Times New Roman"/>
        </w:rPr>
        <w:t xml:space="preserve">There is no relevant control-transaction precedent for a business of SHEIN's scale. The most informative "transactions" are SHEIN's own private rounds:</w:t>
      </w:r>
    </w:p>
    <w:p>
      <w:pPr>
        <w:keepNext/>
        <w:spacing w:after="60" w:before="160"/>
      </w:pPr>
      <w:r>
        <w:rPr>
          <w:rFonts w:ascii="Times New Roman" w:cs="Times New Roman" w:eastAsia="Times New Roman" w:hAnsi="Times New Roman"/>
          <w:b/>
          <w:bCs/>
          <w:color w:val="1F3A5F"/>
          <w:sz w:val="18"/>
          <w:szCs w:val="18"/>
        </w:rPr>
        <w:t xml:space="preserve">Figure 54: </w:t>
      </w:r>
      <w:r>
        <w:rPr>
          <w:rFonts w:ascii="Times New Roman" w:cs="Times New Roman" w:eastAsia="Times New Roman" w:hAnsi="Times New Roman"/>
          <w:b/>
          <w:bCs/>
          <w:color w:val="1F3A5F"/>
          <w:sz w:val="18"/>
          <w:szCs w:val="18"/>
        </w:rPr>
        <w:t xml:space="preserve">SHEIN's private funding rounds vs. the current share price</w:t>
      </w:r>
    </w:p>
    <w:tbl>
      <w:tblPr>
        <w:tblW w:type="dxa" w:w="959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9"/>
        <w:gridCol w:w="2247"/>
        <w:gridCol w:w="1920"/>
        <w:gridCol w:w="2247"/>
        <w:gridCol w:w="1756"/>
      </w:tblGrid>
      <w:tr>
        <w:trPr>
          <w:cantSplit/>
          <w:tblHeader/>
        </w:trPr>
        <w:tc>
          <w:tcPr>
            <w:tcW w:type="dxa" w:w="142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Round</w:t>
            </w:r>
          </w:p>
        </w:tc>
        <w:tc>
          <w:tcPr>
            <w:tcW w:type="dxa" w:w="2247"/>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Date</w:t>
            </w:r>
          </w:p>
        </w:tc>
        <w:tc>
          <w:tcPr>
            <w:tcW w:type="dxa" w:w="192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Pre-money valuation</w:t>
            </w:r>
          </w:p>
        </w:tc>
        <w:tc>
          <w:tcPr>
            <w:tcW w:type="dxa" w:w="2247"/>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Price/share (split-adj.)</w:t>
            </w:r>
          </w:p>
        </w:tc>
        <w:tc>
          <w:tcPr>
            <w:tcW w:type="dxa" w:w="175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vs. HK$30.84 (US$3.93)</w:t>
            </w:r>
          </w:p>
        </w:tc>
      </w:tr>
      <w:tr>
        <w:trPr>
          <w:cantSplit/>
        </w:trPr>
        <w:tc>
          <w:tcPr>
            <w:tcW w:type="dxa" w:w="142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Series C+</w:t>
            </w:r>
          </w:p>
        </w:tc>
        <w:tc>
          <w:tcPr>
            <w:tcW w:type="dxa" w:w="224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Mar-2020</w:t>
            </w:r>
          </w:p>
        </w:tc>
        <w:tc>
          <w:tcPr>
            <w:tcW w:type="dxa" w:w="192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US$5.0bn</w:t>
            </w:r>
          </w:p>
        </w:tc>
        <w:tc>
          <w:tcPr>
            <w:tcW w:type="dxa" w:w="224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US$1.28</w:t>
            </w:r>
          </w:p>
        </w:tc>
        <w:tc>
          <w:tcPr>
            <w:tcW w:type="dxa" w:w="175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Below</w:t>
            </w:r>
          </w:p>
        </w:tc>
      </w:tr>
      <w:tr>
        <w:trPr>
          <w:cantSplit/>
        </w:trPr>
        <w:tc>
          <w:tcPr>
            <w:tcW w:type="dxa" w:w="142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Series D</w:t>
            </w:r>
          </w:p>
        </w:tc>
        <w:tc>
          <w:tcPr>
            <w:tcW w:type="dxa" w:w="224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Mar/Apr-2022</w:t>
            </w:r>
          </w:p>
        </w:tc>
        <w:tc>
          <w:tcPr>
            <w:tcW w:type="dxa" w:w="192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US$98.2bn</w:t>
            </w:r>
          </w:p>
        </w:tc>
        <w:tc>
          <w:tcPr>
            <w:tcW w:type="dxa" w:w="224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US$23.72</w:t>
            </w:r>
          </w:p>
        </w:tc>
        <w:tc>
          <w:tcPr>
            <w:tcW w:type="dxa" w:w="175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6.0x</w:t>
            </w:r>
          </w:p>
        </w:tc>
      </w:tr>
      <w:tr>
        <w:trPr>
          <w:cantSplit/>
        </w:trPr>
        <w:tc>
          <w:tcPr>
            <w:tcW w:type="dxa" w:w="142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Series D+</w:t>
            </w:r>
          </w:p>
        </w:tc>
        <w:tc>
          <w:tcPr>
            <w:tcW w:type="dxa" w:w="224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May-Dec-2023</w:t>
            </w:r>
          </w:p>
        </w:tc>
        <w:tc>
          <w:tcPr>
            <w:tcW w:type="dxa" w:w="192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US$64.0bn</w:t>
            </w:r>
          </w:p>
        </w:tc>
        <w:tc>
          <w:tcPr>
            <w:tcW w:type="dxa" w:w="224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US$15.02</w:t>
            </w:r>
          </w:p>
        </w:tc>
        <w:tc>
          <w:tcPr>
            <w:tcW w:type="dxa" w:w="175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3.8x</w:t>
            </w:r>
          </w:p>
        </w:tc>
      </w:tr>
      <w:tr>
        <w:trPr>
          <w:cantSplit/>
        </w:trPr>
        <w:tc>
          <w:tcPr>
            <w:tcW w:type="dxa" w:w="142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IPO</w:t>
            </w:r>
          </w:p>
        </w:tc>
        <w:tc>
          <w:tcPr>
            <w:tcW w:type="dxa" w:w="224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Sep-2026</w:t>
            </w:r>
          </w:p>
        </w:tc>
        <w:tc>
          <w:tcPr>
            <w:tcW w:type="dxa" w:w="192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~US$26bn</w:t>
            </w:r>
          </w:p>
        </w:tc>
        <w:tc>
          <w:tcPr>
            <w:tcW w:type="dxa" w:w="224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US$6.19 (HK$48.56)</w:t>
            </w:r>
          </w:p>
        </w:tc>
        <w:tc>
          <w:tcPr>
            <w:tcW w:type="dxa" w:w="175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1.6x</w:t>
            </w:r>
          </w:p>
        </w:tc>
      </w:tr>
      <w:tr>
        <w:trPr>
          <w:cantSplit/>
        </w:trPr>
        <w:tc>
          <w:tcPr>
            <w:tcW w:type="dxa" w:w="142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Current</w:t>
            </w:r>
          </w:p>
        </w:tc>
        <w:tc>
          <w:tcPr>
            <w:tcW w:type="dxa" w:w="2247"/>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30-Sep-2026</w:t>
            </w:r>
          </w:p>
        </w:tc>
        <w:tc>
          <w:tcPr>
            <w:tcW w:type="dxa" w:w="1920"/>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~US$17.4bn (diluted)</w:t>
            </w:r>
          </w:p>
        </w:tc>
        <w:tc>
          <w:tcPr>
            <w:tcW w:type="dxa" w:w="2247"/>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US$3.93</w:t>
            </w:r>
          </w:p>
        </w:tc>
        <w:tc>
          <w:tcPr>
            <w:tcW w:type="dxa" w:w="175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w:t>
            </w:r>
          </w:p>
        </w:tc>
      </w:tr>
    </w:tbl>
    <w:p>
      <w:pPr>
        <w:spacing w:after="120"/>
      </w:pPr>
    </w:p>
    <w:p>
      <w:pPr>
        <w:spacing w:after="120" w:line="264"/>
        <w:jc w:val="both"/>
      </w:pPr>
      <w:r>
        <w:rPr>
          <w:rFonts w:ascii="Times New Roman" w:cs="Times New Roman" w:eastAsia="Times New Roman" w:hAnsi="Times New Roman"/>
        </w:rPr>
        <w:t xml:space="preserve">SHEIN's valuer carried the preferred shares at US$15.1bn at 30 June 2026. At listing, the 1,397.7m Class B shares issued on conversion were worth US$8.65bn at the IPO price; adding the US$2.2bn cash compensation and the US$0.23bn 12% distribution gives a conversion value of about US$11.1bn. We therefore expect a </w:t>
      </w:r>
      <w:r>
        <w:rPr>
          <w:rFonts w:ascii="Times New Roman" w:cs="Times New Roman" w:eastAsia="Times New Roman" w:hAnsi="Times New Roman"/>
          <w:b/>
          <w:bCs/>
        </w:rPr>
        <w:t xml:space="preserve">~US$4.0bn non-cash fair-value gain in 2H26</w:t>
      </w:r>
      <w:r>
        <w:rPr>
          <w:rFonts w:ascii="Times New Roman" w:cs="Times New Roman" w:eastAsia="Times New Roman" w:hAnsi="Times New Roman"/>
        </w:rPr>
        <w:t xml:space="preserve">. It will inflate FY2026E IFRS net income to ~US$6.9bn (diluted EPS US$1.57) but has no effect on cash, equity or adjusted earnings, which we use throughout.</w:t>
      </w:r>
    </w:p>
    <w:p>
      <w:pPr>
        <w:pStyle w:val="Heading2"/>
        <w:keepNext/>
      </w:pPr>
      <w:bookmarkStart w:name="h_64" w:id="64"/>
      <w:r>
        <w:t xml:space="preserve">Valuation football field</w:t>
      </w:r>
      <w:bookmarkEnd w:id="64"/>
    </w:p>
    <w:p>
      <w:pPr>
        <w:spacing w:after="120" w:line="264"/>
        <w:jc w:val="both"/>
      </w:pPr>
      <w:r>
        <w:rPr>
          <w:rFonts w:ascii="Times New Roman" w:cs="Times New Roman" w:eastAsia="Times New Roman" w:hAnsi="Times New Roman"/>
        </w:rPr>
        <w:t xml:space="preserve">The football field brings together the valuation ranges from each method:</w:t>
      </w:r>
    </w:p>
    <w:p>
      <w:pPr>
        <w:pStyle w:val="ListParagraph"/>
        <w:numPr>
          <w:ilvl w:val="0"/>
          <w:numId w:val="3"/>
        </w:numPr>
        <w:spacing w:after="60" w:line="252"/>
      </w:pPr>
      <w:r>
        <w:rPr>
          <w:rFonts w:ascii="Times New Roman" w:cs="Times New Roman" w:eastAsia="Times New Roman" w:hAnsi="Times New Roman"/>
          <w:b/>
          <w:bCs/>
        </w:rPr>
        <w:t xml:space="preserve">Upper end (above our HK$45 target):</w:t>
      </w:r>
      <w:r>
        <w:rPr>
          <w:rFonts w:ascii="Times New Roman" w:cs="Times New Roman" w:eastAsia="Times New Roman" w:hAnsi="Times New Roman"/>
        </w:rPr>
        <w:t xml:space="preserve"> the DCF range (HK$50.87-58.74), the IPO range and the upper half of the peer P/E range.</w:t>
      </w:r>
    </w:p>
    <w:p>
      <w:pPr>
        <w:pStyle w:val="ListParagraph"/>
        <w:numPr>
          <w:ilvl w:val="0"/>
          <w:numId w:val="3"/>
        </w:numPr>
        <w:spacing w:after="60" w:line="252"/>
      </w:pPr>
      <w:r>
        <w:rPr>
          <w:rFonts w:ascii="Times New Roman" w:cs="Times New Roman" w:eastAsia="Times New Roman" w:hAnsi="Times New Roman"/>
          <w:b/>
          <w:bCs/>
        </w:rPr>
        <w:t xml:space="preserve">Lower end (close to today's price):</w:t>
      </w:r>
      <w:r>
        <w:rPr>
          <w:rFonts w:ascii="Times New Roman" w:cs="Times New Roman" w:eastAsia="Times New Roman" w:hAnsi="Times New Roman"/>
        </w:rPr>
        <w:t xml:space="preserve"> the 12x-16x P/E band (from HK$30.89), the post-listing low (HK$29.90) and the bear-case scenario (HK$29.64).</w:t>
      </w:r>
    </w:p>
    <w:p>
      <w:pPr>
        <w:spacing w:after="120" w:line="264"/>
        <w:jc w:val="both"/>
      </w:pPr>
      <w:r>
        <w:rPr>
          <w:rFonts w:ascii="Times New Roman" w:cs="Times New Roman" w:eastAsia="Times New Roman" w:hAnsi="Times New Roman"/>
        </w:rPr>
        <w:t xml:space="preserve">Our target sits close to the mid-point of the combined ranges, and below both the IPO range (HK$47.60-49.50) and the DCF range.</w:t>
      </w:r>
    </w:p>
    <w:p>
      <w:pPr>
        <w:keepNext/>
        <w:spacing w:after="60" w:before="160"/>
      </w:pPr>
      <w:r>
        <w:rPr>
          <w:rFonts w:ascii="Times New Roman" w:cs="Times New Roman" w:eastAsia="Times New Roman" w:hAnsi="Times New Roman"/>
          <w:b/>
          <w:bCs/>
          <w:color w:val="1F3A5F"/>
          <w:sz w:val="18"/>
          <w:szCs w:val="18"/>
        </w:rPr>
        <w:t xml:space="preserve">Figure 55: </w:t>
      </w:r>
      <w:r>
        <w:rPr>
          <w:rFonts w:ascii="Times New Roman" w:cs="Times New Roman" w:eastAsia="Times New Roman" w:hAnsi="Times New Roman"/>
          <w:b/>
          <w:bCs/>
          <w:color w:val="1F3A5F"/>
          <w:sz w:val="18"/>
          <w:szCs w:val="18"/>
        </w:rPr>
        <w:t xml:space="preserve">Valuation ranges (HK$ per share)</w:t>
      </w:r>
    </w:p>
    <w:tbl>
      <w:tblPr>
        <w:tblW w:type="dxa" w:w="777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84"/>
        <w:gridCol w:w="1296"/>
        <w:gridCol w:w="1296"/>
      </w:tblGrid>
      <w:tr>
        <w:trPr>
          <w:cantSplit/>
          <w:tblHeader/>
        </w:trPr>
        <w:tc>
          <w:tcPr>
            <w:tcW w:type="dxa" w:w="518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Method</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Low</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High</w:t>
            </w:r>
          </w:p>
        </w:tc>
      </w:tr>
      <w:tr>
        <w:trPr>
          <w:cantSplit/>
        </w:trPr>
        <w:tc>
          <w:tcPr>
            <w:tcW w:type="dxa" w:w="51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Trading range since listing</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29.90</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48.56</w:t>
            </w:r>
          </w:p>
        </w:tc>
      </w:tr>
      <w:tr>
        <w:trPr>
          <w:cantSplit/>
        </w:trPr>
        <w:tc>
          <w:tcPr>
            <w:tcW w:type="dxa" w:w="51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IPO indicative price range</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47.60</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49.50</w:t>
            </w:r>
          </w:p>
        </w:tc>
      </w:tr>
      <w:tr>
        <w:trPr>
          <w:cantSplit/>
        </w:trPr>
        <w:tc>
          <w:tcPr>
            <w:tcW w:type="dxa" w:w="51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DCF (WACC +/-0.5pp, g +/-0.5pp)</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50.87</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58.74</w:t>
            </w:r>
          </w:p>
        </w:tc>
      </w:tr>
      <w:tr>
        <w:trPr>
          <w:cantSplit/>
        </w:trPr>
        <w:tc>
          <w:tcPr>
            <w:tcW w:type="dxa" w:w="51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P/E 12x-16x FY2027E adj. EPS</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30.89</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41.19</w:t>
            </w:r>
          </w:p>
        </w:tc>
      </w:tr>
      <w:tr>
        <w:trPr>
          <w:cantSplit/>
        </w:trPr>
        <w:tc>
          <w:tcPr>
            <w:tcW w:type="dxa" w:w="51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Peer P/E NTM, 25th-75th percentile x NTM EPS</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32.01</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62.75</w:t>
            </w:r>
          </w:p>
        </w:tc>
      </w:tr>
      <w:tr>
        <w:trPr>
          <w:cantSplit/>
        </w:trPr>
        <w:tc>
          <w:tcPr>
            <w:tcW w:type="dxa" w:w="51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EV / FY2027E adj. EBIT 8x-12x + valuation net cash</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40.18</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50.16</w:t>
            </w:r>
          </w:p>
        </w:tc>
      </w:tr>
      <w:tr>
        <w:trPr>
          <w:cantSplit/>
        </w:trPr>
        <w:tc>
          <w:tcPr>
            <w:tcW w:type="dxa" w:w="5184"/>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Scenario blended value (Bear to Bull)</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29.64</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61.32</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keepNext/>
        <w:spacing w:after="60" w:before="160"/>
      </w:pPr>
      <w:r>
        <w:rPr>
          <w:rFonts w:ascii="Times New Roman" w:cs="Times New Roman" w:eastAsia="Times New Roman" w:hAnsi="Times New Roman"/>
          <w:b/>
          <w:bCs/>
          <w:color w:val="1F3A5F"/>
          <w:sz w:val="18"/>
          <w:szCs w:val="18"/>
        </w:rPr>
        <w:t xml:space="preserve">Figure 56: </w:t>
      </w:r>
      <w:r>
        <w:rPr>
          <w:rFonts w:ascii="Times New Roman" w:cs="Times New Roman" w:eastAsia="Times New Roman" w:hAnsi="Times New Roman"/>
          <w:b/>
          <w:bCs/>
          <w:color w:val="1F3A5F"/>
          <w:sz w:val="18"/>
          <w:szCs w:val="18"/>
        </w:rPr>
        <w:t xml:space="preserve">Valuation football field (HK$ per share)</w:t>
      </w:r>
    </w:p>
    <w:p>
      <w:pPr>
        <w:keepNext/>
        <w:spacing w:after="20"/>
        <w:jc w:val="center"/>
      </w:pPr>
      <w:r>
        <w:drawing>
          <wp:inline distT="0" distB="0" distL="0" distR="0">
            <wp:extent cx="5762625" cy="3076575"/>
            <wp:effectExtent t="0" r="0" b="0" l="0"/>
            <wp:docPr id="34" name="chart_32_valuation_football_field.png" descr="Valuation football field (HK$ per share)" title="Valuation football field (HK$ per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62625" cy="3076575"/>
                    </a:xfrm>
                    <a:prstGeom prst="rect">
                      <a:avLst/>
                    </a:prstGeom>
                  </pic:spPr>
                </pic:pic>
              </a:graphicData>
            </a:graphic>
          </wp:inline>
        </w:drawing>
      </w:r>
    </w:p>
    <w:p>
      <w:pPr>
        <w:spacing w:after="120"/>
      </w:pPr>
    </w:p>
    <w:p>
      <w:pPr>
        <w:pStyle w:val="Heading2"/>
        <w:keepNext/>
      </w:pPr>
      <w:bookmarkStart w:name="h_65" w:id="65"/>
      <w:r>
        <w:t xml:space="preserve">Sanity checks</w:t>
      </w:r>
      <w:bookmarkEnd w:id="65"/>
    </w:p>
    <w:p>
      <w:pPr>
        <w:pStyle w:val="ListParagraph"/>
        <w:numPr>
          <w:ilvl w:val="0"/>
          <w:numId w:val="3"/>
        </w:numPr>
        <w:spacing w:after="60" w:line="252"/>
      </w:pPr>
      <w:r>
        <w:rPr>
          <w:rFonts w:ascii="Times New Roman" w:cs="Times New Roman" w:eastAsia="Times New Roman" w:hAnsi="Times New Roman"/>
          <w:b/>
          <w:bCs/>
        </w:rPr>
        <w:t xml:space="preserve">Market-implied expectations.</w:t>
      </w:r>
      <w:r>
        <w:rPr>
          <w:rFonts w:ascii="Times New Roman" w:cs="Times New Roman" w:eastAsia="Times New Roman" w:hAnsi="Times New Roman"/>
        </w:rPr>
        <w:t xml:space="preserve"> At HK$30.84 and 11.2% WACC, the market price implies a steady-state EBIT margin of roughly 1.5-2% with no growth. That is below every annual margin SHEIN has reported (2.5-4.3%) and the 2.4% trough in 1H26.</w:t>
      </w:r>
    </w:p>
    <w:p>
      <w:pPr>
        <w:pStyle w:val="ListParagraph"/>
        <w:numPr>
          <w:ilvl w:val="0"/>
          <w:numId w:val="3"/>
        </w:numPr>
        <w:spacing w:after="60" w:line="252"/>
      </w:pPr>
      <w:r>
        <w:rPr>
          <w:rFonts w:ascii="Times New Roman" w:cs="Times New Roman" w:eastAsia="Times New Roman" w:hAnsi="Times New Roman"/>
          <w:b/>
          <w:bCs/>
        </w:rPr>
        <w:t xml:space="preserve">Target-implied multiples.</w:t>
      </w:r>
      <w:r>
        <w:rPr>
          <w:rFonts w:ascii="Times New Roman" w:cs="Times New Roman" w:eastAsia="Times New Roman" w:hAnsi="Times New Roman"/>
        </w:rPr>
        <w:t xml:space="preserve"> At our target, EV/FY27E adj. EBIT is 8.2x and P/E 17.5x. Both are below the peer medians of 24.1x EV/EBIT and 20.3x NTM P/E.</w:t>
      </w:r>
    </w:p>
    <w:p>
      <w:pPr>
        <w:pStyle w:val="ListParagraph"/>
        <w:numPr>
          <w:ilvl w:val="0"/>
          <w:numId w:val="3"/>
        </w:numPr>
        <w:spacing w:after="60" w:line="252"/>
      </w:pPr>
      <w:r>
        <w:rPr>
          <w:rFonts w:ascii="Times New Roman" w:cs="Times New Roman" w:eastAsia="Times New Roman" w:hAnsi="Times New Roman"/>
          <w:b/>
          <w:bCs/>
        </w:rPr>
        <w:t xml:space="preserve">Private-market marks.</w:t>
      </w:r>
      <w:r>
        <w:rPr>
          <w:rFonts w:ascii="Times New Roman" w:cs="Times New Roman" w:eastAsia="Times New Roman" w:hAnsi="Times New Roman"/>
        </w:rPr>
        <w:t xml:space="preserve"> The IPO priced at HK$48.56, and the Series D+ round in 2023 was priced at US$15.02 per share (split-adjusted). Our HK$45 target sits below both.</w:t>
      </w:r>
    </w:p>
    <w:p>
      <w:pPr>
        <w:pStyle w:val="ListParagraph"/>
        <w:numPr>
          <w:ilvl w:val="0"/>
          <w:numId w:val="3"/>
        </w:numPr>
        <w:spacing w:after="60" w:line="252"/>
      </w:pPr>
      <w:r>
        <w:rPr>
          <w:rFonts w:ascii="Times New Roman" w:cs="Times New Roman" w:eastAsia="Times New Roman" w:hAnsi="Times New Roman"/>
          <w:b/>
          <w:bCs/>
        </w:rPr>
        <w:t xml:space="preserve">Cash floor.</w:t>
      </w:r>
      <w:r>
        <w:rPr>
          <w:rFonts w:ascii="Times New Roman" w:cs="Times New Roman" w:eastAsia="Times New Roman" w:hAnsi="Times New Roman"/>
        </w:rPr>
        <w:t xml:space="preserve"> Pro forma unrestricted cash is HK$23.9/share, 78% of the current price (HK$24.7, or 80%, including investments). After our US$2.5bn of haircuts, net cash is still HK$20.2/share.</w:t>
      </w:r>
    </w:p>
    <w:p>
      <w:pPr>
        <w:pStyle w:val="Heading2"/>
        <w:keepNext/>
      </w:pPr>
      <w:bookmarkStart w:name="h_66" w:id="66"/>
      <w:r>
        <w:t xml:space="preserve">Rating definitions</w:t>
      </w:r>
      <w:bookmarkEnd w:id="66"/>
    </w:p>
    <w:p>
      <w:pPr>
        <w:spacing w:after="120" w:line="264"/>
        <w:jc w:val="both"/>
      </w:pPr>
      <w:r>
        <w:rPr>
          <w:rFonts w:ascii="Times New Roman" w:cs="Times New Roman" w:eastAsia="Times New Roman" w:hAnsi="Times New Roman"/>
        </w:rPr>
        <w:t xml:space="preserve">Our ratings are based on expected total return (share price change plus dividends) over 12 months:</w:t>
      </w:r>
    </w:p>
    <w:p>
      <w:pPr>
        <w:pStyle w:val="ListParagraph"/>
        <w:numPr>
          <w:ilvl w:val="0"/>
          <w:numId w:val="3"/>
        </w:numPr>
        <w:spacing w:after="60" w:line="252"/>
      </w:pPr>
      <w:r>
        <w:rPr>
          <w:rFonts w:ascii="Times New Roman" w:cs="Times New Roman" w:eastAsia="Times New Roman" w:hAnsi="Times New Roman"/>
          <w:b/>
          <w:bCs/>
        </w:rPr>
        <w:t xml:space="preserve">BUY:</w:t>
      </w:r>
      <w:r>
        <w:rPr>
          <w:rFonts w:ascii="Times New Roman" w:cs="Times New Roman" w:eastAsia="Times New Roman" w:hAnsi="Times New Roman"/>
        </w:rPr>
        <w:t xml:space="preserve"> more than 15%.</w:t>
      </w:r>
    </w:p>
    <w:p>
      <w:pPr>
        <w:pStyle w:val="ListParagraph"/>
        <w:numPr>
          <w:ilvl w:val="0"/>
          <w:numId w:val="3"/>
        </w:numPr>
        <w:spacing w:after="60" w:line="252"/>
      </w:pPr>
      <w:r>
        <w:rPr>
          <w:rFonts w:ascii="Times New Roman" w:cs="Times New Roman" w:eastAsia="Times New Roman" w:hAnsi="Times New Roman"/>
          <w:b/>
          <w:bCs/>
        </w:rPr>
        <w:t xml:space="preserve">HOLD:</w:t>
      </w:r>
      <w:r>
        <w:rPr>
          <w:rFonts w:ascii="Times New Roman" w:cs="Times New Roman" w:eastAsia="Times New Roman" w:hAnsi="Times New Roman"/>
        </w:rPr>
        <w:t xml:space="preserve"> between –10% and +15%.</w:t>
      </w:r>
    </w:p>
    <w:p>
      <w:pPr>
        <w:pStyle w:val="ListParagraph"/>
        <w:numPr>
          <w:ilvl w:val="0"/>
          <w:numId w:val="3"/>
        </w:numPr>
        <w:spacing w:after="60" w:line="252"/>
      </w:pPr>
      <w:r>
        <w:rPr>
          <w:rFonts w:ascii="Times New Roman" w:cs="Times New Roman" w:eastAsia="Times New Roman" w:hAnsi="Times New Roman"/>
          <w:b/>
          <w:bCs/>
        </w:rPr>
        <w:t xml:space="preserve">SELL:</w:t>
      </w:r>
      <w:r>
        <w:rPr>
          <w:rFonts w:ascii="Times New Roman" w:cs="Times New Roman" w:eastAsia="Times New Roman" w:hAnsi="Times New Roman"/>
        </w:rPr>
        <w:t xml:space="preserve"> below –10%.</w:t>
      </w:r>
    </w:p>
    <w:p>
      <w:pPr>
        <w:spacing w:after="120" w:line="264"/>
        <w:jc w:val="both"/>
      </w:pPr>
      <w:r>
        <w:rPr>
          <w:rFonts w:ascii="Times New Roman" w:cs="Times New Roman" w:eastAsia="Times New Roman" w:hAnsi="Times New Roman"/>
        </w:rPr>
        <w:t xml:space="preserve">SHEIN's expected return to our HK$45.00 target is 45.9% before dividends (about 49% including the estimated FY2026E dividend), which supports a BUY rating.</w:t>
      </w:r>
    </w:p>
    <w:p>
      <w:pPr>
        <w:pStyle w:val="Heading1"/>
        <w:keepNext/>
        <w:pageBreakBefore/>
      </w:pPr>
      <w:bookmarkStart w:name="h_67" w:id="67"/>
      <w:r>
        <w:t xml:space="preserve">Appendix A: Financial Statements</w:t>
      </w:r>
      <w:bookmarkEnd w:id="67"/>
    </w:p>
    <w:p>
      <w:pPr>
        <w:spacing w:after="120" w:line="264"/>
        <w:jc w:val="both"/>
      </w:pPr>
      <w:r>
        <w:rPr>
          <w:rFonts w:ascii="Times New Roman" w:cs="Times New Roman" w:eastAsia="Times New Roman" w:hAnsi="Times New Roman"/>
        </w:rPr>
        <w:t xml:space="preserve">The following statements are extracted from the accompanying financial model (SHEIN_Financial_Model_2026-09-30.xlsx), which contains the full formula-driven build, 2H26E drivers, scenario selector and integrity checks. Historical years are from the Accountants' Report in the prospectus. Per-share data use the post-IPO share base for all years.</w:t>
      </w:r>
    </w:p>
    <w:p>
      <w:pPr>
        <w:keepNext/>
        <w:spacing w:after="60" w:before="160"/>
      </w:pPr>
      <w:r>
        <w:rPr>
          <w:rFonts w:ascii="Times New Roman" w:cs="Times New Roman" w:eastAsia="Times New Roman" w:hAnsi="Times New Roman"/>
          <w:b/>
          <w:bCs/>
          <w:color w:val="1F3A5F"/>
          <w:sz w:val="18"/>
          <w:szCs w:val="18"/>
        </w:rPr>
        <w:t xml:space="preserve"/>
      </w:r>
      <w:r>
        <w:rPr>
          <w:rFonts w:ascii="Times New Roman" w:cs="Times New Roman" w:eastAsia="Times New Roman" w:hAnsi="Times New Roman"/>
          <w:b/>
          <w:bCs/>
          <w:color w:val="1F3A5F"/>
          <w:sz w:val="18"/>
          <w:szCs w:val="18"/>
        </w:rPr>
        <w:t xml:space="preserve">Income statement, FY2023A-FY2031E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2"/>
        <w:gridCol w:w="706"/>
        <w:gridCol w:w="706"/>
        <w:gridCol w:w="706"/>
        <w:gridCol w:w="706"/>
        <w:gridCol w:w="706"/>
        <w:gridCol w:w="706"/>
        <w:gridCol w:w="706"/>
        <w:gridCol w:w="706"/>
        <w:gridCol w:w="706"/>
      </w:tblGrid>
      <w:tr>
        <w:trPr>
          <w:cantSplit/>
          <w:tblHeader/>
        </w:trPr>
        <w:tc>
          <w:tcPr>
            <w:tcW w:type="dxa" w:w="295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FFFFFF"/>
                <w:sz w:val="14"/>
                <w:szCs w:val="14"/>
              </w:rPr>
              <w:t xml:space="preserve">US$m</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FY23A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FY24A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FY25A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FY26E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FY27E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FY28E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FY29E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FY30E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FY31E</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revenues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32,103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38,748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41,847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41,883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43,890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46,960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50,175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53,370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56,376</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5.6%</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Product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31,235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35,351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37,107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36,246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37,526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39,916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42,398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44,831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47,186</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Service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3,397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4,740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5,637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6,364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7,044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7,777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8,539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9,189</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Operating expenses (US$m; shown as positive costs)</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Cost of sales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12,777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15,249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13,433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12,422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12,871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13,651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14,458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15,242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16,043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product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34.2%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34.0%</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32.1%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29.7%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29.3%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29.1%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28.8%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28.6%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28.5%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Gross profit</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19,326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23,499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28,414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29,460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31,018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33,309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35,717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38,128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40,332</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Gross margin</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60.2%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67.9%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70.3%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70.9%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71.2%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71.5%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Fulfilment expenses (logistics, warehousing, duties on direct shipments)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13,501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16,847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19,072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21,001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22,164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23,574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25,087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26,685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28,188</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42.1%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45.6%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50.0%</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per order (US$)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18.88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17.69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18.36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18.29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18.85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Contribution after fulfilment</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5,825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6,652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9,342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8,460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8,854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9,735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10,630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11,443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12,144</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Contribution margin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17.2%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21.2%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21.4%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21.5%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Marketing expenses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3,453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4,159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6,191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5,925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6,246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6,623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7,045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7,442</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14.8%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13.2%</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Technology &amp; content expenses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896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999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1,053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1,127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1,281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General &amp; administrative expenses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571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694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733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Total operating expenses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30,727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37,782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40,140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40,848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42,584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45,208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48,024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50,947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53,759</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95.9%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96.3%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95.5%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95.4%</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Operating income (EBIT, IFRS)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1,376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966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2,150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2,423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2,617</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Operating margin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4.6%</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76.7%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34.2%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12.7%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8.0%</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Share-based compensation (included above)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120</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Adjusted EBIT (non-IFRS)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1,425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1,792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1,125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1,857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2,260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2,538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2,737</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Adjusted EBIT margin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4.9%</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D&amp;A of PP&amp;E and intangibles, % of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0.18%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0.36%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0.43%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D&amp;A of property, equipment &amp; intangibles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242</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Right-of-use depreciation, % of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0.59%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0.68%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Depreciation of right-of-use assets (warehouse &amp; office leases)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EBITDA (IFRS 16)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1,553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1,290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1,499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1,792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2,273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2,707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3,015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3,243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EBITDA margin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5.8%</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Adjusted EBITDA (ex SBC)</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1,602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2,190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1,589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1,892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2,378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2,817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3,130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3,363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Adjusted EBITDA margin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6.0%</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Non-operating items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FV changes of convertible redeemable preferred shares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2,431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Share of income/(losses) from associates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(171)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Interest yield on opening cash resources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Interest income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472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597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534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633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Exchange gain/(loss)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Others, net as % of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Others, net (lease interest, FV of investments, credit losses)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Income before income taxes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2,995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3,769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2,514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7,268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2,188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2,609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2,925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3,165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Income tax expense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481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574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644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696</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Effective tax rate (ex FV changes &amp; associates)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22.0%</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income (IFRS)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2,789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3,365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6,929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2,282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2,469</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Net margin</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16.5%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4.4%</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Non-IFRS adjusted earnings (company definition)</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Impairment / FV changes on long-term investments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Adjusted net income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1,643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1,816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1,812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2,397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2,589</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Adjusted net margin</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4.6%</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62.3%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26.7%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8.0%</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Per-share data (pro forma post-IPO share base, all years)</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Basic shares (m)</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4,246.2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4,246.2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4,246.2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4,246.2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4,267.4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4,288.8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4,310.2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4,331.8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4,353.4</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Diluted shares (m)</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4,419.2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4,419.2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4,419.2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4,419.2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4,441.3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4,463.5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4,485.9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4,508.3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4,530.8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Diluted EPS, IFRS (US$)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0.63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0.76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0.38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0.54</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Adjusted diluted EPS (US$)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0.25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0.41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0.26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0.33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0.41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0.53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0.57</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Adjusted diluted EPS (HK$)</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2.92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1.99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3.22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4.48</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(31.9%)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62.3%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Dividend payout ratio (of adj. net income)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50.0%</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Dividend declared in respect of year (US$m)</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575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1,073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1,294</w:t>
            </w:r>
          </w:p>
        </w:tc>
      </w:tr>
      <w:tr>
        <w:trPr>
          <w:cantSplit/>
        </w:trPr>
        <w:tc>
          <w:tcPr>
            <w:tcW w:type="dxa" w:w="2952"/>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DPS declared (HK$)</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1.02</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1.29</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1.59</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1.88</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2.09</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2.24</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 (SHEIN_Financial_Model_2026-09-30.xlsx).</w:t>
      </w:r>
    </w:p>
    <w:p>
      <w:pPr>
        <w:keepNext/>
        <w:spacing w:after="60" w:before="160"/>
      </w:pPr>
      <w:r>
        <w:rPr>
          <w:rFonts w:ascii="Times New Roman" w:cs="Times New Roman" w:eastAsia="Times New Roman" w:hAnsi="Times New Roman"/>
          <w:b/>
          <w:bCs/>
          <w:color w:val="1F3A5F"/>
          <w:sz w:val="18"/>
          <w:szCs w:val="18"/>
        </w:rPr>
        <w:t xml:space="preserve"/>
      </w:r>
      <w:r>
        <w:rPr>
          <w:rFonts w:ascii="Times New Roman" w:cs="Times New Roman" w:eastAsia="Times New Roman" w:hAnsi="Times New Roman"/>
          <w:b/>
          <w:bCs/>
          <w:color w:val="1F3A5F"/>
          <w:sz w:val="18"/>
          <w:szCs w:val="18"/>
        </w:rPr>
        <w:t xml:space="preserve">Balance sheet, FY2023A-FY2031E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2"/>
        <w:gridCol w:w="706"/>
        <w:gridCol w:w="706"/>
        <w:gridCol w:w="706"/>
        <w:gridCol w:w="706"/>
        <w:gridCol w:w="706"/>
        <w:gridCol w:w="706"/>
        <w:gridCol w:w="706"/>
        <w:gridCol w:w="706"/>
        <w:gridCol w:w="706"/>
      </w:tblGrid>
      <w:tr>
        <w:trPr>
          <w:cantSplit/>
          <w:tblHeader/>
        </w:trPr>
        <w:tc>
          <w:tcPr>
            <w:tcW w:type="dxa" w:w="295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FFFFFF"/>
                <w:sz w:val="14"/>
                <w:szCs w:val="14"/>
              </w:rPr>
              <w:t xml:space="preserve">US$m</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FY23A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FY24A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FY25A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FY26E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FY27E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FY28E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FY29E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FY30E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FY31E</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Assets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Cash and cash equivalents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3,494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4,481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1,711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3,986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5,435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6,964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8,528</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Restricted cash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550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622</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Short-term investments (time deposits)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6,265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8,086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9,723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11,545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11,545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11,545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11,545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11,545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11,545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Receivables from payment platforms &amp; service providers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823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1,303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718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803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842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1,024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1,081</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Other receivables and prepayments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480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534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544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571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652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694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733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Inventories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1,500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1,191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1,234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1,309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1,386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1,538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Other current assets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376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451</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current assets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13,017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14,886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17,593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16,752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17,869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19,349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21,004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22,737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24,498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Property and equipment</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396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732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873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1,023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1,183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1,535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Right-of-use assets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497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959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1,131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1,441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1,522</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Intangible assets &amp; goodwill</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Non-current restricted cash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Deferred tax assets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Investments in associates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266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251</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Investments at fair value through profit or loss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162</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Long-term time deposits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Other non-current assets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109</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non-current assets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1,801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2,683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2,878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3,111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3,358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3,615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3,877</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assets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14,818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17,321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20,033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19,435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20,746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22,460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24,362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26,352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28,375</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Liabilities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Accounts payable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2,749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3,019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3,468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3,906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4,120</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Accrued expenses &amp; other current liabilities (ex lease)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1,836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2,623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3,035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3,057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3,428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3,663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3,896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4,115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Lease liabilities - current</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191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237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248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265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319</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Contract liabilities (customer prepayments)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694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789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796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834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892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953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1,071</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Income tax payable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771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838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878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939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1,003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1,067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1,128</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Convertible redeemable preferred shares - current</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18,048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current liabilities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6,108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7,290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26,057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8,041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8,427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8,992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9,587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10,185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10,753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Convertible redeemable preferred shares - non-current</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20,807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18,376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Deferred tax liabilities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Lease liabilities - non-current</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744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890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933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1,067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1,199</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Other long-term liabilities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non-current liabilities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21,221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19,128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873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936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979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1,044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1,113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1,181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1,245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liabilities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27,329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26,418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26,930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8,977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9,406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10,037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10,700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11,366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11,998</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Shareholders' equity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shareholders' equity / (deficit)</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(12,511)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(9,097)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(6,897)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10,458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11,340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12,423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13,662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14,986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16,377</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liabilities &amp; shareholders' equity</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14,818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17,321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20,033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19,435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20,746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22,460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24,362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26,352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28,375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Balance check (assets less liabilities &amp; equity)</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Equity roll-forward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Opening equity</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(6,897)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10,458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11,340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12,423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13,662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14,986</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Net income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6,929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1,357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1,707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2,469</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Share-based compensation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120</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Conversion of preferred shares into Class B shares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11,082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Conversion Adjustment cash compensation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12% distribution to preferred holders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(230)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IPO net proceeds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1,684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Dividends paid</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(575)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(1,073)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(1,198)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Other comprehensive income / other</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Closing equity</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10,458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11,340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12,423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13,662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14,986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16,377</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Memo items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Total lease liabilities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1,127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1,181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1,264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1,518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Cash resources (cash + restricted + ST &amp; LT deposits)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10,274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11,721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14,786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13,916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14,909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16,191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17,640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19,169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20,733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Net cash after lease liabilities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9,745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10,786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13,685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12,789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13,728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14,927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16,289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17,732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19,215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Operating net working capital</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(2,918)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(4,004)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(4,093)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(4,304)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(4,592)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(4,897)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(5,210)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(5,503)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(9.8%)</w:t>
            </w:r>
          </w:p>
        </w:tc>
      </w:tr>
      <w:tr>
        <w:trPr>
          <w:cantSplit/>
        </w:trPr>
        <w:tc>
          <w:tcPr>
            <w:tcW w:type="dxa" w:w="2952"/>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Return on average equity (adj. NI)</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n.m.</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n.m.</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n.m.</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13.4%</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15.2%</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16.4%</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16.7%</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16.5%</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 (SHEIN_Financial_Model_2026-09-30.xlsx).</w:t>
      </w:r>
    </w:p>
    <w:p>
      <w:pPr>
        <w:keepNext/>
        <w:spacing w:after="60" w:before="160"/>
      </w:pPr>
      <w:r>
        <w:rPr>
          <w:rFonts w:ascii="Times New Roman" w:cs="Times New Roman" w:eastAsia="Times New Roman" w:hAnsi="Times New Roman"/>
          <w:b/>
          <w:bCs/>
          <w:color w:val="1F3A5F"/>
          <w:sz w:val="18"/>
          <w:szCs w:val="18"/>
        </w:rPr>
        <w:t xml:space="preserve"/>
      </w:r>
      <w:r>
        <w:rPr>
          <w:rFonts w:ascii="Times New Roman" w:cs="Times New Roman" w:eastAsia="Times New Roman" w:hAnsi="Times New Roman"/>
          <w:b/>
          <w:bCs/>
          <w:color w:val="1F3A5F"/>
          <w:sz w:val="18"/>
          <w:szCs w:val="18"/>
        </w:rPr>
        <w:t xml:space="preserve">Cash flow statement, FY2023A-FY2031E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2"/>
        <w:gridCol w:w="706"/>
        <w:gridCol w:w="706"/>
        <w:gridCol w:w="706"/>
        <w:gridCol w:w="706"/>
        <w:gridCol w:w="706"/>
        <w:gridCol w:w="706"/>
        <w:gridCol w:w="706"/>
        <w:gridCol w:w="706"/>
        <w:gridCol w:w="706"/>
      </w:tblGrid>
      <w:tr>
        <w:trPr>
          <w:cantSplit/>
          <w:tblHeader/>
        </w:trPr>
        <w:tc>
          <w:tcPr>
            <w:tcW w:type="dxa" w:w="295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FFFFFF"/>
                <w:sz w:val="14"/>
                <w:szCs w:val="14"/>
              </w:rPr>
              <w:t xml:space="preserve">US$m</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FY23A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FY24A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FY25A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FY26E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FY27E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FY28E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FY29E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FY30E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FY31E</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Operating activities (US$m; company presentation - interest received shown in investing)</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Income before income taxes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2,995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3,769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2,514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7,268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1,740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2,188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2,609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3,165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Inventory write-downs, credit losses, impairments &amp; other</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Depreciation of right-of-use assets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D&amp;A of property, equipment &amp; intangibles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242</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Interest expense on lease liabilities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Interest income (reclassified to investing)</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(472)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(597)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(534)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(633)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Share of (income)/losses from associates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171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Share-based compensation</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120</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FV changes of convertible redeemable preferred shares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(2,431)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Change in receivables from payment platforms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(309)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(542)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647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Change in other receivables, prepayments &amp; other assets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Change in inventories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(77)</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Change in accounts payable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Change in contract liabilities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57</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Change in accrued expenses &amp; other current liabilities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854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219</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Change in other long-term liabilities &amp; deferred taxes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Cash generated from operations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2,122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1,774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3,141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2,038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2,596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3,047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3,363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3,572</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Income taxes paid</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(303)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(434)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(510)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(636)</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cash from operating activities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2,838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1,052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1,695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2,176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2,538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2,783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2,936</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Investing activities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Capex % of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0.74%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0.53%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0.75%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Capital expenditure (PP&amp;E, land use rights)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(376)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Interest received</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578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565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534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633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Net placement of short/long-term time deposits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(3,893)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(2,064)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Acquisitions (Everlane), investments, loans &amp; other</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Net change in restricted cash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cash used in investing activities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(4,168)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(1,820)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(1,066)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182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210</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Financing activities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Issuance of preferred shares, net of costs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1,737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IPO net proceeds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1,684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Distributions to preferred holders (8% and 12% p.a.)</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(1,312)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Conversion Adjustment cash compensation</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(2,200)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Lease payments (principal and interest)</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Dividends paid</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(575)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(1,073)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(1,198)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Other financing</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cash from/(used in) financing activities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1,599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(284)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(2,112)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(874)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(1,247)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(1,436)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(1,582)</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Effect of exchange rate changes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change in cash and cash equivalents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(776)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(589)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1,576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(2,770)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993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1,564</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Cash and cash equivalents - beginning</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3,494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4,481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1,711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3,986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5,435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6,964</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Cash and cash equivalents - ending</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3,494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2,905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4,481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1,711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2,704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3,986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5,435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6,964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8,528</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Free cash flow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Free cash flow (CFO - capex - lease payments)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1,319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2,332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474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1,067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1,820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2,129</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Free cash flow incl. interest received</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1,592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1,568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2,011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2,354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2,602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2,762</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FCF (incl. interest) % of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4.9%</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FCF (incl. interest) / adjusted net income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96.9%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134.9%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159.5%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92.0%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107.6%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106.7%</w:t>
            </w:r>
          </w:p>
        </w:tc>
      </w:tr>
      <w:tr>
        <w:trPr>
          <w:cantSplit/>
        </w:trPr>
        <w:tc>
          <w:tcPr>
            <w:tcW w:type="dxa" w:w="295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FCF yield on current market cap</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9.2%</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8.7%</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16.7%</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6.1%</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9.0%</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11.6%</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13.6%</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15.0%</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15.9%</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 (SHEIN_Financial_Model_2026-09-30.xlsx).</w:t>
      </w:r>
    </w:p>
    <w:p>
      <w:pPr>
        <w:keepNext/>
        <w:spacing w:after="60" w:before="160"/>
      </w:pPr>
      <w:r>
        <w:rPr>
          <w:rFonts w:ascii="Times New Roman" w:cs="Times New Roman" w:eastAsia="Times New Roman" w:hAnsi="Times New Roman"/>
          <w:b/>
          <w:bCs/>
          <w:color w:val="1F3A5F"/>
          <w:sz w:val="18"/>
          <w:szCs w:val="18"/>
        </w:rPr>
        <w:t xml:space="preserve"/>
      </w:r>
      <w:r>
        <w:rPr>
          <w:rFonts w:ascii="Times New Roman" w:cs="Times New Roman" w:eastAsia="Times New Roman" w:hAnsi="Times New Roman"/>
          <w:b/>
          <w:bCs/>
          <w:color w:val="1F3A5F"/>
          <w:sz w:val="18"/>
          <w:szCs w:val="18"/>
        </w:rPr>
        <w:t xml:space="preserve">Revenue model, FY2023A-FY2031E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2"/>
        <w:gridCol w:w="706"/>
        <w:gridCol w:w="706"/>
        <w:gridCol w:w="706"/>
        <w:gridCol w:w="706"/>
        <w:gridCol w:w="706"/>
        <w:gridCol w:w="706"/>
        <w:gridCol w:w="706"/>
        <w:gridCol w:w="706"/>
        <w:gridCol w:w="706"/>
      </w:tblGrid>
      <w:tr>
        <w:trPr>
          <w:cantSplit/>
          <w:tblHeader/>
        </w:trPr>
        <w:tc>
          <w:tcPr>
            <w:tcW w:type="dxa" w:w="295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FFFFFF"/>
                <w:sz w:val="14"/>
                <w:szCs w:val="14"/>
              </w:rPr>
              <w:t xml:space="preserve">US$m</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FY23A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FY24A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FY25A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FY26E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FY27E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FY28E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FY29E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FY30E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FY31E</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Customer &amp; order KPIs</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Active customers (m)</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230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374</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Orders per active customer (x)</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3.95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3.95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4.00</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orders (m)</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715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919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1,144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1,224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1,302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1,372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1,445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1,495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17.3%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Net revenue per order (US$)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44.90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42.16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35.85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36.58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36.94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37.71</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0.6%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2.1%</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Net revenue per active customer (US$)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172.6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153.3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139.6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144.5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150.8</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revenues by geography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United States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9,454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10,464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10,101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9,196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9,380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9,755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10,145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10,551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10,920</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29.4%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19.4%</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Europe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10,214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13,603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14,802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13,121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12,596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13,100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13,755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14,443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15,093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28.7%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27.9%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27.4%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27.1%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26.8%</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Rest of world (LatAm, Middle East, APAC &amp; other)</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12,435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14,681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16,944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19,566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21,914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24,105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26,274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28,376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30,363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15.4%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15.5%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12.0%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7.0%</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38.7%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37.9%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46.7%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49.9%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51.3%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52.4%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53.9%</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32,103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38,748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41,847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41,883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43,890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46,960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50,175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53,370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56,376</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5.6%</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Memo: net revenues outside the US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22,649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28,284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31,746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32,687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34,510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37,205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40,029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42,819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45,455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6.2%</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revenues by business model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Service revenues % of total</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Service revenues (marketplace commissions, fulfilment &amp; brand-enablement fees)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868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3,397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4,740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5,637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6,364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7,044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7,777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8,539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9,189</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291.4%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7.6%</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Product revenues (first-party, own &amp; partner brands)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31,235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35,351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37,107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36,246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37,526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39,916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42,398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44,831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47,186</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97.3%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91.2%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88.7%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86.5%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85.5%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83.7%</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net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32,103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38,748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41,847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41,883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43,890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46,960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50,175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53,370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56,376</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Assumed blended marketplace take rate (analyst estimate)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Memo: implied marketplace GMV (illustrative)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3,472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13,588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18,960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22,548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25,456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28,176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31,108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34,157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36,757</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Memo: implied gross sales (1P revenue + marketplace GMV)</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34,707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48,939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56,067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58,794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62,981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68,092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73,506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78,988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83,943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41.0%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14.6%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6.3%</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revenues by category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Apparel % of net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68.8%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64.7%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60.0%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59.5%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59.0%</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Apparel</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22,080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25,068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26,707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25,758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26,773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28,411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30,105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31,755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33,262</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4.7%</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Other categories (footwear, accessories, beauty, home &amp; lifestyle)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10,023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13,680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15,140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16,125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17,117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18,549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20,070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21,615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23,114</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6.9%</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31.2%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41.0%</w:t>
            </w:r>
          </w:p>
        </w:tc>
      </w:tr>
      <w:tr>
        <w:trPr>
          <w:cantSplit/>
        </w:trPr>
        <w:tc>
          <w:tcPr>
            <w:tcW w:type="dxa" w:w="295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net revenues</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32,103</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38,748</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41,847</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41,883</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43,890</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46,960</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50,175</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53,370</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56,376</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 (SHEIN_Financial_Model_2026-09-30.xlsx).</w:t>
      </w:r>
    </w:p>
    <w:p>
      <w:pPr>
        <w:pStyle w:val="Heading1"/>
        <w:keepNext/>
      </w:pPr>
      <w:bookmarkStart w:name="h_68" w:id="68"/>
      <w:r>
        <w:t xml:space="preserve">Appendix B: Glossary</w:t>
      </w:r>
      <w:bookmarkEnd w:id="68"/>
    </w:p>
    <w:tbl>
      <w:tblPr>
        <w:tblW w:type="dxa" w:w="959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5"/>
        <w:gridCol w:w="7604"/>
      </w:tblGrid>
      <w:tr>
        <w:trPr>
          <w:cantSplit/>
          <w:tblHeader/>
        </w:trPr>
        <w:tc>
          <w:tcPr>
            <w:tcW w:type="dxa" w:w="1995"/>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Term</w:t>
            </w:r>
          </w:p>
        </w:tc>
        <w:tc>
          <w:tcPr>
            <w:tcW w:type="dxa" w:w="760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Definition</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Active customer</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 customer who placed at least one order in the period (company definition)</w:t>
            </w:r>
          </w:p>
        </w:tc>
      </w:tr>
      <w:tr>
        <w:trPr>
          <w:cantSplit/>
        </w:trPr>
        <w:tc>
          <w:tcPr>
            <w:tcW w:type="dxa" w:w="199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Adjusted EBIT</w:t>
            </w:r>
          </w:p>
        </w:tc>
        <w:tc>
          <w:tcPr>
            <w:tcW w:type="dxa" w:w="76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Operating income excluding share-based compensation (company non-IFRS measure)</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Adjusted net income</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Net income excluding SBC, fair-value changes of preferred shares, share of associates' results and impairments of long-term investments (company non-IFRS measure)</w:t>
            </w:r>
          </w:p>
        </w:tc>
      </w:tr>
      <w:tr>
        <w:trPr>
          <w:cantSplit/>
        </w:trPr>
        <w:tc>
          <w:tcPr>
            <w:tcW w:type="dxa" w:w="199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CIC</w:t>
            </w:r>
          </w:p>
        </w:tc>
        <w:tc>
          <w:tcPr>
            <w:tcW w:type="dxa" w:w="76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China Insights Consultancy, the industry consultant engaged for the prospectus</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Contribution margin</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Gross profit less fulfilment expenses, as a percentage of net revenues (analyst measure)</w:t>
            </w:r>
          </w:p>
        </w:tc>
      </w:tr>
      <w:tr>
        <w:trPr>
          <w:cantSplit/>
        </w:trPr>
        <w:tc>
          <w:tcPr>
            <w:tcW w:type="dxa" w:w="199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Conversion Adjustment</w:t>
            </w:r>
          </w:p>
        </w:tc>
        <w:tc>
          <w:tcPr>
            <w:tcW w:type="dxa" w:w="76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Compensation to Series Pre-D, D and D+ holders at listing: US$2.2bn cash plus 19.6m Class B shares</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De minimis</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Duty exemption for low-value imports (US: US$800, removed 2025; EU: €150, removed 1 July 2026)</w:t>
            </w:r>
          </w:p>
        </w:tc>
      </w:tr>
      <w:tr>
        <w:trPr>
          <w:cantSplit/>
        </w:trPr>
        <w:tc>
          <w:tcPr>
            <w:tcW w:type="dxa" w:w="199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DSA</w:t>
            </w:r>
          </w:p>
        </w:tc>
        <w:tc>
          <w:tcPr>
            <w:tcW w:type="dxa" w:w="76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EU Digital Services Act; fines of up to 6% of global annual turnover</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FCFF</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Unlevered free cash flow to the firm: NOPAT + D&amp;A – capex – increase in net working capital</w:t>
            </w:r>
          </w:p>
        </w:tc>
      </w:tr>
      <w:tr>
        <w:trPr>
          <w:cantSplit/>
        </w:trPr>
        <w:tc>
          <w:tcPr>
            <w:tcW w:type="dxa" w:w="199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GMV</w:t>
            </w:r>
          </w:p>
        </w:tc>
        <w:tc>
          <w:tcPr>
            <w:tcW w:type="dxa" w:w="76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Gross merchandise value; SHEIN does not disclose marketplace GMV, so our estimate assumes a 25% take rate</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LATR</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Large-scale Automated Test and Reorder, SHEIN's small-batch, data-driven production model</w:t>
            </w:r>
          </w:p>
        </w:tc>
      </w:tr>
      <w:tr>
        <w:trPr>
          <w:cantSplit/>
        </w:trPr>
        <w:tc>
          <w:tcPr>
            <w:tcW w:type="dxa" w:w="199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LTM / NTM</w:t>
            </w:r>
          </w:p>
        </w:tc>
        <w:tc>
          <w:tcPr>
            <w:tcW w:type="dxa" w:w="76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Last twelve months / next twelve months</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Marketplace (service revenue)</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Third-party sales on SHEIN's platform, booked net as commission plus fulfilment fees</w:t>
            </w:r>
          </w:p>
        </w:tc>
      </w:tr>
      <w:tr>
        <w:trPr>
          <w:cantSplit/>
        </w:trPr>
        <w:tc>
          <w:tcPr>
            <w:tcW w:type="dxa" w:w="199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Pro forma cash</w:t>
            </w:r>
          </w:p>
        </w:tc>
        <w:tc>
          <w:tcPr>
            <w:tcW w:type="dxa" w:w="76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30-Jun-2026 cash resources less restricted cash, plus IPO proceeds, less listing-related payments to preferred holders</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SBC</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Share-based compensation</w:t>
            </w:r>
          </w:p>
        </w:tc>
      </w:tr>
      <w:tr>
        <w:trPr>
          <w:cantSplit/>
        </w:trPr>
        <w:tc>
          <w:tcPr>
            <w:tcW w:type="dxa" w:w="199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WACC</w:t>
            </w:r>
          </w:p>
        </w:tc>
        <w:tc>
          <w:tcPr>
            <w:tcW w:type="dxa" w:w="76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Weighted average cost of capital</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WVR</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Weighted voting rights; SHEIN's Class A shares carry ten votes each</w:t>
            </w:r>
          </w:p>
        </w:tc>
      </w:tr>
      <w:tr>
        <w:trPr>
          <w:cantSplit/>
        </w:trPr>
        <w:tc>
          <w:tcPr>
            <w:tcW w:type="dxa" w:w="1995"/>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Xcelerator</w:t>
            </w:r>
          </w:p>
        </w:tc>
        <w:tc>
          <w:tcPr>
            <w:tcW w:type="dxa" w:w="7604"/>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SHEIN's brand-enablement programme offering supply chain, design, marketing and fulfilment to partner brands</w:t>
            </w:r>
          </w:p>
        </w:tc>
      </w:tr>
    </w:tbl>
    <w:p>
      <w:pPr>
        <w:spacing w:after="120"/>
      </w:pPr>
    </w:p>
    <w:p>
      <w:pPr>
        <w:pStyle w:val="Heading1"/>
        <w:keepNext/>
      </w:pPr>
      <w:bookmarkStart w:name="h_69" w:id="69"/>
      <w:r>
        <w:t xml:space="preserve">Appendix C: Sources</w:t>
      </w:r>
      <w:bookmarkEnd w:id="69"/>
    </w:p>
    <w:p>
      <w:pPr>
        <w:spacing w:after="120" w:line="264"/>
        <w:jc w:val="both"/>
      </w:pPr>
      <w:r>
        <w:rPr>
          <w:rFonts w:ascii="Times New Roman" w:cs="Times New Roman" w:eastAsia="Times New Roman" w:hAnsi="Times New Roman"/>
        </w:rPr>
        <w:t xml:space="preserve">All figures in this report are from the company's public filings, the sources listed below, or the analyst's own estimates in the accompanying model. Share prices are as of the close on 30 September 2026 unless stated.</w:t>
      </w:r>
    </w:p>
    <w:p>
      <w:pPr>
        <w:tabs>
          <w:tab w:val="left" w:pos="400"/>
        </w:tabs>
        <w:spacing w:after="80" w:line="252"/>
        <w:ind w:left="400" w:hanging="400"/>
      </w:pPr>
      <w:r>
        <w:rPr>
          <w:rFonts w:ascii="Times New Roman" w:cs="Times New Roman" w:eastAsia="Times New Roman" w:hAnsi="Times New Roman"/>
        </w:rPr>
        <w:t xml:space="preserve">1.	</w:t>
      </w:r>
      <w:r>
        <w:rPr>
          <w:rFonts w:ascii="Times New Roman" w:cs="Times New Roman" w:eastAsia="Times New Roman" w:hAnsi="Times New Roman"/>
        </w:rPr>
        <w:t xml:space="preserve">SHEIN Global Holdings Ltd — Global Offering Prospectus, 24 August 2026. HKEXnews: </w:t>
      </w:r>
      <w:hyperlink w:history="1" r:id="rIdqgsfdfgnne5uaxd7eb7q6">
        <w:r>
          <w:rPr>
            <w:rStyle w:val="Hyperlink"/>
            <w:rFonts w:ascii="Times New Roman" w:cs="Times New Roman" w:eastAsia="Times New Roman" w:hAnsi="Times New Roman"/>
          </w:rPr>
          <w:t xml:space="preserve">https://www1.hkexnews.hk/listedco/listconews/sehk/2026/0824/2026082400019.pdf</w:t>
        </w:r>
      </w:hyperlink>
    </w:p>
    <w:p>
      <w:pPr>
        <w:tabs>
          <w:tab w:val="left" w:pos="400"/>
        </w:tabs>
        <w:spacing w:after="80" w:line="252"/>
        <w:ind w:left="400" w:hanging="400"/>
      </w:pPr>
      <w:r>
        <w:rPr>
          <w:rFonts w:ascii="Times New Roman" w:cs="Times New Roman" w:eastAsia="Times New Roman" w:hAnsi="Times New Roman"/>
        </w:rPr>
        <w:t xml:space="preserve">2.	</w:t>
      </w:r>
      <w:r>
        <w:rPr>
          <w:rFonts w:ascii="Times New Roman" w:cs="Times New Roman" w:eastAsia="Times New Roman" w:hAnsi="Times New Roman"/>
        </w:rPr>
        <w:t xml:space="preserve">SHEIN — Formal notice / Global Offering, 24 August 2026: </w:t>
      </w:r>
      <w:hyperlink w:history="1" r:id="rIdbdki4hvtwpwsnefjpdiix">
        <w:r>
          <w:rPr>
            <w:rStyle w:val="Hyperlink"/>
            <w:rFonts w:ascii="Times New Roman" w:cs="Times New Roman" w:eastAsia="Times New Roman" w:hAnsi="Times New Roman"/>
          </w:rPr>
          <w:t xml:space="preserve">https://www1.hkexnews.hk/listedco/listconews/sehk/2026/0824/2026082400009.pdf</w:t>
        </w:r>
      </w:hyperlink>
    </w:p>
    <w:p>
      <w:pPr>
        <w:tabs>
          <w:tab w:val="left" w:pos="400"/>
        </w:tabs>
        <w:spacing w:after="80" w:line="252"/>
        <w:ind w:left="400" w:hanging="400"/>
      </w:pPr>
      <w:r>
        <w:rPr>
          <w:rFonts w:ascii="Times New Roman" w:cs="Times New Roman" w:eastAsia="Times New Roman" w:hAnsi="Times New Roman"/>
        </w:rPr>
        <w:t xml:space="preserve">3.	</w:t>
      </w:r>
      <w:r>
        <w:rPr>
          <w:rFonts w:ascii="Times New Roman" w:cs="Times New Roman" w:eastAsia="Times New Roman" w:hAnsi="Times New Roman"/>
        </w:rPr>
        <w:t xml:space="preserve">SHEIN — Announcement of Final Offer Price and Allotment Results, 31 August 2026: </w:t>
      </w:r>
      <w:hyperlink w:history="1" r:id="rIdhuqa3uqntwc4yl75c5gwi">
        <w:r>
          <w:rPr>
            <w:rStyle w:val="Hyperlink"/>
            <w:rFonts w:ascii="Times New Roman" w:cs="Times New Roman" w:eastAsia="Times New Roman" w:hAnsi="Times New Roman"/>
          </w:rPr>
          <w:t xml:space="preserve">https://www1.hkexnews.hk/listedco/listconews/sehk/2026/0831/2026083102409.pdf</w:t>
        </w:r>
      </w:hyperlink>
    </w:p>
    <w:p>
      <w:pPr>
        <w:tabs>
          <w:tab w:val="left" w:pos="400"/>
        </w:tabs>
        <w:spacing w:after="80" w:line="252"/>
        <w:ind w:left="400" w:hanging="400"/>
      </w:pPr>
      <w:r>
        <w:rPr>
          <w:rFonts w:ascii="Times New Roman" w:cs="Times New Roman" w:eastAsia="Times New Roman" w:hAnsi="Times New Roman"/>
        </w:rPr>
        <w:t xml:space="preserve">4.	</w:t>
      </w:r>
      <w:r>
        <w:rPr>
          <w:rFonts w:ascii="Times New Roman" w:cs="Times New Roman" w:eastAsia="Times New Roman" w:hAnsi="Times New Roman"/>
        </w:rPr>
        <w:t xml:space="preserve">SHEIN — Stabilising Actions, End of Stabilisation Period and Lapse of Over-allotment Option, 27 September 2026: </w:t>
      </w:r>
      <w:hyperlink w:history="1" r:id="rIdhelw7bpxjwemj3kkc68pi">
        <w:r>
          <w:rPr>
            <w:rStyle w:val="Hyperlink"/>
            <w:rFonts w:ascii="Times New Roman" w:cs="Times New Roman" w:eastAsia="Times New Roman" w:hAnsi="Times New Roman"/>
          </w:rPr>
          <w:t xml:space="preserve">https://www1.hkexnews.hk/listedco/listconews/sehk/2026/0927/2026092700013.pdf</w:t>
        </w:r>
      </w:hyperlink>
    </w:p>
    <w:p>
      <w:pPr>
        <w:tabs>
          <w:tab w:val="left" w:pos="400"/>
        </w:tabs>
        <w:spacing w:after="80" w:line="252"/>
        <w:ind w:left="400" w:hanging="400"/>
      </w:pPr>
      <w:r>
        <w:rPr>
          <w:rFonts w:ascii="Times New Roman" w:cs="Times New Roman" w:eastAsia="Times New Roman" w:hAnsi="Times New Roman"/>
        </w:rPr>
        <w:t xml:space="preserve">5.	</w:t>
      </w:r>
      <w:r>
        <w:rPr>
          <w:rFonts w:ascii="Times New Roman" w:cs="Times New Roman" w:eastAsia="Times New Roman" w:hAnsi="Times New Roman"/>
        </w:rPr>
        <w:t xml:space="preserve">SHEIN — 2026 Interim Report, 28 September 2026: </w:t>
      </w:r>
      <w:hyperlink w:history="1" r:id="rIdivkfawrs4c3kqsv_pxi75">
        <w:r>
          <w:rPr>
            <w:rStyle w:val="Hyperlink"/>
            <w:rFonts w:ascii="Times New Roman" w:cs="Times New Roman" w:eastAsia="Times New Roman" w:hAnsi="Times New Roman"/>
          </w:rPr>
          <w:t xml:space="preserve">https://www1.hkexnews.hk/listedco/listconews/sehk/2026/0928/2026092801831.pdf</w:t>
        </w:r>
      </w:hyperlink>
    </w:p>
    <w:p>
      <w:pPr>
        <w:tabs>
          <w:tab w:val="left" w:pos="400"/>
        </w:tabs>
        <w:spacing w:after="80" w:line="252"/>
        <w:ind w:left="400" w:hanging="400"/>
      </w:pPr>
      <w:r>
        <w:rPr>
          <w:rFonts w:ascii="Times New Roman" w:cs="Times New Roman" w:eastAsia="Times New Roman" w:hAnsi="Times New Roman"/>
        </w:rPr>
        <w:t xml:space="preserve">6.	</w:t>
      </w:r>
      <w:r>
        <w:rPr>
          <w:rFonts w:ascii="Times New Roman" w:cs="Times New Roman" w:eastAsia="Times New Roman" w:hAnsi="Times New Roman"/>
        </w:rPr>
        <w:t xml:space="preserve">HKEX news release, "HKEX Enhances Product Offering with SHEIN Debut": </w:t>
      </w:r>
      <w:hyperlink w:history="1" r:id="rIdnw1aqp-gyymv1m8aakvlh">
        <w:r>
          <w:rPr>
            <w:rStyle w:val="Hyperlink"/>
            <w:rFonts w:ascii="Times New Roman" w:cs="Times New Roman" w:eastAsia="Times New Roman" w:hAnsi="Times New Roman"/>
          </w:rPr>
          <w:t xml:space="preserve">https://www.hkex.com.hk/News/News-Release/2026/260828news?sc_lang=en</w:t>
        </w:r>
      </w:hyperlink>
    </w:p>
    <w:p>
      <w:pPr>
        <w:tabs>
          <w:tab w:val="left" w:pos="400"/>
        </w:tabs>
        <w:spacing w:after="80" w:line="252"/>
        <w:ind w:left="400" w:hanging="400"/>
      </w:pPr>
      <w:r>
        <w:rPr>
          <w:rFonts w:ascii="Times New Roman" w:cs="Times New Roman" w:eastAsia="Times New Roman" w:hAnsi="Times New Roman"/>
        </w:rPr>
        <w:t xml:space="preserve">7.	</w:t>
      </w:r>
      <w:r>
        <w:rPr>
          <w:rFonts w:ascii="Times New Roman" w:cs="Times New Roman" w:eastAsia="Times New Roman" w:hAnsi="Times New Roman"/>
        </w:rPr>
        <w:t xml:space="preserve">CNBC, "Fast-fashion giant Shein's shares drop 9% in Hong Kong market debut", 1 September 2026: </w:t>
      </w:r>
      <w:hyperlink w:history="1" r:id="rIdrgaoldxqodotxjr5ylfhy">
        <w:r>
          <w:rPr>
            <w:rStyle w:val="Hyperlink"/>
            <w:rFonts w:ascii="Times New Roman" w:cs="Times New Roman" w:eastAsia="Times New Roman" w:hAnsi="Times New Roman"/>
          </w:rPr>
          <w:t xml:space="preserve">https://www.cnbc.com/2026/09/01/shein-ipo-market-debut-hong-kong.html</w:t>
        </w:r>
      </w:hyperlink>
    </w:p>
    <w:p>
      <w:pPr>
        <w:tabs>
          <w:tab w:val="left" w:pos="400"/>
        </w:tabs>
        <w:spacing w:after="80" w:line="252"/>
        <w:ind w:left="400" w:hanging="400"/>
      </w:pPr>
      <w:r>
        <w:rPr>
          <w:rFonts w:ascii="Times New Roman" w:cs="Times New Roman" w:eastAsia="Times New Roman" w:hAnsi="Times New Roman"/>
        </w:rPr>
        <w:t xml:space="preserve">8.	</w:t>
      </w:r>
      <w:r>
        <w:rPr>
          <w:rFonts w:ascii="Times New Roman" w:cs="Times New Roman" w:eastAsia="Times New Roman" w:hAnsi="Times New Roman"/>
        </w:rPr>
        <w:t xml:space="preserve">CNBC, "Shein targets $27 billion Hong Kong IPO", 24 August 2026: </w:t>
      </w:r>
      <w:hyperlink w:history="1" r:id="rIdg2vfvvcudulxrlxhe1xn1">
        <w:r>
          <w:rPr>
            <w:rStyle w:val="Hyperlink"/>
            <w:rFonts w:ascii="Times New Roman" w:cs="Times New Roman" w:eastAsia="Times New Roman" w:hAnsi="Times New Roman"/>
          </w:rPr>
          <w:t xml:space="preserve">https://www.cnbc.com/2026/08/24/shein-ipo-valuation-hong-kong.html</w:t>
        </w:r>
      </w:hyperlink>
    </w:p>
    <w:p>
      <w:pPr>
        <w:tabs>
          <w:tab w:val="left" w:pos="400"/>
        </w:tabs>
        <w:spacing w:after="80" w:line="252"/>
        <w:ind w:left="400" w:hanging="400"/>
      </w:pPr>
      <w:r>
        <w:rPr>
          <w:rFonts w:ascii="Times New Roman" w:cs="Times New Roman" w:eastAsia="Times New Roman" w:hAnsi="Times New Roman"/>
        </w:rPr>
        <w:t xml:space="preserve">9.	</w:t>
      </w:r>
      <w:r>
        <w:rPr>
          <w:rFonts w:ascii="Times New Roman" w:cs="Times New Roman" w:eastAsia="Times New Roman" w:hAnsi="Times New Roman"/>
        </w:rPr>
        <w:t xml:space="preserve">Just Style, "Shein posts 1% H1 revenue growth in first results since listing": </w:t>
      </w:r>
      <w:hyperlink w:history="1" r:id="rIdqpwo71qr8rx_nvbryzvbw">
        <w:r>
          <w:rPr>
            <w:rStyle w:val="Hyperlink"/>
            <w:rFonts w:ascii="Times New Roman" w:cs="Times New Roman" w:eastAsia="Times New Roman" w:hAnsi="Times New Roman"/>
          </w:rPr>
          <w:t xml:space="preserve">https://www.just-style.com/news/shein-first-interim-result/</w:t>
        </w:r>
      </w:hyperlink>
    </w:p>
    <w:p>
      <w:pPr>
        <w:tabs>
          <w:tab w:val="left" w:pos="400"/>
        </w:tabs>
        <w:spacing w:after="80" w:line="252"/>
        <w:ind w:left="400" w:hanging="400"/>
      </w:pPr>
      <w:r>
        <w:rPr>
          <w:rFonts w:ascii="Times New Roman" w:cs="Times New Roman" w:eastAsia="Times New Roman" w:hAnsi="Times New Roman"/>
        </w:rPr>
        <w:t xml:space="preserve">10.	</w:t>
      </w:r>
      <w:r>
        <w:rPr>
          <w:rFonts w:ascii="Times New Roman" w:cs="Times New Roman" w:eastAsia="Times New Roman" w:hAnsi="Times New Roman"/>
        </w:rPr>
        <w:t xml:space="preserve">Jing Daily, "Shein's Q2 profit falls 67% in first post-IPO results", 30 September 2026: </w:t>
      </w:r>
      <w:hyperlink w:history="1" r:id="rIdbqoebirkhpo0_-2f3g4lh">
        <w:r>
          <w:rPr>
            <w:rStyle w:val="Hyperlink"/>
            <w:rFonts w:ascii="Times New Roman" w:cs="Times New Roman" w:eastAsia="Times New Roman" w:hAnsi="Times New Roman"/>
          </w:rPr>
          <w:t xml:space="preserve">https://jingdaily.com/intels/2026-09/30/shein-s-q2-profit-falls-67-in-first-post-ipo-results</w:t>
        </w:r>
      </w:hyperlink>
    </w:p>
    <w:p>
      <w:pPr>
        <w:tabs>
          <w:tab w:val="left" w:pos="400"/>
        </w:tabs>
        <w:spacing w:after="80" w:line="252"/>
        <w:ind w:left="400" w:hanging="400"/>
      </w:pPr>
      <w:r>
        <w:rPr>
          <w:rFonts w:ascii="Times New Roman" w:cs="Times New Roman" w:eastAsia="Times New Roman" w:hAnsi="Times New Roman"/>
        </w:rPr>
        <w:t xml:space="preserve">11.	</w:t>
      </w:r>
      <w:r>
        <w:rPr>
          <w:rFonts w:ascii="Times New Roman" w:cs="Times New Roman" w:eastAsia="Times New Roman" w:hAnsi="Times New Roman"/>
        </w:rPr>
        <w:t xml:space="preserve">Irish Times / Bloomberg, "Shein drops to record low after profit plunge in debut earnings", 29 September 2026: </w:t>
      </w:r>
      <w:hyperlink w:history="1" r:id="rIdm_r2lyywdpnt43rdgjokg">
        <w:r>
          <w:rPr>
            <w:rStyle w:val="Hyperlink"/>
            <w:rFonts w:ascii="Times New Roman" w:cs="Times New Roman" w:eastAsia="Times New Roman" w:hAnsi="Times New Roman"/>
          </w:rPr>
          <w:t xml:space="preserve">https://www.irishtimes.com/business/2026/09/29/shein-drops-to-record-low-after-profit-plunge-in-debut-earnings/</w:t>
        </w:r>
      </w:hyperlink>
    </w:p>
    <w:p>
      <w:pPr>
        <w:tabs>
          <w:tab w:val="left" w:pos="400"/>
        </w:tabs>
        <w:spacing w:after="80" w:line="252"/>
        <w:ind w:left="400" w:hanging="400"/>
      </w:pPr>
      <w:r>
        <w:rPr>
          <w:rFonts w:ascii="Times New Roman" w:cs="Times New Roman" w:eastAsia="Times New Roman" w:hAnsi="Times New Roman"/>
        </w:rPr>
        <w:t xml:space="preserve">12.	</w:t>
      </w:r>
      <w:r>
        <w:rPr>
          <w:rFonts w:ascii="Times New Roman" w:cs="Times New Roman" w:eastAsia="Times New Roman" w:hAnsi="Times New Roman"/>
        </w:rPr>
        <w:t xml:space="preserve">Hong Kong Free Press, "Shein shares dive more than 11% after earnings disappoint", 29 September 2026: </w:t>
      </w:r>
      <w:hyperlink w:history="1" r:id="rIdonqjyvcnamwkzyca5tlkf">
        <w:r>
          <w:rPr>
            <w:rStyle w:val="Hyperlink"/>
            <w:rFonts w:ascii="Times New Roman" w:cs="Times New Roman" w:eastAsia="Times New Roman" w:hAnsi="Times New Roman"/>
          </w:rPr>
          <w:t xml:space="preserve">https://hongkongfp.com/2026/09/29/shein-shares-dive-more-than-11-after-earnings-disappoint/</w:t>
        </w:r>
      </w:hyperlink>
    </w:p>
    <w:p>
      <w:pPr>
        <w:tabs>
          <w:tab w:val="left" w:pos="400"/>
        </w:tabs>
        <w:spacing w:after="80" w:line="252"/>
        <w:ind w:left="400" w:hanging="400"/>
      </w:pPr>
      <w:r>
        <w:rPr>
          <w:rFonts w:ascii="Times New Roman" w:cs="Times New Roman" w:eastAsia="Times New Roman" w:hAnsi="Times New Roman"/>
        </w:rPr>
        <w:t xml:space="preserve">13.	</w:t>
      </w:r>
      <w:r>
        <w:rPr>
          <w:rFonts w:ascii="Times New Roman" w:cs="Times New Roman" w:eastAsia="Times New Roman" w:hAnsi="Times New Roman"/>
        </w:rPr>
        <w:t xml:space="preserve">Investing.com, "Shein shares hit record low as quarterly profit slumps 67%": </w:t>
      </w:r>
      <w:hyperlink w:history="1" r:id="rIden_iqo0wpqnm8xmlqb6jh">
        <w:r>
          <w:rPr>
            <w:rStyle w:val="Hyperlink"/>
            <w:rFonts w:ascii="Times New Roman" w:cs="Times New Roman" w:eastAsia="Times New Roman" w:hAnsi="Times New Roman"/>
          </w:rPr>
          <w:t xml:space="preserve">https://www.investing.com/news/stock-market-news/shein-shares-hit-record-low-as-quarterly-profit-slumps-67-4921542</w:t>
        </w:r>
      </w:hyperlink>
    </w:p>
    <w:p>
      <w:pPr>
        <w:tabs>
          <w:tab w:val="left" w:pos="400"/>
        </w:tabs>
        <w:spacing w:after="80" w:line="252"/>
        <w:ind w:left="400" w:hanging="400"/>
      </w:pPr>
      <w:r>
        <w:rPr>
          <w:rFonts w:ascii="Times New Roman" w:cs="Times New Roman" w:eastAsia="Times New Roman" w:hAnsi="Times New Roman"/>
        </w:rPr>
        <w:t xml:space="preserve">14.	</w:t>
      </w:r>
      <w:r>
        <w:rPr>
          <w:rFonts w:ascii="Times New Roman" w:cs="Times New Roman" w:eastAsia="Times New Roman" w:hAnsi="Times New Roman"/>
        </w:rPr>
        <w:t xml:space="preserve">Douglas Kim, "Shein IPO Valuation Analysis" (Substack): </w:t>
      </w:r>
      <w:hyperlink w:history="1" r:id="rIdmwlqmu8x0_m49jvffyeoj">
        <w:r>
          <w:rPr>
            <w:rStyle w:val="Hyperlink"/>
            <w:rFonts w:ascii="Times New Roman" w:cs="Times New Roman" w:eastAsia="Times New Roman" w:hAnsi="Times New Roman"/>
          </w:rPr>
          <w:t xml:space="preserve">https://douglasresearch.substack.com/p/shein-ipo-valuation-analysis</w:t>
        </w:r>
      </w:hyperlink>
    </w:p>
    <w:p>
      <w:pPr>
        <w:tabs>
          <w:tab w:val="left" w:pos="400"/>
        </w:tabs>
        <w:spacing w:after="80" w:line="252"/>
        <w:ind w:left="400" w:hanging="400"/>
      </w:pPr>
      <w:r>
        <w:rPr>
          <w:rFonts w:ascii="Times New Roman" w:cs="Times New Roman" w:eastAsia="Times New Roman" w:hAnsi="Times New Roman"/>
        </w:rPr>
        <w:t xml:space="preserve">15.	</w:t>
      </w:r>
      <w:r>
        <w:rPr>
          <w:rFonts w:ascii="Times New Roman" w:cs="Times New Roman" w:eastAsia="Times New Roman" w:hAnsi="Times New Roman"/>
        </w:rPr>
        <w:t xml:space="preserve">stockanalysis.com quote and statistics pages for 0625.HK and peers (Inditex, H&amp;M, Fast Retailing, Zalando, ASOS, Revolve, PDD, Alibaba, JD.com, Amazon, MercadoLibre), 29-30 September 2026: </w:t>
      </w:r>
      <w:hyperlink w:history="1" r:id="rId2xtrvahy1m_5s3j8a46mp">
        <w:r>
          <w:rPr>
            <w:rStyle w:val="Hyperlink"/>
            <w:rFonts w:ascii="Times New Roman" w:cs="Times New Roman" w:eastAsia="Times New Roman" w:hAnsi="Times New Roman"/>
          </w:rPr>
          <w:t xml:space="preserve">https://stockanalysis.com/quote/hkg/0625/</w:t>
        </w:r>
      </w:hyperlink>
    </w:p>
    <w:p>
      <w:pPr>
        <w:pStyle w:val="Heading1"/>
        <w:keepNext/>
      </w:pPr>
      <w:bookmarkStart w:name="h_70" w:id="70"/>
      <w:r>
        <w:t xml:space="preserve">Important Disclosures</w:t>
      </w:r>
      <w:bookmarkEnd w:id="70"/>
    </w:p>
    <w:p>
      <w:pPr>
        <w:spacing w:after="120" w:line="264"/>
        <w:jc w:val="both"/>
      </w:pPr>
      <w:r>
        <w:rPr>
          <w:rFonts w:ascii="Times New Roman" w:cs="Times New Roman" w:eastAsia="Times New Roman" w:hAnsi="Times New Roman"/>
          <w:b/>
          <w:bCs/>
        </w:rPr>
        <w:t xml:space="preserve">Nature of this report.</w:t>
      </w:r>
      <w:r>
        <w:rPr>
          <w:rFonts w:ascii="Times New Roman" w:cs="Times New Roman" w:eastAsia="Times New Roman" w:hAnsi="Times New Roman"/>
        </w:rPr>
        <w:t xml:space="preserve"> This initiation report was prepared with the assistance of an AI system (Claude, developed by Anthropic) from publicly available information, including the SHEIN Global Offering prospectus, the 2026 Interim Report, HKEX announcements and media reports. It has not been reviewed by SHEIN Global Holdings Ltd or any regulated research provider.</w:t>
      </w:r>
    </w:p>
    <w:p>
      <w:pPr>
        <w:spacing w:after="120" w:line="264"/>
        <w:jc w:val="both"/>
      </w:pPr>
      <w:r>
        <w:rPr>
          <w:rFonts w:ascii="Times New Roman" w:cs="Times New Roman" w:eastAsia="Times New Roman" w:hAnsi="Times New Roman"/>
          <w:b/>
          <w:bCs/>
        </w:rPr>
        <w:t xml:space="preserve">Not investment advice.</w:t>
      </w:r>
      <w:r>
        <w:rPr>
          <w:rFonts w:ascii="Times New Roman" w:cs="Times New Roman" w:eastAsia="Times New Roman" w:hAnsi="Times New Roman"/>
        </w:rPr>
        <w:t xml:space="preserve"> This document is an analytical work product for discussion purposes. It is not investment advice, a recommendation tailored to any individual's circumstances, or an offer or solicitation to buy or sell any security. Investors should conduct their own due diligence and consult a licensed adviser before making investment decisions.</w:t>
      </w:r>
    </w:p>
    <w:p>
      <w:pPr>
        <w:spacing w:after="120" w:line="264"/>
        <w:jc w:val="both"/>
      </w:pPr>
      <w:r>
        <w:rPr>
          <w:rFonts w:ascii="Times New Roman" w:cs="Times New Roman" w:eastAsia="Times New Roman" w:hAnsi="Times New Roman"/>
          <w:b/>
          <w:bCs/>
        </w:rPr>
        <w:t xml:space="preserve">Forecasts and data.</w:t>
      </w:r>
    </w:p>
    <w:p>
      <w:pPr>
        <w:pStyle w:val="ListParagraph"/>
        <w:numPr>
          <w:ilvl w:val="0"/>
          <w:numId w:val="3"/>
        </w:numPr>
        <w:spacing w:after="60" w:line="252"/>
      </w:pPr>
      <w:r>
        <w:rPr>
          <w:rFonts w:ascii="Times New Roman" w:cs="Times New Roman" w:eastAsia="Times New Roman" w:hAnsi="Times New Roman"/>
        </w:rPr>
        <w:t xml:space="preserve">The forecasts, price target and rating are the analyst's estimates, based on assumptions that may prove incorrect.</w:t>
      </w:r>
    </w:p>
    <w:p>
      <w:pPr>
        <w:pStyle w:val="ListParagraph"/>
        <w:numPr>
          <w:ilvl w:val="0"/>
          <w:numId w:val="3"/>
        </w:numPr>
        <w:spacing w:after="60" w:line="252"/>
      </w:pPr>
      <w:r>
        <w:rPr>
          <w:rFonts w:ascii="Times New Roman" w:cs="Times New Roman" w:eastAsia="Times New Roman" w:hAnsi="Times New Roman"/>
        </w:rPr>
        <w:t xml:space="preserve">Peer multiples are approximate and use third-party data that has not been independently verified.</w:t>
      </w:r>
    </w:p>
    <w:p>
      <w:pPr>
        <w:pStyle w:val="ListParagraph"/>
        <w:numPr>
          <w:ilvl w:val="0"/>
          <w:numId w:val="3"/>
        </w:numPr>
        <w:spacing w:after="60" w:line="252"/>
      </w:pPr>
      <w:r>
        <w:rPr>
          <w:rFonts w:ascii="Times New Roman" w:cs="Times New Roman" w:eastAsia="Times New Roman" w:hAnsi="Times New Roman"/>
        </w:rPr>
        <w:t xml:space="preserve">Currency conversions use approximate rates (HK$7.845 = US$1).</w:t>
      </w:r>
    </w:p>
    <w:p>
      <w:pPr>
        <w:pStyle w:val="ListParagraph"/>
        <w:numPr>
          <w:ilvl w:val="0"/>
          <w:numId w:val="3"/>
        </w:numPr>
        <w:spacing w:after="60" w:line="252"/>
      </w:pPr>
      <w:r>
        <w:rPr>
          <w:rFonts w:ascii="Times New Roman" w:cs="Times New Roman" w:eastAsia="Times New Roman" w:hAnsi="Times New Roman"/>
        </w:rPr>
        <w:t xml:space="preserve">Past performance is not indicative of future results.</w:t>
      </w:r>
    </w:p>
    <w:p>
      <w:pPr>
        <w:spacing w:after="120" w:line="264"/>
        <w:jc w:val="both"/>
      </w:pPr>
      <w:r>
        <w:rPr>
          <w:rFonts w:ascii="Times New Roman" w:cs="Times New Roman" w:eastAsia="Times New Roman" w:hAnsi="Times New Roman"/>
          <w:b/>
          <w:bCs/>
        </w:rPr>
        <w:t xml:space="preserve">Conflicts.</w:t>
      </w:r>
      <w:r>
        <w:rPr>
          <w:rFonts w:ascii="Times New Roman" w:cs="Times New Roman" w:eastAsia="Times New Roman" w:hAnsi="Times New Roman"/>
        </w:rPr>
        <w:t xml:space="preserve"> The preparer holds no position in the securities discussed and has received no compensation from any company mentioned.</w:t>
      </w:r>
    </w:p>
    <w:sectPr>
      <w:headerReference w:type="default" r:id="rId6"/>
      <w:footerReference w:type="default" r:id="rId7"/>
      <w:pgSz w:w="11906" w:h="16838" w:orient="portrait"/>
      <w:pgMar w:top="1000" w:right="1080" w:bottom="900" w:left="1080" w:header="50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A9BB0" w:sz="4" w:space="2"/>
      </w:pBdr>
      <w:tabs>
        <w:tab w:val="right" w:pos="9746"/>
      </w:tabs>
      <w:rPr>
        <w:rFonts w:ascii="Times New Roman" w:cs="Times New Roman" w:eastAsia="Times New Roman" w:hAnsi="Times New Roman"/>
        <w:color w:val="595959"/>
        <w:sz w:val="15"/>
        <w:szCs w:val="15"/>
      </w:rPr>
    </w:pPr>
    <w:r>
      <w:rPr>
        <w:rFonts w:ascii="Times New Roman" w:cs="Times New Roman" w:eastAsia="Times New Roman" w:hAnsi="Times New Roman"/>
        <w:color w:val="595959"/>
        <w:sz w:val="15"/>
        <w:szCs w:val="15"/>
      </w:rPr>
      <w:t xml:space="preserve">AI-assisted research. Not investment advice. See Important Disclosures at the end of this report.</w:t>
    </w:r>
    <w:r>
      <w:rPr>
        <w:rFonts w:ascii="Times New Roman" w:cs="Times New Roman" w:eastAsia="Times New Roman" w:hAnsi="Times New Roman"/>
        <w:color w:val="595959"/>
        <w:sz w:val="15"/>
        <w:szCs w:val="15"/>
      </w:rPr>
      <w:t xml:space="preserve">	Page </w:t>
    </w:r>
    <w:r>
      <w:rPr>
        <w:rFonts w:ascii="Times New Roman" w:cs="Times New Roman" w:eastAsia="Times New Roman" w:hAnsi="Times New Roman"/>
        <w:color w:val="595959"/>
        <w:sz w:val="15"/>
        <w:szCs w:val="15"/>
      </w:rPr>
      <w:fldChar w:fldCharType="begin"/>
      <w:instrText xml:space="preserve">PAGE</w:instrText>
      <w:fldChar w:fldCharType="separate"/>
      <w:fldChar w:fldCharType="end"/>
    </w:r>
    <w:r>
      <w:rPr>
        <w:rFonts w:ascii="Times New Roman" w:cs="Times New Roman" w:eastAsia="Times New Roman" w:hAnsi="Times New Roman"/>
        <w:color w:val="595959"/>
        <w:sz w:val="15"/>
        <w:szCs w:val="15"/>
      </w:rPr>
      <w:t xml:space="preserve"> of </w:t>
    </w:r>
    <w:r>
      <w:rPr>
        <w:rFonts w:ascii="Times New Roman" w:cs="Times New Roman" w:eastAsia="Times New Roman" w:hAnsi="Times New Roman"/>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9BB0" w:sz="4" w:space="2"/>
      </w:pBdr>
      <w:jc w:val="right"/>
    </w:pPr>
    <w:r>
      <w:rPr>
        <w:rFonts w:ascii="Times New Roman" w:cs="Times New Roman" w:eastAsia="Times New Roman" w:hAnsi="Times New Roman"/>
        <w:color w:val="595959"/>
        <w:sz w:val="15"/>
        <w:szCs w:val="15"/>
      </w:rPr>
      <w:t xml:space="preserve">SHEIN Global Holdings Ltd (0625.HK)  |  Initiating Coverage  |  30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lvl w:ilvl="2" w:tentative="1">
      <w:start w:val="1"/>
      <w:numFmt w:val="bullet"/>
      <w:lvlText w:val="▪"/>
      <w:lvlJc w:val="left"/>
      <w:pPr>
        <w:ind w:left="1080" w:hanging="240"/>
      </w:pPr>
    </w:lvl>
  </w:abstractNum>
  <w:abstractNum w:abstractNumId="3" w15:restartNumberingAfterBreak="0">
    <w:multiLevelType w:val="hybridMultilevel"/>
    <w:lvl w:ilvl="0" w:tentative="1">
      <w:start w:val="1"/>
      <w:numFmt w:val="bullet"/>
      <w:lvlText w:val="■"/>
      <w:lvlJc w:val="left"/>
      <w:pPr>
        <w:ind w:left="300" w:hanging="300"/>
      </w:pPr>
      <w:rPr>
        <w:color w:val="1F3A5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2"/>
      </w:pBdr>
      <w:spacing w:after="140" w:before="240"/>
      <w:outlineLvl w:val="0"/>
    </w:pPr>
    <w:rPr>
      <w:rFonts w:ascii="Times New Roman" w:cs="Times New Roman" w:eastAsia="Times New Roman" w:hAnsi="Times New Roman"/>
      <w:b/>
      <w:bCs/>
      <w:color w:val="1F3A5F"/>
      <w:sz w:val="32"/>
      <w:szCs w:val="32"/>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1F3A5F"/>
      <w:sz w:val="25"/>
      <w:szCs w:val="25"/>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2B2B2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qgsfdfgnne5uaxd7eb7q6" Type="http://schemas.openxmlformats.org/officeDocument/2006/relationships/hyperlink" Target="https://www1.hkexnews.hk/listedco/listconews/sehk/2026/0824/2026082400019.pdf" TargetMode="External"/><Relationship Id="rIdbdki4hvtwpwsnefjpdiix" Type="http://schemas.openxmlformats.org/officeDocument/2006/relationships/hyperlink" Target="https://www1.hkexnews.hk/listedco/listconews/sehk/2026/0824/2026082400009.pdf" TargetMode="External"/><Relationship Id="rIdhuqa3uqntwc4yl75c5gwi" Type="http://schemas.openxmlformats.org/officeDocument/2006/relationships/hyperlink" Target="https://www1.hkexnews.hk/listedco/listconews/sehk/2026/0831/2026083102409.pdf" TargetMode="External"/><Relationship Id="rIdhelw7bpxjwemj3kkc68pi" Type="http://schemas.openxmlformats.org/officeDocument/2006/relationships/hyperlink" Target="https://www1.hkexnews.hk/listedco/listconews/sehk/2026/0927/2026092700013.pdf" TargetMode="External"/><Relationship Id="rIdivkfawrs4c3kqsv_pxi75" Type="http://schemas.openxmlformats.org/officeDocument/2006/relationships/hyperlink" Target="https://www1.hkexnews.hk/listedco/listconews/sehk/2026/0928/2026092801831.pdf" TargetMode="External"/><Relationship Id="rIdnw1aqp-gyymv1m8aakvlh" Type="http://schemas.openxmlformats.org/officeDocument/2006/relationships/hyperlink" Target="https://www.hkex.com.hk/News/News-Release/2026/260828news?sc_lang=en" TargetMode="External"/><Relationship Id="rIdrgaoldxqodotxjr5ylfhy" Type="http://schemas.openxmlformats.org/officeDocument/2006/relationships/hyperlink" Target="https://www.cnbc.com/2026/09/01/shein-ipo-market-debut-hong-kong.html" TargetMode="External"/><Relationship Id="rIdg2vfvvcudulxrlxhe1xn1" Type="http://schemas.openxmlformats.org/officeDocument/2006/relationships/hyperlink" Target="https://www.cnbc.com/2026/08/24/shein-ipo-valuation-hong-kong.html" TargetMode="External"/><Relationship Id="rIdqpwo71qr8rx_nvbryzvbw" Type="http://schemas.openxmlformats.org/officeDocument/2006/relationships/hyperlink" Target="https://www.just-style.com/news/shein-first-interim-result/" TargetMode="External"/><Relationship Id="rIdbqoebirkhpo0_-2f3g4lh" Type="http://schemas.openxmlformats.org/officeDocument/2006/relationships/hyperlink" Target="https://jingdaily.com/intels/2026-09/30/shein-s-q2-profit-falls-67-in-first-post-ipo-results" TargetMode="External"/><Relationship Id="rIdm_r2lyywdpnt43rdgjokg" Type="http://schemas.openxmlformats.org/officeDocument/2006/relationships/hyperlink" Target="https://www.irishtimes.com/business/2026/09/29/shein-drops-to-record-low-after-profit-plunge-in-debut-earnings/" TargetMode="External"/><Relationship Id="rIdonqjyvcnamwkzyca5tlkf" Type="http://schemas.openxmlformats.org/officeDocument/2006/relationships/hyperlink" Target="https://hongkongfp.com/2026/09/29/shein-shares-dive-more-than-11-after-earnings-disappoint/" TargetMode="External"/><Relationship Id="rIden_iqo0wpqnm8xmlqb6jh" Type="http://schemas.openxmlformats.org/officeDocument/2006/relationships/hyperlink" Target="https://www.investing.com/news/stock-market-news/shein-shares-hit-record-low-as-quarterly-profit-slumps-67-4921542" TargetMode="External"/><Relationship Id="rIdmwlqmu8x0_m49jvffyeoj" Type="http://schemas.openxmlformats.org/officeDocument/2006/relationships/hyperlink" Target="https://douglasresearch.substack.com/p/shein-ipo-valuation-analysis" TargetMode="External"/><Relationship Id="rId2xtrvahy1m_5s3j8a46mp" Type="http://schemas.openxmlformats.org/officeDocument/2006/relationships/hyperlink" Target="https://stockanalysis.com/quote/hkg/0625/" TargetMode="External"/><Relationship Id="rId9" Type="http://schemas.openxmlformats.org/officeDocument/2006/relationships/image" Target="media/347f27dbe77ffc6c2946e7f869f587f6f89bb413.png"/><Relationship Id="rId10" Type="http://schemas.openxmlformats.org/officeDocument/2006/relationships/image" Target="media/81941e011935f9b11fdebf735fbc34a7d1d49660.png"/><Relationship Id="rId11" Type="http://schemas.openxmlformats.org/officeDocument/2006/relationships/image" Target="media/b02c35aba38a6bda28f815e100ba80b6f379bf0f.png"/><Relationship Id="rId12" Type="http://schemas.openxmlformats.org/officeDocument/2006/relationships/image" Target="media/ea9013f7b6f51292d3a14f83348a88adb88dffe7.png"/><Relationship Id="rId13" Type="http://schemas.openxmlformats.org/officeDocument/2006/relationships/image" Target="media/bf4dea42fbe04015a376159761d5e5799344de07.png"/><Relationship Id="rId14" Type="http://schemas.openxmlformats.org/officeDocument/2006/relationships/image" Target="media/ae1e0a4bf28b84921375335da2dfd82e179287e1.png"/><Relationship Id="rId15" Type="http://schemas.openxmlformats.org/officeDocument/2006/relationships/image" Target="media/07dd40da13bfd46bbbe25e768054bc280af5a65c.png"/><Relationship Id="rId16" Type="http://schemas.openxmlformats.org/officeDocument/2006/relationships/image" Target="media/1ec5bfd4b456a8c0a0ad29b35bb9aa73b8735bf0.png"/><Relationship Id="rId17" Type="http://schemas.openxmlformats.org/officeDocument/2006/relationships/image" Target="media/dfbdb24d81afc42dc0e8208908ca930d489b7984.png"/><Relationship Id="rId18" Type="http://schemas.openxmlformats.org/officeDocument/2006/relationships/image" Target="media/8ab4b5180488957e878f300d1a10d935ce46ab97.png"/><Relationship Id="rId19" Type="http://schemas.openxmlformats.org/officeDocument/2006/relationships/image" Target="media/c56bc60a95f8fc7b58a5ebd5c8f66d4616245904.png"/><Relationship Id="rId20" Type="http://schemas.openxmlformats.org/officeDocument/2006/relationships/image" Target="media/de4c802559bfc9439c9482f409431ddf82efecb7.png"/><Relationship Id="rId21" Type="http://schemas.openxmlformats.org/officeDocument/2006/relationships/image" Target="media/0bfb69d13b0b0acca065dee3822fd16739190c2b.png"/><Relationship Id="rId22" Type="http://schemas.openxmlformats.org/officeDocument/2006/relationships/image" Target="media/09f9f2a1af0d78aa07fe21942538d043c7fc404b.png"/><Relationship Id="rId23" Type="http://schemas.openxmlformats.org/officeDocument/2006/relationships/image" Target="media/48dbf5e1e14d679efa18d1421e6dfe4b3d3aed0f.png"/><Relationship Id="rId24" Type="http://schemas.openxmlformats.org/officeDocument/2006/relationships/image" Target="media/107a9f2786a3248755bfb4e1ab69cffaf39d69eb.png"/><Relationship Id="rId25" Type="http://schemas.openxmlformats.org/officeDocument/2006/relationships/image" Target="media/37f90c1e83a27f83c66fa2262c87f0170fb57092.png"/><Relationship Id="rId26" Type="http://schemas.openxmlformats.org/officeDocument/2006/relationships/image" Target="media/9c713438dc380d69cb9f73e85ba123272072d74f.png"/><Relationship Id="rId27" Type="http://schemas.openxmlformats.org/officeDocument/2006/relationships/image" Target="media/8cd16a714604ce7b58f5b322b0fdf645a7662082.png"/><Relationship Id="rId28" Type="http://schemas.openxmlformats.org/officeDocument/2006/relationships/image" Target="media/6ef27f72707edab165b3d31ec20fcef06bff536a.png"/><Relationship Id="rId29" Type="http://schemas.openxmlformats.org/officeDocument/2006/relationships/image" Target="media/e445f159dc4d474d76285454983d199703812dcf.png"/><Relationship Id="rId30" Type="http://schemas.openxmlformats.org/officeDocument/2006/relationships/image" Target="media/94de53404ae9ffd6ee0e1d62d5fd70e19c12eee9.png"/><Relationship Id="rId31" Type="http://schemas.openxmlformats.org/officeDocument/2006/relationships/image" Target="media/8f0e8f0870e5f31c2d3b3c0c19d6d90b52e22306.png"/><Relationship Id="rId32" Type="http://schemas.openxmlformats.org/officeDocument/2006/relationships/image" Target="media/3de758aa85d2c298e81e93015698e901bf97709d.png"/><Relationship Id="rId33" Type="http://schemas.openxmlformats.org/officeDocument/2006/relationships/image" Target="media/a440aef34a1a22e67c6be1397d90de576acd6932.png"/><Relationship Id="rId34" Type="http://schemas.openxmlformats.org/officeDocument/2006/relationships/image" Target="media/0560661ed5f7cf52a8b1855512170fa9e05a427a.png"/><Relationship Id="rId35" Type="http://schemas.openxmlformats.org/officeDocument/2006/relationships/image" Target="media/77184eec5bead302c7d6785b49790a35aa3dbcef.png"/><Relationship Id="rId36" Type="http://schemas.openxmlformats.org/officeDocument/2006/relationships/image" Target="media/8a4f4eb1f778e4792cc9354fb876c409d8664262.png"/><Relationship Id="rId37" Type="http://schemas.openxmlformats.org/officeDocument/2006/relationships/image" Target="media/643318d760f166627104fcbd9431876a406fa9c5.png"/><Relationship Id="rId38" Type="http://schemas.openxmlformats.org/officeDocument/2006/relationships/image" Target="media/f10ed08dcb3e709f7e135b687bf30e4857c298bd.png"/><Relationship Id="rId39" Type="http://schemas.openxmlformats.org/officeDocument/2006/relationships/image" Target="media/467f572ac826bb14ab75d05787046800588e9587.png"/><Relationship Id="rId40" Type="http://schemas.openxmlformats.org/officeDocument/2006/relationships/image" Target="media/1ec2b5a956132e87b8406e92badeacfa150f13e1.png"/><Relationship Id="rId41" Type="http://schemas.openxmlformats.org/officeDocument/2006/relationships/image" Target="media/9506cc0124245c23be8856cb3eac9023e05fced6.png"/><Relationship Id="rId42" Type="http://schemas.openxmlformats.org/officeDocument/2006/relationships/image" Target="media/98d45db7697025d07a9d7d3b7fc941fb813083e7.png"/><Relationship Id="rId43" Type="http://schemas.openxmlformats.org/officeDocument/2006/relationships/image" Target="media/d2f009f398cccd929250803297aa44f51ad3c0f9.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SHEIN Global Holdings Ltd (0625.HK) - Initiating Coverage</dc:title>
  <dc:creator>Claude (AI-assisted equity research)</dc:creator>
  <dc:description>Initiation report: BUY, price target HK$45.00</dc:description>
  <cp:lastModifiedBy>Un-named</cp:lastModifiedBy>
  <cp:revision>1</cp:revision>
  <dcterms:created xsi:type="dcterms:W3CDTF">2026-09-30T11:21:22.440Z</dcterms:created>
  <dcterms:modified xsi:type="dcterms:W3CDTF">2026-09-30T11:21:22.440Z</dcterms:modified>
</cp:coreProperties>
</file>

<file path=docProps/custom.xml><?xml version="1.0" encoding="utf-8"?>
<Properties xmlns="http://schemas.openxmlformats.org/officeDocument/2006/custom-properties" xmlns:vt="http://schemas.openxmlformats.org/officeDocument/2006/docPropsVTypes"/>
</file>