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ind w:firstLine="440"/>
      </w:pPr>
    </w:p>
    <w:p>
      <w:pPr>
        <w:spacing w:after="200"/>
        <w:ind w:firstLine="440"/>
        <w:jc w:val="center"/>
      </w:pPr>
    </w:p>
    <w:p>
      <w:pPr>
        <w:spacing w:after="200"/>
        <w:ind w:firstLine="723"/>
        <w:jc w:val="center"/>
      </w:pPr>
      <w:r>
        <w:rPr>
          <w:rFonts w:eastAsia="Arial"/>
          <w:b/>
          <w:bCs/>
          <w:color w:val="1F4E79"/>
          <w:sz w:val="36"/>
          <w:szCs w:val="36"/>
        </w:rPr>
        <w:t>同济大学计算机科学与技术学院</w:t>
      </w:r>
    </w:p>
    <w:p>
      <w:pPr>
        <w:spacing w:after="600"/>
        <w:ind w:firstLine="560"/>
        <w:jc w:val="center"/>
      </w:pPr>
      <w:r>
        <w:rPr>
          <w:rFonts w:eastAsia="Arial"/>
          <w:color w:val="595959"/>
          <w:sz w:val="28"/>
          <w:szCs w:val="28"/>
        </w:rPr>
        <w:t>软件工程专业</w:t>
      </w:r>
    </w:p>
    <w:p>
      <w:pPr>
        <w:pBdr>
          <w:top w:val="single" w:color="2E75B6" w:sz="12" w:space="8"/>
          <w:bottom w:val="single" w:color="2E75B6" w:sz="12" w:space="8"/>
        </w:pBdr>
        <w:spacing w:after="200"/>
        <w:ind w:firstLine="1044"/>
        <w:jc w:val="center"/>
      </w:pPr>
      <w:r>
        <w:rPr>
          <w:rFonts w:eastAsia="Arial"/>
          <w:b/>
          <w:bCs/>
          <w:color w:val="1F4E79"/>
          <w:sz w:val="52"/>
          <w:szCs w:val="52"/>
        </w:rPr>
        <w:t>项目管理与经济分析报告</w:t>
      </w:r>
    </w:p>
    <w:p>
      <w:pPr>
        <w:spacing w:before="200"/>
        <w:ind w:firstLine="440"/>
      </w:pPr>
    </w:p>
    <w:p>
      <w:pPr>
        <w:spacing w:after="600"/>
        <w:ind w:firstLine="640"/>
        <w:jc w:val="center"/>
        <w:rPr>
          <w:color w:val="2E75B6"/>
          <w:sz w:val="32"/>
          <w:szCs w:val="32"/>
        </w:rPr>
      </w:pPr>
      <w:r>
        <w:rPr>
          <w:rFonts w:eastAsia="Arial"/>
          <w:color w:val="2E75B6"/>
          <w:sz w:val="32"/>
          <w:szCs w:val="32"/>
        </w:rPr>
        <w:t>——石材幕墙污渍检测系统</w:t>
      </w:r>
    </w:p>
    <w:p>
      <w:pPr>
        <w:spacing w:after="600"/>
        <w:ind w:firstLine="440"/>
        <w:jc w:val="center"/>
      </w:pPr>
      <w:r>
        <w:drawing>
          <wp:inline distT="0" distB="0" distL="0" distR="0">
            <wp:extent cx="2305050" cy="2299970"/>
            <wp:effectExtent l="0" t="0" r="0" b="5080"/>
            <wp:docPr id="1" name="Image 1" descr="徽标, 公司名称&#10;&#10;描述已自动生成"/>
            <wp:cNvGraphicFramePr/>
            <a:graphic xmlns:a="http://schemas.openxmlformats.org/drawingml/2006/main">
              <a:graphicData uri="http://schemas.openxmlformats.org/drawingml/2006/picture">
                <pic:pic xmlns:pic="http://schemas.openxmlformats.org/drawingml/2006/picture">
                  <pic:nvPicPr>
                    <pic:cNvPr id="1" name="Image 1" descr="徽标, 公司名称&#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05050" cy="2299970"/>
                    </a:xfrm>
                    <a:prstGeom prst="rect">
                      <a:avLst/>
                    </a:prstGeom>
                  </pic:spPr>
                </pic:pic>
              </a:graphicData>
            </a:graphic>
          </wp:inline>
        </w:drawing>
      </w:r>
    </w:p>
    <w:tbl>
      <w:tblPr>
        <w:tblStyle w:val="14"/>
        <w:tblW w:w="6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40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0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402"/>
            </w:pPr>
            <w:r>
              <w:rPr>
                <w:rFonts w:eastAsia="Arial"/>
                <w:b/>
                <w:bCs/>
                <w:color w:val="1A1A1A"/>
                <w:sz w:val="20"/>
                <w:szCs w:val="20"/>
              </w:rPr>
              <w:t>项目名称</w:t>
            </w:r>
          </w:p>
        </w:tc>
        <w:tc>
          <w:tcPr>
            <w:tcW w:w="40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400"/>
            </w:pPr>
            <w:r>
              <w:rPr>
                <w:rFonts w:eastAsia="Arial"/>
                <w:color w:val="1A1A1A"/>
                <w:sz w:val="20"/>
                <w:szCs w:val="20"/>
              </w:rPr>
              <w:t>石材幕墙污渍检测系统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0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402"/>
            </w:pPr>
            <w:r>
              <w:rPr>
                <w:rFonts w:eastAsia="Arial"/>
                <w:b/>
                <w:bCs/>
                <w:color w:val="1A1A1A"/>
                <w:sz w:val="20"/>
                <w:szCs w:val="20"/>
              </w:rPr>
              <w:t>项目经理</w:t>
            </w:r>
          </w:p>
        </w:tc>
        <w:tc>
          <w:tcPr>
            <w:tcW w:w="40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400"/>
            </w:pPr>
            <w:r>
              <w:rPr>
                <w:rFonts w:eastAsia="Arial"/>
                <w:color w:val="1A1A1A"/>
                <w:sz w:val="20"/>
                <w:szCs w:val="20"/>
              </w:rPr>
              <w:t>于广淳（2353740）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0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402"/>
            </w:pPr>
            <w:r>
              <w:rPr>
                <w:rFonts w:eastAsia="Arial"/>
                <w:b/>
                <w:bCs/>
                <w:color w:val="1A1A1A"/>
                <w:sz w:val="20"/>
                <w:szCs w:val="20"/>
              </w:rPr>
              <w:t>项目助理</w:t>
            </w:r>
          </w:p>
        </w:tc>
        <w:tc>
          <w:tcPr>
            <w:tcW w:w="40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400"/>
            </w:pPr>
            <w:r>
              <w:rPr>
                <w:rFonts w:eastAsia="Arial"/>
                <w:color w:val="1A1A1A"/>
                <w:sz w:val="20"/>
                <w:szCs w:val="20"/>
              </w:rPr>
              <w:t>周慧星（2351289）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0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402"/>
            </w:pPr>
            <w:r>
              <w:rPr>
                <w:rFonts w:eastAsia="Arial"/>
                <w:b/>
                <w:bCs/>
                <w:color w:val="1A1A1A"/>
                <w:sz w:val="20"/>
                <w:szCs w:val="20"/>
              </w:rPr>
              <w:t>指导教师</w:t>
            </w:r>
          </w:p>
        </w:tc>
        <w:tc>
          <w:tcPr>
            <w:tcW w:w="40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400"/>
            </w:pPr>
            <w:r>
              <w:rPr>
                <w:rFonts w:eastAsia="Arial"/>
                <w:color w:val="1A1A1A"/>
                <w:sz w:val="20"/>
                <w:szCs w:val="20"/>
              </w:rPr>
              <w:t>黄杰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0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402"/>
            </w:pPr>
            <w:r>
              <w:rPr>
                <w:rFonts w:eastAsia="Arial"/>
                <w:b/>
                <w:bCs/>
                <w:color w:val="1A1A1A"/>
                <w:sz w:val="20"/>
                <w:szCs w:val="20"/>
              </w:rPr>
              <w:t>报告日期</w:t>
            </w:r>
          </w:p>
        </w:tc>
        <w:tc>
          <w:tcPr>
            <w:tcW w:w="40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400"/>
            </w:pPr>
            <w:r>
              <w:rPr>
                <w:rFonts w:eastAsia="Arial"/>
                <w:color w:val="1A1A1A"/>
                <w:sz w:val="20"/>
                <w:szCs w:val="20"/>
              </w:rPr>
              <w:t>2026年6月</w:t>
            </w:r>
          </w:p>
        </w:tc>
      </w:tr>
    </w:tbl>
    <w:p>
      <w:pPr>
        <w:ind w:firstLine="440"/>
      </w:pPr>
      <w:r>
        <w:br w:type="page"/>
      </w:r>
    </w:p>
    <w:sdt>
      <w:sdtPr>
        <w:rPr>
          <w:rFonts w:ascii="Arial" w:hAnsi="Arial" w:cs="Arial" w:eastAsiaTheme="minorEastAsia"/>
          <w:color w:val="auto"/>
          <w:sz w:val="22"/>
          <w:szCs w:val="22"/>
          <w:lang w:val="zh-CN"/>
        </w:rPr>
        <w:id w:val="-442074750"/>
        <w:docPartObj>
          <w:docPartGallery w:val="Table of Contents"/>
          <w:docPartUnique/>
        </w:docPartObj>
      </w:sdtPr>
      <w:sdtEndPr>
        <w:rPr>
          <w:rFonts w:ascii="Arial" w:hAnsi="Arial" w:cs="Arial" w:eastAsiaTheme="minorEastAsia"/>
          <w:b/>
          <w:bCs/>
          <w:color w:val="auto"/>
          <w:sz w:val="22"/>
          <w:szCs w:val="22"/>
          <w:lang w:val="zh-CN"/>
        </w:rPr>
      </w:sdtEndPr>
      <w:sdtContent>
        <w:p>
          <w:pPr>
            <w:pStyle w:val="23"/>
            <w:rPr>
              <w:rFonts w:hint="eastAsia"/>
            </w:rPr>
          </w:pPr>
          <w:r>
            <w:rPr>
              <w:lang w:val="zh-CN"/>
            </w:rPr>
            <w:t>目录</w:t>
          </w:r>
        </w:p>
        <w:p>
          <w:pPr>
            <w:pStyle w:val="10"/>
            <w:tabs>
              <w:tab w:val="right" w:leader="dot" w:pos="8306"/>
            </w:tabs>
            <w:ind w:firstLine="440"/>
          </w:pPr>
          <w:r>
            <w:fldChar w:fldCharType="begin"/>
          </w:r>
          <w:r>
            <w:instrText xml:space="preserve"> TOC \o "1-3" \h \z \u </w:instrText>
          </w:r>
          <w:r>
            <w:fldChar w:fldCharType="separate"/>
          </w:r>
          <w:r>
            <w:fldChar w:fldCharType="begin"/>
          </w:r>
          <w:r>
            <w:instrText xml:space="preserve"> HYPERLINK \l "_Toc1531" </w:instrText>
          </w:r>
          <w:r>
            <w:fldChar w:fldCharType="separate"/>
          </w:r>
          <w:r>
            <w:t>执行摘要</w:t>
          </w:r>
          <w:r>
            <w:tab/>
          </w:r>
          <w:r>
            <w:fldChar w:fldCharType="begin"/>
          </w:r>
          <w:r>
            <w:instrText xml:space="preserve"> PAGEREF _Toc1531 \h </w:instrText>
          </w:r>
          <w:r>
            <w:fldChar w:fldCharType="separate"/>
          </w:r>
          <w:r>
            <w:t>4</w:t>
          </w:r>
          <w:r>
            <w:fldChar w:fldCharType="end"/>
          </w:r>
          <w:r>
            <w:fldChar w:fldCharType="end"/>
          </w:r>
        </w:p>
        <w:p>
          <w:pPr>
            <w:pStyle w:val="10"/>
            <w:tabs>
              <w:tab w:val="right" w:leader="dot" w:pos="8306"/>
            </w:tabs>
            <w:ind w:firstLine="440"/>
          </w:pPr>
          <w:r>
            <w:fldChar w:fldCharType="begin"/>
          </w:r>
          <w:r>
            <w:instrText xml:space="preserve"> HYPERLINK \l "_Toc26017" </w:instrText>
          </w:r>
          <w:r>
            <w:fldChar w:fldCharType="separate"/>
          </w:r>
          <w:r>
            <w:t>第一章  项目范围管理</w:t>
          </w:r>
          <w:r>
            <w:tab/>
          </w:r>
          <w:r>
            <w:fldChar w:fldCharType="begin"/>
          </w:r>
          <w:r>
            <w:instrText xml:space="preserve"> PAGEREF _Toc26017 \h </w:instrText>
          </w:r>
          <w:r>
            <w:fldChar w:fldCharType="separate"/>
          </w:r>
          <w:r>
            <w:t>4</w:t>
          </w:r>
          <w:r>
            <w:fldChar w:fldCharType="end"/>
          </w:r>
          <w:r>
            <w:fldChar w:fldCharType="end"/>
          </w:r>
        </w:p>
        <w:p>
          <w:pPr>
            <w:pStyle w:val="12"/>
            <w:tabs>
              <w:tab w:val="right" w:leader="dot" w:pos="8306"/>
            </w:tabs>
            <w:ind w:left="440" w:firstLine="440"/>
          </w:pPr>
          <w:r>
            <w:fldChar w:fldCharType="begin"/>
          </w:r>
          <w:r>
            <w:instrText xml:space="preserve"> HYPERLINK \l "_Toc22924" </w:instrText>
          </w:r>
          <w:r>
            <w:fldChar w:fldCharType="separate"/>
          </w:r>
          <w:r>
            <w:t>1.1 项目背景与问题识别</w:t>
          </w:r>
          <w:r>
            <w:tab/>
          </w:r>
          <w:r>
            <w:fldChar w:fldCharType="begin"/>
          </w:r>
          <w:r>
            <w:instrText xml:space="preserve"> PAGEREF _Toc22924 \h </w:instrText>
          </w:r>
          <w:r>
            <w:fldChar w:fldCharType="separate"/>
          </w:r>
          <w:r>
            <w:t>4</w:t>
          </w:r>
          <w:r>
            <w:fldChar w:fldCharType="end"/>
          </w:r>
          <w:r>
            <w:fldChar w:fldCharType="end"/>
          </w:r>
        </w:p>
        <w:p>
          <w:pPr>
            <w:pStyle w:val="12"/>
            <w:tabs>
              <w:tab w:val="right" w:leader="dot" w:pos="8306"/>
            </w:tabs>
            <w:ind w:left="440" w:firstLine="440"/>
          </w:pPr>
          <w:r>
            <w:fldChar w:fldCharType="begin"/>
          </w:r>
          <w:r>
            <w:instrText xml:space="preserve"> HYPERLINK \l "_Toc26341" </w:instrText>
          </w:r>
          <w:r>
            <w:fldChar w:fldCharType="separate"/>
          </w:r>
          <w:r>
            <w:t>1.2 项目范围说明书</w:t>
          </w:r>
          <w:r>
            <w:tab/>
          </w:r>
          <w:r>
            <w:fldChar w:fldCharType="begin"/>
          </w:r>
          <w:r>
            <w:instrText xml:space="preserve"> PAGEREF _Toc26341 \h </w:instrText>
          </w:r>
          <w:r>
            <w:fldChar w:fldCharType="separate"/>
          </w:r>
          <w:r>
            <w:t>4</w:t>
          </w:r>
          <w:r>
            <w:fldChar w:fldCharType="end"/>
          </w:r>
          <w:r>
            <w:fldChar w:fldCharType="end"/>
          </w:r>
        </w:p>
        <w:p>
          <w:pPr>
            <w:pStyle w:val="8"/>
            <w:tabs>
              <w:tab w:val="right" w:leader="dot" w:pos="8306"/>
            </w:tabs>
            <w:ind w:left="880" w:firstLine="440"/>
          </w:pPr>
          <w:r>
            <w:fldChar w:fldCharType="begin"/>
          </w:r>
          <w:r>
            <w:instrText xml:space="preserve"> HYPERLINK \l "_Toc24189" </w:instrText>
          </w:r>
          <w:r>
            <w:fldChar w:fldCharType="separate"/>
          </w:r>
          <w:r>
            <w:t>1.2.1 范围内工作</w:t>
          </w:r>
          <w:r>
            <w:tab/>
          </w:r>
          <w:r>
            <w:fldChar w:fldCharType="begin"/>
          </w:r>
          <w:r>
            <w:instrText xml:space="preserve"> PAGEREF _Toc24189 \h </w:instrText>
          </w:r>
          <w:r>
            <w:fldChar w:fldCharType="separate"/>
          </w:r>
          <w:r>
            <w:t>4</w:t>
          </w:r>
          <w:r>
            <w:fldChar w:fldCharType="end"/>
          </w:r>
          <w:r>
            <w:fldChar w:fldCharType="end"/>
          </w:r>
        </w:p>
        <w:p>
          <w:pPr>
            <w:pStyle w:val="8"/>
            <w:tabs>
              <w:tab w:val="right" w:leader="dot" w:pos="8306"/>
            </w:tabs>
            <w:ind w:left="880" w:firstLine="440"/>
          </w:pPr>
          <w:r>
            <w:fldChar w:fldCharType="begin"/>
          </w:r>
          <w:r>
            <w:instrText xml:space="preserve"> HYPERLINK \l "_Toc18430" </w:instrText>
          </w:r>
          <w:r>
            <w:fldChar w:fldCharType="separate"/>
          </w:r>
          <w:r>
            <w:t>1.2.2 范围外工作</w:t>
          </w:r>
          <w:r>
            <w:tab/>
          </w:r>
          <w:r>
            <w:fldChar w:fldCharType="begin"/>
          </w:r>
          <w:r>
            <w:instrText xml:space="preserve"> PAGEREF _Toc18430 \h </w:instrText>
          </w:r>
          <w:r>
            <w:fldChar w:fldCharType="separate"/>
          </w:r>
          <w:r>
            <w:t>5</w:t>
          </w:r>
          <w:r>
            <w:fldChar w:fldCharType="end"/>
          </w:r>
          <w:r>
            <w:fldChar w:fldCharType="end"/>
          </w:r>
        </w:p>
        <w:p>
          <w:pPr>
            <w:pStyle w:val="12"/>
            <w:tabs>
              <w:tab w:val="right" w:leader="dot" w:pos="8306"/>
            </w:tabs>
            <w:ind w:left="440" w:firstLine="440"/>
          </w:pPr>
          <w:r>
            <w:fldChar w:fldCharType="begin"/>
          </w:r>
          <w:r>
            <w:instrText xml:space="preserve"> HYPERLINK \l "_Toc19727" </w:instrText>
          </w:r>
          <w:r>
            <w:fldChar w:fldCharType="separate"/>
          </w:r>
          <w:r>
            <w:t>1.3 可交付成果清单</w:t>
          </w:r>
          <w:r>
            <w:tab/>
          </w:r>
          <w:r>
            <w:fldChar w:fldCharType="begin"/>
          </w:r>
          <w:r>
            <w:instrText xml:space="preserve"> PAGEREF _Toc19727 \h </w:instrText>
          </w:r>
          <w:r>
            <w:fldChar w:fldCharType="separate"/>
          </w:r>
          <w:r>
            <w:t>5</w:t>
          </w:r>
          <w:r>
            <w:fldChar w:fldCharType="end"/>
          </w:r>
          <w:r>
            <w:fldChar w:fldCharType="end"/>
          </w:r>
        </w:p>
        <w:p>
          <w:pPr>
            <w:pStyle w:val="10"/>
            <w:tabs>
              <w:tab w:val="right" w:leader="dot" w:pos="8306"/>
            </w:tabs>
            <w:ind w:firstLine="440"/>
          </w:pPr>
          <w:r>
            <w:fldChar w:fldCharType="begin"/>
          </w:r>
          <w:r>
            <w:instrText xml:space="preserve"> HYPERLINK \l "_Toc8661" </w:instrText>
          </w:r>
          <w:r>
            <w:fldChar w:fldCharType="separate"/>
          </w:r>
          <w:r>
            <w:t>第二章  项目计划</w:t>
          </w:r>
          <w:r>
            <w:tab/>
          </w:r>
          <w:r>
            <w:fldChar w:fldCharType="begin"/>
          </w:r>
          <w:r>
            <w:instrText xml:space="preserve"> PAGEREF _Toc8661 \h </w:instrText>
          </w:r>
          <w:r>
            <w:fldChar w:fldCharType="separate"/>
          </w:r>
          <w:r>
            <w:t>6</w:t>
          </w:r>
          <w:r>
            <w:fldChar w:fldCharType="end"/>
          </w:r>
          <w:r>
            <w:fldChar w:fldCharType="end"/>
          </w:r>
        </w:p>
        <w:p>
          <w:pPr>
            <w:pStyle w:val="12"/>
            <w:tabs>
              <w:tab w:val="right" w:leader="dot" w:pos="8306"/>
            </w:tabs>
            <w:ind w:left="440" w:firstLine="440"/>
          </w:pPr>
          <w:r>
            <w:fldChar w:fldCharType="begin"/>
          </w:r>
          <w:r>
            <w:instrText xml:space="preserve"> HYPERLINK \l "_Toc15752" </w:instrText>
          </w:r>
          <w:r>
            <w:fldChar w:fldCharType="separate"/>
          </w:r>
          <w:r>
            <w:t>2.1 工作分解结构（WBS）</w:t>
          </w:r>
          <w:r>
            <w:tab/>
          </w:r>
          <w:r>
            <w:fldChar w:fldCharType="begin"/>
          </w:r>
          <w:r>
            <w:instrText xml:space="preserve"> PAGEREF _Toc15752 \h </w:instrText>
          </w:r>
          <w:r>
            <w:fldChar w:fldCharType="separate"/>
          </w:r>
          <w:r>
            <w:t>6</w:t>
          </w:r>
          <w:r>
            <w:fldChar w:fldCharType="end"/>
          </w:r>
          <w:r>
            <w:fldChar w:fldCharType="end"/>
          </w:r>
        </w:p>
        <w:p>
          <w:pPr>
            <w:pStyle w:val="12"/>
            <w:tabs>
              <w:tab w:val="right" w:leader="dot" w:pos="8306"/>
            </w:tabs>
            <w:ind w:left="440" w:firstLine="440"/>
          </w:pPr>
          <w:r>
            <w:fldChar w:fldCharType="begin"/>
          </w:r>
          <w:r>
            <w:instrText xml:space="preserve"> HYPERLINK \l "_Toc2702" </w:instrText>
          </w:r>
          <w:r>
            <w:fldChar w:fldCharType="separate"/>
          </w:r>
          <w:r>
            <w:t>2.2 项目时间表</w:t>
          </w:r>
          <w:r>
            <w:tab/>
          </w:r>
          <w:r>
            <w:fldChar w:fldCharType="begin"/>
          </w:r>
          <w:r>
            <w:instrText xml:space="preserve"> PAGEREF _Toc2702 \h </w:instrText>
          </w:r>
          <w:r>
            <w:fldChar w:fldCharType="separate"/>
          </w:r>
          <w:r>
            <w:t>6</w:t>
          </w:r>
          <w:r>
            <w:fldChar w:fldCharType="end"/>
          </w:r>
          <w:r>
            <w:fldChar w:fldCharType="end"/>
          </w:r>
        </w:p>
        <w:p>
          <w:pPr>
            <w:pStyle w:val="12"/>
            <w:tabs>
              <w:tab w:val="right" w:leader="dot" w:pos="8306"/>
            </w:tabs>
            <w:ind w:left="440" w:firstLine="440"/>
          </w:pPr>
          <w:r>
            <w:fldChar w:fldCharType="begin"/>
          </w:r>
          <w:r>
            <w:instrText xml:space="preserve"> HYPERLINK \l "_Toc14480" </w:instrText>
          </w:r>
          <w:r>
            <w:fldChar w:fldCharType="separate"/>
          </w:r>
          <w:r>
            <w:t>2.3 资源计划</w:t>
          </w:r>
          <w:r>
            <w:tab/>
          </w:r>
          <w:r>
            <w:fldChar w:fldCharType="begin"/>
          </w:r>
          <w:r>
            <w:instrText xml:space="preserve"> PAGEREF _Toc14480 \h </w:instrText>
          </w:r>
          <w:r>
            <w:fldChar w:fldCharType="separate"/>
          </w:r>
          <w:r>
            <w:t>7</w:t>
          </w:r>
          <w:r>
            <w:fldChar w:fldCharType="end"/>
          </w:r>
          <w:r>
            <w:fldChar w:fldCharType="end"/>
          </w:r>
        </w:p>
        <w:p>
          <w:pPr>
            <w:pStyle w:val="8"/>
            <w:tabs>
              <w:tab w:val="right" w:leader="dot" w:pos="8306"/>
            </w:tabs>
            <w:ind w:left="880" w:firstLine="440"/>
          </w:pPr>
          <w:r>
            <w:fldChar w:fldCharType="begin"/>
          </w:r>
          <w:r>
            <w:instrText xml:space="preserve"> HYPERLINK \l "_Toc20221" </w:instrText>
          </w:r>
          <w:r>
            <w:fldChar w:fldCharType="separate"/>
          </w:r>
          <w:r>
            <w:t>2.3.1 人力资源分配</w:t>
          </w:r>
          <w:r>
            <w:tab/>
          </w:r>
          <w:r>
            <w:fldChar w:fldCharType="begin"/>
          </w:r>
          <w:r>
            <w:instrText xml:space="preserve"> PAGEREF _Toc20221 \h </w:instrText>
          </w:r>
          <w:r>
            <w:fldChar w:fldCharType="separate"/>
          </w:r>
          <w:r>
            <w:t>7</w:t>
          </w:r>
          <w:r>
            <w:fldChar w:fldCharType="end"/>
          </w:r>
          <w:r>
            <w:fldChar w:fldCharType="end"/>
          </w:r>
        </w:p>
        <w:p>
          <w:pPr>
            <w:pStyle w:val="8"/>
            <w:tabs>
              <w:tab w:val="right" w:leader="dot" w:pos="8306"/>
            </w:tabs>
            <w:ind w:left="880" w:firstLine="440"/>
          </w:pPr>
          <w:r>
            <w:fldChar w:fldCharType="begin"/>
          </w:r>
          <w:r>
            <w:instrText xml:space="preserve"> HYPERLINK \l "_Toc19276" </w:instrText>
          </w:r>
          <w:r>
            <w:fldChar w:fldCharType="separate"/>
          </w:r>
          <w:r>
            <w:t>2.3.2 硬件与软件资源</w:t>
          </w:r>
          <w:r>
            <w:tab/>
          </w:r>
          <w:r>
            <w:fldChar w:fldCharType="begin"/>
          </w:r>
          <w:r>
            <w:instrText xml:space="preserve"> PAGEREF _Toc19276 \h </w:instrText>
          </w:r>
          <w:r>
            <w:fldChar w:fldCharType="separate"/>
          </w:r>
          <w:r>
            <w:t>7</w:t>
          </w:r>
          <w:r>
            <w:fldChar w:fldCharType="end"/>
          </w:r>
          <w:r>
            <w:fldChar w:fldCharType="end"/>
          </w:r>
        </w:p>
        <w:p>
          <w:pPr>
            <w:pStyle w:val="12"/>
            <w:tabs>
              <w:tab w:val="right" w:leader="dot" w:pos="8306"/>
            </w:tabs>
            <w:ind w:left="440" w:firstLine="440"/>
          </w:pPr>
          <w:r>
            <w:fldChar w:fldCharType="begin"/>
          </w:r>
          <w:r>
            <w:instrText xml:space="preserve"> HYPERLINK \l "_Toc29903" </w:instrText>
          </w:r>
          <w:r>
            <w:fldChar w:fldCharType="separate"/>
          </w:r>
          <w:r>
            <w:t>2.4 项目预算计划</w:t>
          </w:r>
          <w:r>
            <w:tab/>
          </w:r>
          <w:r>
            <w:fldChar w:fldCharType="begin"/>
          </w:r>
          <w:r>
            <w:instrText xml:space="preserve"> PAGEREF _Toc29903 \h </w:instrText>
          </w:r>
          <w:r>
            <w:fldChar w:fldCharType="separate"/>
          </w:r>
          <w:r>
            <w:t>7</w:t>
          </w:r>
          <w:r>
            <w:fldChar w:fldCharType="end"/>
          </w:r>
          <w:r>
            <w:fldChar w:fldCharType="end"/>
          </w:r>
        </w:p>
        <w:p>
          <w:pPr>
            <w:pStyle w:val="10"/>
            <w:tabs>
              <w:tab w:val="right" w:leader="dot" w:pos="8306"/>
            </w:tabs>
            <w:ind w:firstLine="440"/>
          </w:pPr>
          <w:r>
            <w:fldChar w:fldCharType="begin"/>
          </w:r>
          <w:r>
            <w:instrText xml:space="preserve"> HYPERLINK \l "_Toc17767" </w:instrText>
          </w:r>
          <w:r>
            <w:fldChar w:fldCharType="separate"/>
          </w:r>
          <w:r>
            <w:t>第三章  软件过程的监控与控制</w:t>
          </w:r>
          <w:r>
            <w:tab/>
          </w:r>
          <w:r>
            <w:fldChar w:fldCharType="begin"/>
          </w:r>
          <w:r>
            <w:instrText xml:space="preserve"> PAGEREF _Toc17767 \h </w:instrText>
          </w:r>
          <w:r>
            <w:fldChar w:fldCharType="separate"/>
          </w:r>
          <w:r>
            <w:t>8</w:t>
          </w:r>
          <w:r>
            <w:fldChar w:fldCharType="end"/>
          </w:r>
          <w:r>
            <w:fldChar w:fldCharType="end"/>
          </w:r>
        </w:p>
        <w:p>
          <w:pPr>
            <w:pStyle w:val="12"/>
            <w:tabs>
              <w:tab w:val="right" w:leader="dot" w:pos="8306"/>
            </w:tabs>
            <w:ind w:left="440" w:firstLine="440"/>
          </w:pPr>
          <w:r>
            <w:fldChar w:fldCharType="begin"/>
          </w:r>
          <w:r>
            <w:instrText xml:space="preserve"> HYPERLINK \l "_Toc13032" </w:instrText>
          </w:r>
          <w:r>
            <w:fldChar w:fldCharType="separate"/>
          </w:r>
          <w:r>
            <w:t>3.1 进度监控机制</w:t>
          </w:r>
          <w:r>
            <w:tab/>
          </w:r>
          <w:r>
            <w:fldChar w:fldCharType="begin"/>
          </w:r>
          <w:r>
            <w:instrText xml:space="preserve"> PAGEREF _Toc13032 \h </w:instrText>
          </w:r>
          <w:r>
            <w:fldChar w:fldCharType="separate"/>
          </w:r>
          <w:r>
            <w:t>8</w:t>
          </w:r>
          <w:r>
            <w:fldChar w:fldCharType="end"/>
          </w:r>
          <w:r>
            <w:fldChar w:fldCharType="end"/>
          </w:r>
        </w:p>
        <w:p>
          <w:pPr>
            <w:pStyle w:val="12"/>
            <w:tabs>
              <w:tab w:val="right" w:leader="dot" w:pos="8306"/>
            </w:tabs>
            <w:ind w:left="440" w:firstLine="440"/>
          </w:pPr>
          <w:r>
            <w:fldChar w:fldCharType="begin"/>
          </w:r>
          <w:r>
            <w:instrText xml:space="preserve"> HYPERLINK \l "_Toc14455" </w:instrText>
          </w:r>
          <w:r>
            <w:fldChar w:fldCharType="separate"/>
          </w:r>
          <w:r>
            <w:t>3.2 质量监控指标</w:t>
          </w:r>
          <w:r>
            <w:tab/>
          </w:r>
          <w:r>
            <w:fldChar w:fldCharType="begin"/>
          </w:r>
          <w:r>
            <w:instrText xml:space="preserve"> PAGEREF _Toc14455 \h </w:instrText>
          </w:r>
          <w:r>
            <w:fldChar w:fldCharType="separate"/>
          </w:r>
          <w:r>
            <w:t>8</w:t>
          </w:r>
          <w:r>
            <w:fldChar w:fldCharType="end"/>
          </w:r>
          <w:r>
            <w:fldChar w:fldCharType="end"/>
          </w:r>
        </w:p>
        <w:p>
          <w:pPr>
            <w:pStyle w:val="12"/>
            <w:tabs>
              <w:tab w:val="right" w:leader="dot" w:pos="8306"/>
            </w:tabs>
            <w:ind w:left="440" w:firstLine="440"/>
          </w:pPr>
          <w:r>
            <w:fldChar w:fldCharType="begin"/>
          </w:r>
          <w:r>
            <w:instrText xml:space="preserve"> HYPERLINK \l "_Toc14791" </w:instrText>
          </w:r>
          <w:r>
            <w:fldChar w:fldCharType="separate"/>
          </w:r>
          <w:r>
            <w:t>3.3 变更控制</w:t>
          </w:r>
          <w:r>
            <w:tab/>
          </w:r>
          <w:r>
            <w:fldChar w:fldCharType="begin"/>
          </w:r>
          <w:r>
            <w:instrText xml:space="preserve"> PAGEREF _Toc14791 \h </w:instrText>
          </w:r>
          <w:r>
            <w:fldChar w:fldCharType="separate"/>
          </w:r>
          <w:r>
            <w:t>8</w:t>
          </w:r>
          <w:r>
            <w:fldChar w:fldCharType="end"/>
          </w:r>
          <w:r>
            <w:fldChar w:fldCharType="end"/>
          </w:r>
        </w:p>
        <w:p>
          <w:pPr>
            <w:pStyle w:val="10"/>
            <w:tabs>
              <w:tab w:val="right" w:leader="dot" w:pos="8306"/>
            </w:tabs>
            <w:ind w:firstLine="440"/>
          </w:pPr>
          <w:r>
            <w:fldChar w:fldCharType="begin"/>
          </w:r>
          <w:r>
            <w:instrText xml:space="preserve"> HYPERLINK \l "_Toc19283" </w:instrText>
          </w:r>
          <w:r>
            <w:fldChar w:fldCharType="separate"/>
          </w:r>
          <w:r>
            <w:rPr>
              <w:rFonts w:hint="eastAsia" w:ascii="宋体" w:hAnsi="宋体" w:eastAsia="宋体" w:cs="宋体"/>
            </w:rPr>
            <w:t>第</w:t>
          </w:r>
          <w:r>
            <w:t>四章  软件过程的改进</w:t>
          </w:r>
          <w:r>
            <w:tab/>
          </w:r>
          <w:r>
            <w:fldChar w:fldCharType="begin"/>
          </w:r>
          <w:r>
            <w:instrText xml:space="preserve"> PAGEREF _Toc19283 \h </w:instrText>
          </w:r>
          <w:r>
            <w:fldChar w:fldCharType="separate"/>
          </w:r>
          <w:r>
            <w:t>9</w:t>
          </w:r>
          <w:r>
            <w:fldChar w:fldCharType="end"/>
          </w:r>
          <w:r>
            <w:fldChar w:fldCharType="end"/>
          </w:r>
        </w:p>
        <w:p>
          <w:pPr>
            <w:pStyle w:val="12"/>
            <w:tabs>
              <w:tab w:val="right" w:leader="dot" w:pos="8306"/>
            </w:tabs>
            <w:ind w:left="440" w:firstLine="440"/>
          </w:pPr>
          <w:r>
            <w:fldChar w:fldCharType="begin"/>
          </w:r>
          <w:r>
            <w:instrText xml:space="preserve"> HYPERLINK \l "_Toc13292" </w:instrText>
          </w:r>
          <w:r>
            <w:fldChar w:fldCharType="separate"/>
          </w:r>
          <w:r>
            <w:t>4.1 过程改进识别</w:t>
          </w:r>
          <w:r>
            <w:tab/>
          </w:r>
          <w:r>
            <w:fldChar w:fldCharType="begin"/>
          </w:r>
          <w:r>
            <w:instrText xml:space="preserve"> PAGEREF _Toc13292 \h </w:instrText>
          </w:r>
          <w:r>
            <w:fldChar w:fldCharType="separate"/>
          </w:r>
          <w:r>
            <w:t>9</w:t>
          </w:r>
          <w:r>
            <w:fldChar w:fldCharType="end"/>
          </w:r>
          <w:r>
            <w:fldChar w:fldCharType="end"/>
          </w:r>
        </w:p>
        <w:p>
          <w:pPr>
            <w:pStyle w:val="8"/>
            <w:tabs>
              <w:tab w:val="right" w:leader="dot" w:pos="8306"/>
            </w:tabs>
            <w:ind w:left="880" w:firstLine="440"/>
          </w:pPr>
          <w:r>
            <w:fldChar w:fldCharType="begin"/>
          </w:r>
          <w:r>
            <w:instrText xml:space="preserve"> HYPERLINK \l "_Toc18777" </w:instrText>
          </w:r>
          <w:r>
            <w:fldChar w:fldCharType="separate"/>
          </w:r>
          <w:r>
            <w:t>4.1.1 需求阶段改进</w:t>
          </w:r>
          <w:r>
            <w:tab/>
          </w:r>
          <w:r>
            <w:fldChar w:fldCharType="begin"/>
          </w:r>
          <w:r>
            <w:instrText xml:space="preserve"> PAGEREF _Toc18777 \h </w:instrText>
          </w:r>
          <w:r>
            <w:fldChar w:fldCharType="separate"/>
          </w:r>
          <w:r>
            <w:t>9</w:t>
          </w:r>
          <w:r>
            <w:fldChar w:fldCharType="end"/>
          </w:r>
          <w:r>
            <w:fldChar w:fldCharType="end"/>
          </w:r>
        </w:p>
        <w:p>
          <w:pPr>
            <w:pStyle w:val="8"/>
            <w:tabs>
              <w:tab w:val="right" w:leader="dot" w:pos="8306"/>
            </w:tabs>
            <w:ind w:left="880" w:firstLine="440"/>
          </w:pPr>
          <w:r>
            <w:fldChar w:fldCharType="begin"/>
          </w:r>
          <w:r>
            <w:instrText xml:space="preserve"> HYPERLINK \l "_Toc26264" </w:instrText>
          </w:r>
          <w:r>
            <w:fldChar w:fldCharType="separate"/>
          </w:r>
          <w:r>
            <w:t>4.1.2 开发阶段改进</w:t>
          </w:r>
          <w:r>
            <w:tab/>
          </w:r>
          <w:r>
            <w:fldChar w:fldCharType="begin"/>
          </w:r>
          <w:r>
            <w:instrText xml:space="preserve"> PAGEREF _Toc26264 \h </w:instrText>
          </w:r>
          <w:r>
            <w:fldChar w:fldCharType="separate"/>
          </w:r>
          <w:r>
            <w:t>9</w:t>
          </w:r>
          <w:r>
            <w:fldChar w:fldCharType="end"/>
          </w:r>
          <w:r>
            <w:fldChar w:fldCharType="end"/>
          </w:r>
        </w:p>
        <w:p>
          <w:pPr>
            <w:pStyle w:val="8"/>
            <w:tabs>
              <w:tab w:val="right" w:leader="dot" w:pos="8306"/>
            </w:tabs>
            <w:ind w:left="880" w:firstLine="440"/>
          </w:pPr>
          <w:r>
            <w:fldChar w:fldCharType="begin"/>
          </w:r>
          <w:r>
            <w:instrText xml:space="preserve"> HYPERLINK \l "_Toc21691" </w:instrText>
          </w:r>
          <w:r>
            <w:fldChar w:fldCharType="separate"/>
          </w:r>
          <w:r>
            <w:t>4.1.3 测试阶段改进</w:t>
          </w:r>
          <w:r>
            <w:tab/>
          </w:r>
          <w:r>
            <w:fldChar w:fldCharType="begin"/>
          </w:r>
          <w:r>
            <w:instrText xml:space="preserve"> PAGEREF _Toc21691 \h </w:instrText>
          </w:r>
          <w:r>
            <w:fldChar w:fldCharType="separate"/>
          </w:r>
          <w:r>
            <w:t>9</w:t>
          </w:r>
          <w:r>
            <w:fldChar w:fldCharType="end"/>
          </w:r>
          <w:r>
            <w:fldChar w:fldCharType="end"/>
          </w:r>
        </w:p>
        <w:p>
          <w:pPr>
            <w:pStyle w:val="12"/>
            <w:tabs>
              <w:tab w:val="right" w:leader="dot" w:pos="8306"/>
            </w:tabs>
            <w:ind w:left="440" w:firstLine="440"/>
          </w:pPr>
          <w:r>
            <w:fldChar w:fldCharType="begin"/>
          </w:r>
          <w:r>
            <w:instrText xml:space="preserve"> HYPERLINK \l "_Toc23901" </w:instrText>
          </w:r>
          <w:r>
            <w:fldChar w:fldCharType="separate"/>
          </w:r>
          <w:r>
            <w:t>4.2 CMMI过程改进视角</w:t>
          </w:r>
          <w:r>
            <w:tab/>
          </w:r>
          <w:r>
            <w:fldChar w:fldCharType="begin"/>
          </w:r>
          <w:r>
            <w:instrText xml:space="preserve"> PAGEREF _Toc23901 \h </w:instrText>
          </w:r>
          <w:r>
            <w:fldChar w:fldCharType="separate"/>
          </w:r>
          <w:r>
            <w:t>9</w:t>
          </w:r>
          <w:r>
            <w:fldChar w:fldCharType="end"/>
          </w:r>
          <w:r>
            <w:fldChar w:fldCharType="end"/>
          </w:r>
        </w:p>
        <w:p>
          <w:pPr>
            <w:pStyle w:val="10"/>
            <w:tabs>
              <w:tab w:val="right" w:leader="dot" w:pos="8306"/>
            </w:tabs>
            <w:ind w:firstLine="440"/>
          </w:pPr>
          <w:r>
            <w:fldChar w:fldCharType="begin"/>
          </w:r>
          <w:r>
            <w:instrText xml:space="preserve"> HYPERLINK \l "_Toc7237" </w:instrText>
          </w:r>
          <w:r>
            <w:fldChar w:fldCharType="separate"/>
          </w:r>
          <w:r>
            <w:rPr>
              <w:rFonts w:hint="eastAsia" w:ascii="宋体" w:hAnsi="宋体" w:eastAsia="宋体" w:cs="宋体"/>
            </w:rPr>
            <w:t>第</w:t>
          </w:r>
          <w:r>
            <w:t>五章  项目风险管理</w:t>
          </w:r>
          <w:r>
            <w:tab/>
          </w:r>
          <w:r>
            <w:fldChar w:fldCharType="begin"/>
          </w:r>
          <w:r>
            <w:instrText xml:space="preserve"> PAGEREF _Toc7237 \h </w:instrText>
          </w:r>
          <w:r>
            <w:fldChar w:fldCharType="separate"/>
          </w:r>
          <w:r>
            <w:t>10</w:t>
          </w:r>
          <w:r>
            <w:fldChar w:fldCharType="end"/>
          </w:r>
          <w:r>
            <w:fldChar w:fldCharType="end"/>
          </w:r>
        </w:p>
        <w:p>
          <w:pPr>
            <w:pStyle w:val="12"/>
            <w:tabs>
              <w:tab w:val="right" w:leader="dot" w:pos="8306"/>
            </w:tabs>
            <w:ind w:left="440" w:firstLine="440"/>
          </w:pPr>
          <w:r>
            <w:fldChar w:fldCharType="begin"/>
          </w:r>
          <w:r>
            <w:instrText xml:space="preserve"> HYPERLINK \l "_Toc8021" </w:instrText>
          </w:r>
          <w:r>
            <w:fldChar w:fldCharType="separate"/>
          </w:r>
          <w:r>
            <w:t>5.1 风险识别与评估矩阵</w:t>
          </w:r>
          <w:r>
            <w:tab/>
          </w:r>
          <w:r>
            <w:fldChar w:fldCharType="begin"/>
          </w:r>
          <w:r>
            <w:instrText xml:space="preserve"> PAGEREF _Toc8021 \h </w:instrText>
          </w:r>
          <w:r>
            <w:fldChar w:fldCharType="separate"/>
          </w:r>
          <w:r>
            <w:t>10</w:t>
          </w:r>
          <w:r>
            <w:fldChar w:fldCharType="end"/>
          </w:r>
          <w:r>
            <w:fldChar w:fldCharType="end"/>
          </w:r>
        </w:p>
        <w:p>
          <w:pPr>
            <w:pStyle w:val="12"/>
            <w:tabs>
              <w:tab w:val="right" w:leader="dot" w:pos="8306"/>
            </w:tabs>
            <w:ind w:left="440" w:firstLine="440"/>
          </w:pPr>
          <w:r>
            <w:fldChar w:fldCharType="begin"/>
          </w:r>
          <w:r>
            <w:instrText xml:space="preserve"> HYPERLINK \l "_Toc14394" </w:instrText>
          </w:r>
          <w:r>
            <w:fldChar w:fldCharType="separate"/>
          </w:r>
          <w:r>
            <w:t>5.2 风险监控与跟踪</w:t>
          </w:r>
          <w:r>
            <w:tab/>
          </w:r>
          <w:r>
            <w:fldChar w:fldCharType="begin"/>
          </w:r>
          <w:r>
            <w:instrText xml:space="preserve"> PAGEREF _Toc14394 \h </w:instrText>
          </w:r>
          <w:r>
            <w:fldChar w:fldCharType="separate"/>
          </w:r>
          <w:r>
            <w:t>10</w:t>
          </w:r>
          <w:r>
            <w:fldChar w:fldCharType="end"/>
          </w:r>
          <w:r>
            <w:fldChar w:fldCharType="end"/>
          </w:r>
        </w:p>
        <w:p>
          <w:pPr>
            <w:pStyle w:val="10"/>
            <w:tabs>
              <w:tab w:val="right" w:leader="dot" w:pos="8306"/>
            </w:tabs>
            <w:ind w:firstLine="440"/>
          </w:pPr>
          <w:r>
            <w:fldChar w:fldCharType="begin"/>
          </w:r>
          <w:r>
            <w:instrText xml:space="preserve"> HYPERLINK \l "_Toc8960" </w:instrText>
          </w:r>
          <w:r>
            <w:fldChar w:fldCharType="separate"/>
          </w:r>
          <w:r>
            <w:t>第六章  项目收尾工作</w:t>
          </w:r>
          <w:r>
            <w:tab/>
          </w:r>
          <w:r>
            <w:fldChar w:fldCharType="begin"/>
          </w:r>
          <w:r>
            <w:instrText xml:space="preserve"> PAGEREF _Toc8960 \h </w:instrText>
          </w:r>
          <w:r>
            <w:fldChar w:fldCharType="separate"/>
          </w:r>
          <w:r>
            <w:t>11</w:t>
          </w:r>
          <w:r>
            <w:fldChar w:fldCharType="end"/>
          </w:r>
          <w:r>
            <w:fldChar w:fldCharType="end"/>
          </w:r>
        </w:p>
        <w:p>
          <w:pPr>
            <w:pStyle w:val="12"/>
            <w:tabs>
              <w:tab w:val="right" w:leader="dot" w:pos="8306"/>
            </w:tabs>
            <w:ind w:left="440" w:firstLine="440"/>
          </w:pPr>
          <w:r>
            <w:fldChar w:fldCharType="begin"/>
          </w:r>
          <w:r>
            <w:instrText xml:space="preserve"> HYPERLINK \l "_Toc12091" </w:instrText>
          </w:r>
          <w:r>
            <w:fldChar w:fldCharType="separate"/>
          </w:r>
          <w:r>
            <w:t>6.1 收尾检查清单</w:t>
          </w:r>
          <w:r>
            <w:tab/>
          </w:r>
          <w:r>
            <w:fldChar w:fldCharType="begin"/>
          </w:r>
          <w:r>
            <w:instrText xml:space="preserve"> PAGEREF _Toc12091 \h </w:instrText>
          </w:r>
          <w:r>
            <w:fldChar w:fldCharType="separate"/>
          </w:r>
          <w:r>
            <w:t>11</w:t>
          </w:r>
          <w:r>
            <w:fldChar w:fldCharType="end"/>
          </w:r>
          <w:r>
            <w:fldChar w:fldCharType="end"/>
          </w:r>
        </w:p>
        <w:p>
          <w:pPr>
            <w:pStyle w:val="12"/>
            <w:tabs>
              <w:tab w:val="right" w:leader="dot" w:pos="8306"/>
            </w:tabs>
            <w:ind w:left="440" w:firstLine="440"/>
          </w:pPr>
          <w:r>
            <w:fldChar w:fldCharType="begin"/>
          </w:r>
          <w:r>
            <w:instrText xml:space="preserve"> HYPERLINK \l "_Toc7700" </w:instrText>
          </w:r>
          <w:r>
            <w:fldChar w:fldCharType="separate"/>
          </w:r>
          <w:r>
            <w:t>6.2 经验教训总结</w:t>
          </w:r>
          <w:r>
            <w:tab/>
          </w:r>
          <w:r>
            <w:fldChar w:fldCharType="begin"/>
          </w:r>
          <w:r>
            <w:instrText xml:space="preserve"> PAGEREF _Toc7700 \h </w:instrText>
          </w:r>
          <w:r>
            <w:fldChar w:fldCharType="separate"/>
          </w:r>
          <w:r>
            <w:t>11</w:t>
          </w:r>
          <w:r>
            <w:fldChar w:fldCharType="end"/>
          </w:r>
          <w:r>
            <w:fldChar w:fldCharType="end"/>
          </w:r>
        </w:p>
        <w:p>
          <w:pPr>
            <w:pStyle w:val="8"/>
            <w:tabs>
              <w:tab w:val="right" w:leader="dot" w:pos="8306"/>
            </w:tabs>
            <w:ind w:left="880" w:firstLine="440"/>
          </w:pPr>
          <w:r>
            <w:fldChar w:fldCharType="begin"/>
          </w:r>
          <w:r>
            <w:instrText xml:space="preserve"> HYPERLINK \l "_Toc27483" </w:instrText>
          </w:r>
          <w:r>
            <w:fldChar w:fldCharType="separate"/>
          </w:r>
          <w:r>
            <w:t>6.2.1 值得推广的经验</w:t>
          </w:r>
          <w:r>
            <w:tab/>
          </w:r>
          <w:r>
            <w:fldChar w:fldCharType="begin"/>
          </w:r>
          <w:r>
            <w:instrText xml:space="preserve"> PAGEREF _Toc27483 \h </w:instrText>
          </w:r>
          <w:r>
            <w:fldChar w:fldCharType="separate"/>
          </w:r>
          <w:r>
            <w:t>11</w:t>
          </w:r>
          <w:r>
            <w:fldChar w:fldCharType="end"/>
          </w:r>
          <w:r>
            <w:fldChar w:fldCharType="end"/>
          </w:r>
        </w:p>
        <w:p>
          <w:pPr>
            <w:pStyle w:val="8"/>
            <w:tabs>
              <w:tab w:val="right" w:leader="dot" w:pos="8306"/>
            </w:tabs>
            <w:ind w:left="880" w:firstLine="440"/>
          </w:pPr>
          <w:r>
            <w:fldChar w:fldCharType="begin"/>
          </w:r>
          <w:r>
            <w:instrText xml:space="preserve"> HYPERLINK \l "_Toc30914" </w:instrText>
          </w:r>
          <w:r>
            <w:fldChar w:fldCharType="separate"/>
          </w:r>
          <w:r>
            <w:t>6.2.2 需要改进的经验</w:t>
          </w:r>
          <w:r>
            <w:tab/>
          </w:r>
          <w:r>
            <w:fldChar w:fldCharType="begin"/>
          </w:r>
          <w:r>
            <w:instrText xml:space="preserve"> PAGEREF _Toc30914 \h </w:instrText>
          </w:r>
          <w:r>
            <w:fldChar w:fldCharType="separate"/>
          </w:r>
          <w:r>
            <w:t>12</w:t>
          </w:r>
          <w:r>
            <w:fldChar w:fldCharType="end"/>
          </w:r>
          <w:r>
            <w:fldChar w:fldCharType="end"/>
          </w:r>
        </w:p>
        <w:p>
          <w:pPr>
            <w:pStyle w:val="12"/>
            <w:tabs>
              <w:tab w:val="right" w:leader="dot" w:pos="8306"/>
            </w:tabs>
            <w:ind w:left="440" w:firstLine="440"/>
          </w:pPr>
          <w:r>
            <w:fldChar w:fldCharType="begin"/>
          </w:r>
          <w:r>
            <w:instrText xml:space="preserve"> HYPERLINK \l "_Toc26821" </w:instrText>
          </w:r>
          <w:r>
            <w:fldChar w:fldCharType="separate"/>
          </w:r>
          <w:r>
            <w:t>6.3 产品移交</w:t>
          </w:r>
          <w:r>
            <w:tab/>
          </w:r>
          <w:r>
            <w:fldChar w:fldCharType="begin"/>
          </w:r>
          <w:r>
            <w:instrText xml:space="preserve"> PAGEREF _Toc26821 \h </w:instrText>
          </w:r>
          <w:r>
            <w:fldChar w:fldCharType="separate"/>
          </w:r>
          <w:r>
            <w:t>12</w:t>
          </w:r>
          <w:r>
            <w:fldChar w:fldCharType="end"/>
          </w:r>
          <w:r>
            <w:fldChar w:fldCharType="end"/>
          </w:r>
        </w:p>
        <w:p>
          <w:pPr>
            <w:pStyle w:val="10"/>
            <w:tabs>
              <w:tab w:val="right" w:leader="dot" w:pos="8306"/>
            </w:tabs>
            <w:ind w:firstLine="440"/>
          </w:pPr>
          <w:r>
            <w:fldChar w:fldCharType="begin"/>
          </w:r>
          <w:r>
            <w:instrText xml:space="preserve"> HYPERLINK \l "_Toc10308" </w:instrText>
          </w:r>
          <w:r>
            <w:fldChar w:fldCharType="separate"/>
          </w:r>
          <w:r>
            <w:t>第七章  软件原型的规模估算</w:t>
          </w:r>
          <w:r>
            <w:tab/>
          </w:r>
          <w:r>
            <w:fldChar w:fldCharType="begin"/>
          </w:r>
          <w:r>
            <w:instrText xml:space="preserve"> PAGEREF _Toc10308 \h </w:instrText>
          </w:r>
          <w:r>
            <w:fldChar w:fldCharType="separate"/>
          </w:r>
          <w:r>
            <w:t>12</w:t>
          </w:r>
          <w:r>
            <w:fldChar w:fldCharType="end"/>
          </w:r>
          <w:r>
            <w:fldChar w:fldCharType="end"/>
          </w:r>
        </w:p>
        <w:p>
          <w:pPr>
            <w:pStyle w:val="12"/>
            <w:tabs>
              <w:tab w:val="right" w:leader="dot" w:pos="8306"/>
            </w:tabs>
            <w:ind w:left="440" w:firstLine="440"/>
          </w:pPr>
          <w:r>
            <w:fldChar w:fldCharType="begin"/>
          </w:r>
          <w:r>
            <w:instrText xml:space="preserve"> HYPERLINK \l "_Toc29345" </w:instrText>
          </w:r>
          <w:r>
            <w:fldChar w:fldCharType="separate"/>
          </w:r>
          <w:r>
            <w:t>7.1 度量方法概述</w:t>
          </w:r>
          <w:r>
            <w:tab/>
          </w:r>
          <w:r>
            <w:fldChar w:fldCharType="begin"/>
          </w:r>
          <w:r>
            <w:instrText xml:space="preserve"> PAGEREF _Toc29345 \h </w:instrText>
          </w:r>
          <w:r>
            <w:fldChar w:fldCharType="separate"/>
          </w:r>
          <w:r>
            <w:t>12</w:t>
          </w:r>
          <w:r>
            <w:fldChar w:fldCharType="end"/>
          </w:r>
          <w:r>
            <w:fldChar w:fldCharType="end"/>
          </w:r>
        </w:p>
        <w:p>
          <w:pPr>
            <w:pStyle w:val="12"/>
            <w:tabs>
              <w:tab w:val="right" w:leader="dot" w:pos="8306"/>
            </w:tabs>
            <w:ind w:left="440" w:firstLine="440"/>
          </w:pPr>
          <w:r>
            <w:fldChar w:fldCharType="begin"/>
          </w:r>
          <w:r>
            <w:instrText xml:space="preserve"> HYPERLINK \l "_Toc4778" </w:instrText>
          </w:r>
          <w:r>
            <w:fldChar w:fldCharType="separate"/>
          </w:r>
          <w:r>
            <w:t>7.2 系统边界与度量范围</w:t>
          </w:r>
          <w:r>
            <w:tab/>
          </w:r>
          <w:r>
            <w:fldChar w:fldCharType="begin"/>
          </w:r>
          <w:r>
            <w:instrText xml:space="preserve"> PAGEREF _Toc4778 \h </w:instrText>
          </w:r>
          <w:r>
            <w:fldChar w:fldCharType="separate"/>
          </w:r>
          <w:r>
            <w:t>12</w:t>
          </w:r>
          <w:r>
            <w:fldChar w:fldCharType="end"/>
          </w:r>
          <w:r>
            <w:fldChar w:fldCharType="end"/>
          </w:r>
        </w:p>
        <w:p>
          <w:pPr>
            <w:pStyle w:val="12"/>
            <w:tabs>
              <w:tab w:val="right" w:leader="dot" w:pos="8306"/>
            </w:tabs>
            <w:ind w:left="440" w:firstLine="440"/>
          </w:pPr>
          <w:r>
            <w:fldChar w:fldCharType="begin"/>
          </w:r>
          <w:r>
            <w:instrText xml:space="preserve"> HYPERLINK \l "_Toc10271" </w:instrText>
          </w:r>
          <w:r>
            <w:fldChar w:fldCharType="separate"/>
          </w:r>
          <w:r>
            <w:t>7.3 IFPUG功能点分析</w:t>
          </w:r>
          <w:r>
            <w:tab/>
          </w:r>
          <w:r>
            <w:fldChar w:fldCharType="begin"/>
          </w:r>
          <w:r>
            <w:instrText xml:space="preserve"> PAGEREF _Toc10271 \h </w:instrText>
          </w:r>
          <w:r>
            <w:fldChar w:fldCharType="separate"/>
          </w:r>
          <w:r>
            <w:t>12</w:t>
          </w:r>
          <w:r>
            <w:fldChar w:fldCharType="end"/>
          </w:r>
          <w:r>
            <w:fldChar w:fldCharType="end"/>
          </w:r>
        </w:p>
        <w:p>
          <w:pPr>
            <w:pStyle w:val="8"/>
            <w:tabs>
              <w:tab w:val="right" w:leader="dot" w:pos="8306"/>
            </w:tabs>
            <w:ind w:left="880" w:firstLine="440"/>
          </w:pPr>
          <w:r>
            <w:fldChar w:fldCharType="begin"/>
          </w:r>
          <w:r>
            <w:instrText xml:space="preserve"> HYPERLINK \l "_Toc28225" </w:instrText>
          </w:r>
          <w:r>
            <w:fldChar w:fldCharType="separate"/>
          </w:r>
          <w:r>
            <w:t>7.3.1 数据类功能点</w:t>
          </w:r>
          <w:r>
            <w:tab/>
          </w:r>
          <w:r>
            <w:fldChar w:fldCharType="begin"/>
          </w:r>
          <w:r>
            <w:instrText xml:space="preserve"> PAGEREF _Toc28225 \h </w:instrText>
          </w:r>
          <w:r>
            <w:fldChar w:fldCharType="separate"/>
          </w:r>
          <w:r>
            <w:t>12</w:t>
          </w:r>
          <w:r>
            <w:fldChar w:fldCharType="end"/>
          </w:r>
          <w:r>
            <w:fldChar w:fldCharType="end"/>
          </w:r>
        </w:p>
        <w:p>
          <w:pPr>
            <w:pStyle w:val="8"/>
            <w:tabs>
              <w:tab w:val="right" w:leader="dot" w:pos="8306"/>
            </w:tabs>
            <w:ind w:left="880" w:firstLine="440"/>
          </w:pPr>
          <w:r>
            <w:fldChar w:fldCharType="begin"/>
          </w:r>
          <w:r>
            <w:instrText xml:space="preserve"> HYPERLINK \l "_Toc4811" </w:instrText>
          </w:r>
          <w:r>
            <w:fldChar w:fldCharType="separate"/>
          </w:r>
          <w:r>
            <w:t>7.3.2 人机交互事务类功能点</w:t>
          </w:r>
          <w:r>
            <w:tab/>
          </w:r>
          <w:r>
            <w:fldChar w:fldCharType="begin"/>
          </w:r>
          <w:r>
            <w:instrText xml:space="preserve"> PAGEREF _Toc4811 \h </w:instrText>
          </w:r>
          <w:r>
            <w:fldChar w:fldCharType="separate"/>
          </w:r>
          <w:r>
            <w:t>13</w:t>
          </w:r>
          <w:r>
            <w:fldChar w:fldCharType="end"/>
          </w:r>
          <w:r>
            <w:fldChar w:fldCharType="end"/>
          </w:r>
        </w:p>
        <w:p>
          <w:pPr>
            <w:pStyle w:val="8"/>
            <w:tabs>
              <w:tab w:val="right" w:leader="dot" w:pos="8306"/>
            </w:tabs>
            <w:ind w:left="880" w:firstLine="440"/>
          </w:pPr>
          <w:r>
            <w:fldChar w:fldCharType="begin"/>
          </w:r>
          <w:r>
            <w:instrText xml:space="preserve"> HYPERLINK \l "_Toc24845" </w:instrText>
          </w:r>
          <w:r>
            <w:fldChar w:fldCharType="separate"/>
          </w:r>
          <w:r>
            <w:t>7.3.3 未调整功能点计算</w:t>
          </w:r>
          <w:r>
            <w:tab/>
          </w:r>
          <w:r>
            <w:fldChar w:fldCharType="begin"/>
          </w:r>
          <w:r>
            <w:instrText xml:space="preserve"> PAGEREF _Toc24845 \h </w:instrText>
          </w:r>
          <w:r>
            <w:fldChar w:fldCharType="separate"/>
          </w:r>
          <w:r>
            <w:t>13</w:t>
          </w:r>
          <w:r>
            <w:fldChar w:fldCharType="end"/>
          </w:r>
          <w:r>
            <w:fldChar w:fldCharType="end"/>
          </w:r>
        </w:p>
        <w:p>
          <w:pPr>
            <w:pStyle w:val="8"/>
            <w:tabs>
              <w:tab w:val="right" w:leader="dot" w:pos="8306"/>
            </w:tabs>
            <w:ind w:left="880" w:firstLine="440"/>
          </w:pPr>
          <w:r>
            <w:fldChar w:fldCharType="begin"/>
          </w:r>
          <w:r>
            <w:instrText xml:space="preserve"> HYPERLINK \l "_Toc8346" </w:instrText>
          </w:r>
          <w:r>
            <w:fldChar w:fldCharType="separate"/>
          </w:r>
          <w:r>
            <w:t>7.3.4 值调整因子（VAF）计算</w:t>
          </w:r>
          <w:r>
            <w:tab/>
          </w:r>
          <w:r>
            <w:fldChar w:fldCharType="begin"/>
          </w:r>
          <w:r>
            <w:instrText xml:space="preserve"> PAGEREF _Toc8346 \h </w:instrText>
          </w:r>
          <w:r>
            <w:fldChar w:fldCharType="separate"/>
          </w:r>
          <w:r>
            <w:t>13</w:t>
          </w:r>
          <w:r>
            <w:fldChar w:fldCharType="end"/>
          </w:r>
          <w:r>
            <w:fldChar w:fldCharType="end"/>
          </w:r>
        </w:p>
        <w:p>
          <w:pPr>
            <w:pStyle w:val="12"/>
            <w:tabs>
              <w:tab w:val="right" w:leader="dot" w:pos="8306"/>
            </w:tabs>
            <w:ind w:left="440" w:firstLine="440"/>
          </w:pPr>
          <w:r>
            <w:fldChar w:fldCharType="begin"/>
          </w:r>
          <w:r>
            <w:instrText xml:space="preserve"> HYPERLINK \l "_Toc2342" </w:instrText>
          </w:r>
          <w:r>
            <w:fldChar w:fldCharType="separate"/>
          </w:r>
          <w:r>
            <w:t>7.4 NESMA方法交叉验证</w:t>
          </w:r>
          <w:r>
            <w:tab/>
          </w:r>
          <w:r>
            <w:fldChar w:fldCharType="begin"/>
          </w:r>
          <w:r>
            <w:instrText xml:space="preserve"> PAGEREF _Toc2342 \h </w:instrText>
          </w:r>
          <w:r>
            <w:fldChar w:fldCharType="separate"/>
          </w:r>
          <w:r>
            <w:t>14</w:t>
          </w:r>
          <w:r>
            <w:fldChar w:fldCharType="end"/>
          </w:r>
          <w:r>
            <w:fldChar w:fldCharType="end"/>
          </w:r>
        </w:p>
        <w:p>
          <w:pPr>
            <w:pStyle w:val="12"/>
            <w:tabs>
              <w:tab w:val="right" w:leader="dot" w:pos="8306"/>
            </w:tabs>
            <w:ind w:left="440" w:firstLine="440"/>
          </w:pPr>
          <w:r>
            <w:fldChar w:fldCharType="begin"/>
          </w:r>
          <w:r>
            <w:instrText xml:space="preserve"> HYPERLINK \l "_Toc10069" </w:instrText>
          </w:r>
          <w:r>
            <w:fldChar w:fldCharType="separate"/>
          </w:r>
          <w:r>
            <w:t>7.5 规模估算汇总</w:t>
          </w:r>
          <w:r>
            <w:tab/>
          </w:r>
          <w:r>
            <w:fldChar w:fldCharType="begin"/>
          </w:r>
          <w:r>
            <w:instrText xml:space="preserve"> PAGEREF _Toc10069 \h </w:instrText>
          </w:r>
          <w:r>
            <w:fldChar w:fldCharType="separate"/>
          </w:r>
          <w:r>
            <w:t>14</w:t>
          </w:r>
          <w:r>
            <w:fldChar w:fldCharType="end"/>
          </w:r>
          <w:r>
            <w:fldChar w:fldCharType="end"/>
          </w:r>
        </w:p>
        <w:p>
          <w:pPr>
            <w:pStyle w:val="10"/>
            <w:tabs>
              <w:tab w:val="right" w:leader="dot" w:pos="8306"/>
            </w:tabs>
            <w:ind w:firstLine="440"/>
          </w:pPr>
          <w:r>
            <w:fldChar w:fldCharType="begin"/>
          </w:r>
          <w:r>
            <w:instrText xml:space="preserve"> HYPERLINK \l "_Toc7425" </w:instrText>
          </w:r>
          <w:r>
            <w:fldChar w:fldCharType="separate"/>
          </w:r>
          <w:r>
            <w:t>第八章  软件成本估算</w:t>
          </w:r>
          <w:r>
            <w:tab/>
          </w:r>
          <w:r>
            <w:fldChar w:fldCharType="begin"/>
          </w:r>
          <w:r>
            <w:instrText xml:space="preserve"> PAGEREF _Toc7425 \h </w:instrText>
          </w:r>
          <w:r>
            <w:fldChar w:fldCharType="separate"/>
          </w:r>
          <w:r>
            <w:t>14</w:t>
          </w:r>
          <w:r>
            <w:fldChar w:fldCharType="end"/>
          </w:r>
          <w:r>
            <w:fldChar w:fldCharType="end"/>
          </w:r>
        </w:p>
        <w:p>
          <w:pPr>
            <w:pStyle w:val="12"/>
            <w:tabs>
              <w:tab w:val="right" w:leader="dot" w:pos="8306"/>
            </w:tabs>
            <w:ind w:left="440" w:firstLine="440"/>
          </w:pPr>
          <w:r>
            <w:fldChar w:fldCharType="begin"/>
          </w:r>
          <w:r>
            <w:instrText xml:space="preserve"> HYPERLINK \l "_Toc1090" </w:instrText>
          </w:r>
          <w:r>
            <w:fldChar w:fldCharType="separate"/>
          </w:r>
          <w:r>
            <w:t>8.1 估算方法与数据来源</w:t>
          </w:r>
          <w:r>
            <w:tab/>
          </w:r>
          <w:r>
            <w:fldChar w:fldCharType="begin"/>
          </w:r>
          <w:r>
            <w:instrText xml:space="preserve"> PAGEREF _Toc1090 \h </w:instrText>
          </w:r>
          <w:r>
            <w:fldChar w:fldCharType="separate"/>
          </w:r>
          <w:r>
            <w:t>14</w:t>
          </w:r>
          <w:r>
            <w:fldChar w:fldCharType="end"/>
          </w:r>
          <w:r>
            <w:fldChar w:fldCharType="end"/>
          </w:r>
        </w:p>
        <w:p>
          <w:pPr>
            <w:pStyle w:val="12"/>
            <w:tabs>
              <w:tab w:val="right" w:leader="dot" w:pos="8306"/>
            </w:tabs>
            <w:ind w:left="440" w:firstLine="440"/>
          </w:pPr>
          <w:r>
            <w:fldChar w:fldCharType="begin"/>
          </w:r>
          <w:r>
            <w:instrText xml:space="preserve"> HYPERLINK \l "_Toc2787" </w:instrText>
          </w:r>
          <w:r>
            <w:fldChar w:fldCharType="separate"/>
          </w:r>
          <w:r>
            <w:t>8.2 GB/T 36964方法估算（主要方法）</w:t>
          </w:r>
          <w:r>
            <w:tab/>
          </w:r>
          <w:r>
            <w:fldChar w:fldCharType="begin"/>
          </w:r>
          <w:r>
            <w:instrText xml:space="preserve"> PAGEREF _Toc2787 \h </w:instrText>
          </w:r>
          <w:r>
            <w:fldChar w:fldCharType="separate"/>
          </w:r>
          <w:r>
            <w:t>15</w:t>
          </w:r>
          <w:r>
            <w:fldChar w:fldCharType="end"/>
          </w:r>
          <w:r>
            <w:fldChar w:fldCharType="end"/>
          </w:r>
        </w:p>
        <w:p>
          <w:pPr>
            <w:pStyle w:val="8"/>
            <w:tabs>
              <w:tab w:val="right" w:leader="dot" w:pos="8306"/>
            </w:tabs>
            <w:ind w:left="880" w:firstLine="440"/>
          </w:pPr>
          <w:r>
            <w:fldChar w:fldCharType="begin"/>
          </w:r>
          <w:r>
            <w:instrText xml:space="preserve"> HYPERLINK \l "_Toc16962" </w:instrText>
          </w:r>
          <w:r>
            <w:fldChar w:fldCharType="separate"/>
          </w:r>
          <w:r>
            <w:t>8.2.1 生产率选取依据</w:t>
          </w:r>
          <w:r>
            <w:tab/>
          </w:r>
          <w:r>
            <w:fldChar w:fldCharType="begin"/>
          </w:r>
          <w:r>
            <w:instrText xml:space="preserve"> PAGEREF _Toc16962 \h </w:instrText>
          </w:r>
          <w:r>
            <w:fldChar w:fldCharType="separate"/>
          </w:r>
          <w:r>
            <w:t>15</w:t>
          </w:r>
          <w:r>
            <w:fldChar w:fldCharType="end"/>
          </w:r>
          <w:r>
            <w:fldChar w:fldCharType="end"/>
          </w:r>
        </w:p>
        <w:p>
          <w:pPr>
            <w:pStyle w:val="8"/>
            <w:tabs>
              <w:tab w:val="right" w:leader="dot" w:pos="8306"/>
            </w:tabs>
            <w:ind w:left="880" w:firstLine="440"/>
          </w:pPr>
          <w:r>
            <w:fldChar w:fldCharType="begin"/>
          </w:r>
          <w:r>
            <w:instrText xml:space="preserve"> HYPERLINK \l "_Toc30995" </w:instrText>
          </w:r>
          <w:r>
            <w:fldChar w:fldCharType="separate"/>
          </w:r>
          <w:r>
            <w:t>8.2.2 工作量与成本计算</w:t>
          </w:r>
          <w:r>
            <w:tab/>
          </w:r>
          <w:r>
            <w:fldChar w:fldCharType="begin"/>
          </w:r>
          <w:r>
            <w:instrText xml:space="preserve"> PAGEREF _Toc30995 \h </w:instrText>
          </w:r>
          <w:r>
            <w:fldChar w:fldCharType="separate"/>
          </w:r>
          <w:r>
            <w:t>15</w:t>
          </w:r>
          <w:r>
            <w:fldChar w:fldCharType="end"/>
          </w:r>
          <w:r>
            <w:fldChar w:fldCharType="end"/>
          </w:r>
        </w:p>
        <w:p>
          <w:pPr>
            <w:pStyle w:val="12"/>
            <w:tabs>
              <w:tab w:val="right" w:leader="dot" w:pos="8306"/>
            </w:tabs>
            <w:ind w:left="440" w:firstLine="440"/>
          </w:pPr>
          <w:r>
            <w:fldChar w:fldCharType="begin"/>
          </w:r>
          <w:r>
            <w:instrText xml:space="preserve"> HYPERLINK \l "_Toc16831" </w:instrText>
          </w:r>
          <w:r>
            <w:fldChar w:fldCharType="separate"/>
          </w:r>
          <w:r>
            <w:t>8.3 COCOMO II方法估算（交叉验证）</w:t>
          </w:r>
          <w:r>
            <w:tab/>
          </w:r>
          <w:r>
            <w:fldChar w:fldCharType="begin"/>
          </w:r>
          <w:r>
            <w:instrText xml:space="preserve"> PAGEREF _Toc16831 \h </w:instrText>
          </w:r>
          <w:r>
            <w:fldChar w:fldCharType="separate"/>
          </w:r>
          <w:r>
            <w:t>15</w:t>
          </w:r>
          <w:r>
            <w:fldChar w:fldCharType="end"/>
          </w:r>
          <w:r>
            <w:fldChar w:fldCharType="end"/>
          </w:r>
        </w:p>
        <w:p>
          <w:pPr>
            <w:pStyle w:val="12"/>
            <w:tabs>
              <w:tab w:val="right" w:leader="dot" w:pos="8306"/>
            </w:tabs>
            <w:ind w:left="440" w:firstLine="440"/>
          </w:pPr>
          <w:r>
            <w:fldChar w:fldCharType="begin"/>
          </w:r>
          <w:r>
            <w:instrText xml:space="preserve"> HYPERLINK \l "_Toc21647" </w:instrText>
          </w:r>
          <w:r>
            <w:fldChar w:fldCharType="separate"/>
          </w:r>
          <w:r>
            <w:t>8.4 双方法对比分析</w:t>
          </w:r>
          <w:r>
            <w:tab/>
          </w:r>
          <w:r>
            <w:fldChar w:fldCharType="begin"/>
          </w:r>
          <w:r>
            <w:instrText xml:space="preserve"> PAGEREF _Toc21647 \h </w:instrText>
          </w:r>
          <w:r>
            <w:fldChar w:fldCharType="separate"/>
          </w:r>
          <w:r>
            <w:t>16</w:t>
          </w:r>
          <w:r>
            <w:fldChar w:fldCharType="end"/>
          </w:r>
          <w:r>
            <w:fldChar w:fldCharType="end"/>
          </w:r>
        </w:p>
        <w:p>
          <w:pPr>
            <w:pStyle w:val="10"/>
            <w:tabs>
              <w:tab w:val="right" w:leader="dot" w:pos="8306"/>
            </w:tabs>
            <w:ind w:firstLine="440"/>
          </w:pPr>
          <w:r>
            <w:fldChar w:fldCharType="begin"/>
          </w:r>
          <w:r>
            <w:instrText xml:space="preserve"> HYPERLINK \l "_Toc31001" </w:instrText>
          </w:r>
          <w:r>
            <w:fldChar w:fldCharType="separate"/>
          </w:r>
          <w:r>
            <w:t>第九章  软件定价策略</w:t>
          </w:r>
          <w:r>
            <w:tab/>
          </w:r>
          <w:r>
            <w:fldChar w:fldCharType="begin"/>
          </w:r>
          <w:r>
            <w:instrText xml:space="preserve"> PAGEREF _Toc31001 \h </w:instrText>
          </w:r>
          <w:r>
            <w:fldChar w:fldCharType="separate"/>
          </w:r>
          <w:r>
            <w:t>16</w:t>
          </w:r>
          <w:r>
            <w:fldChar w:fldCharType="end"/>
          </w:r>
          <w:r>
            <w:fldChar w:fldCharType="end"/>
          </w:r>
        </w:p>
        <w:p>
          <w:pPr>
            <w:pStyle w:val="12"/>
            <w:tabs>
              <w:tab w:val="right" w:leader="dot" w:pos="8306"/>
            </w:tabs>
            <w:ind w:left="440" w:firstLine="440"/>
          </w:pPr>
          <w:r>
            <w:fldChar w:fldCharType="begin"/>
          </w:r>
          <w:r>
            <w:instrText xml:space="preserve"> HYPERLINK \l "_Toc19005" </w:instrText>
          </w:r>
          <w:r>
            <w:fldChar w:fldCharType="separate"/>
          </w:r>
          <w:r>
            <w:t>9.1 定价基础分析</w:t>
          </w:r>
          <w:r>
            <w:tab/>
          </w:r>
          <w:r>
            <w:fldChar w:fldCharType="begin"/>
          </w:r>
          <w:r>
            <w:instrText xml:space="preserve"> PAGEREF _Toc19005 \h </w:instrText>
          </w:r>
          <w:r>
            <w:fldChar w:fldCharType="separate"/>
          </w:r>
          <w:r>
            <w:t>16</w:t>
          </w:r>
          <w:r>
            <w:fldChar w:fldCharType="end"/>
          </w:r>
          <w:r>
            <w:fldChar w:fldCharType="end"/>
          </w:r>
        </w:p>
        <w:p>
          <w:pPr>
            <w:pStyle w:val="12"/>
            <w:tabs>
              <w:tab w:val="right" w:leader="dot" w:pos="8306"/>
            </w:tabs>
            <w:ind w:left="440" w:firstLine="440"/>
          </w:pPr>
          <w:r>
            <w:fldChar w:fldCharType="begin"/>
          </w:r>
          <w:r>
            <w:instrText xml:space="preserve"> HYPERLINK \l "_Toc22905" </w:instrText>
          </w:r>
          <w:r>
            <w:fldChar w:fldCharType="separate"/>
          </w:r>
          <w:r>
            <w:t>9.2 成本加成定价（Cost-Plus Pricing）</w:t>
          </w:r>
          <w:r>
            <w:tab/>
          </w:r>
          <w:r>
            <w:fldChar w:fldCharType="begin"/>
          </w:r>
          <w:r>
            <w:instrText xml:space="preserve"> PAGEREF _Toc22905 \h </w:instrText>
          </w:r>
          <w:r>
            <w:fldChar w:fldCharType="separate"/>
          </w:r>
          <w:r>
            <w:t>16</w:t>
          </w:r>
          <w:r>
            <w:fldChar w:fldCharType="end"/>
          </w:r>
          <w:r>
            <w:fldChar w:fldCharType="end"/>
          </w:r>
        </w:p>
        <w:p>
          <w:pPr>
            <w:pStyle w:val="12"/>
            <w:tabs>
              <w:tab w:val="right" w:leader="dot" w:pos="8306"/>
            </w:tabs>
            <w:ind w:left="440" w:firstLine="440"/>
          </w:pPr>
          <w:r>
            <w:fldChar w:fldCharType="begin"/>
          </w:r>
          <w:r>
            <w:instrText xml:space="preserve"> HYPERLINK \l "_Toc9983" </w:instrText>
          </w:r>
          <w:r>
            <w:fldChar w:fldCharType="separate"/>
          </w:r>
          <w:r>
            <w:t>9.3 SaaS订阅定价（Subscription Pricing）</w:t>
          </w:r>
          <w:r>
            <w:tab/>
          </w:r>
          <w:r>
            <w:fldChar w:fldCharType="begin"/>
          </w:r>
          <w:r>
            <w:instrText xml:space="preserve"> PAGEREF _Toc9983 \h </w:instrText>
          </w:r>
          <w:r>
            <w:fldChar w:fldCharType="separate"/>
          </w:r>
          <w:r>
            <w:t>17</w:t>
          </w:r>
          <w:r>
            <w:fldChar w:fldCharType="end"/>
          </w:r>
          <w:r>
            <w:fldChar w:fldCharType="end"/>
          </w:r>
        </w:p>
        <w:p>
          <w:pPr>
            <w:pStyle w:val="12"/>
            <w:tabs>
              <w:tab w:val="right" w:leader="dot" w:pos="8306"/>
            </w:tabs>
            <w:ind w:left="440" w:firstLine="440"/>
          </w:pPr>
          <w:r>
            <w:fldChar w:fldCharType="begin"/>
          </w:r>
          <w:r>
            <w:instrText xml:space="preserve"> HYPERLINK \l "_Toc814" </w:instrText>
          </w:r>
          <w:r>
            <w:fldChar w:fldCharType="separate"/>
          </w:r>
          <w:r>
            <w:t>9.4 基于价值的定价（Value-Based Pricing）</w:t>
          </w:r>
          <w:r>
            <w:tab/>
          </w:r>
          <w:r>
            <w:fldChar w:fldCharType="begin"/>
          </w:r>
          <w:r>
            <w:instrText xml:space="preserve"> PAGEREF _Toc814 \h </w:instrText>
          </w:r>
          <w:r>
            <w:fldChar w:fldCharType="separate"/>
          </w:r>
          <w:r>
            <w:t>17</w:t>
          </w:r>
          <w:r>
            <w:fldChar w:fldCharType="end"/>
          </w:r>
          <w:r>
            <w:fldChar w:fldCharType="end"/>
          </w:r>
        </w:p>
        <w:p>
          <w:pPr>
            <w:pStyle w:val="10"/>
            <w:tabs>
              <w:tab w:val="right" w:leader="dot" w:pos="8306"/>
            </w:tabs>
            <w:ind w:firstLine="440"/>
          </w:pPr>
          <w:r>
            <w:fldChar w:fldCharType="begin"/>
          </w:r>
          <w:r>
            <w:instrText xml:space="preserve"> HYPERLINK \l "_Toc15634" </w:instrText>
          </w:r>
          <w:r>
            <w:fldChar w:fldCharType="separate"/>
          </w:r>
          <w:r>
            <w:t>第十章  资金筹集</w:t>
          </w:r>
          <w:r>
            <w:tab/>
          </w:r>
          <w:r>
            <w:fldChar w:fldCharType="begin"/>
          </w:r>
          <w:r>
            <w:instrText xml:space="preserve"> PAGEREF _Toc15634 \h </w:instrText>
          </w:r>
          <w:r>
            <w:fldChar w:fldCharType="separate"/>
          </w:r>
          <w:r>
            <w:t>17</w:t>
          </w:r>
          <w:r>
            <w:fldChar w:fldCharType="end"/>
          </w:r>
          <w:r>
            <w:fldChar w:fldCharType="end"/>
          </w:r>
        </w:p>
        <w:p>
          <w:pPr>
            <w:pStyle w:val="12"/>
            <w:tabs>
              <w:tab w:val="right" w:leader="dot" w:pos="8306"/>
            </w:tabs>
            <w:ind w:left="440" w:firstLine="440"/>
          </w:pPr>
          <w:r>
            <w:fldChar w:fldCharType="begin"/>
          </w:r>
          <w:r>
            <w:instrText xml:space="preserve"> HYPERLINK \l "_Toc3584" </w:instrText>
          </w:r>
          <w:r>
            <w:fldChar w:fldCharType="separate"/>
          </w:r>
          <w:r>
            <w:t>10.1 当前项目资金来源</w:t>
          </w:r>
          <w:r>
            <w:tab/>
          </w:r>
          <w:r>
            <w:fldChar w:fldCharType="begin"/>
          </w:r>
          <w:r>
            <w:instrText xml:space="preserve"> PAGEREF _Toc3584 \h </w:instrText>
          </w:r>
          <w:r>
            <w:fldChar w:fldCharType="separate"/>
          </w:r>
          <w:r>
            <w:t>17</w:t>
          </w:r>
          <w:r>
            <w:fldChar w:fldCharType="end"/>
          </w:r>
          <w:r>
            <w:fldChar w:fldCharType="end"/>
          </w:r>
        </w:p>
        <w:p>
          <w:pPr>
            <w:pStyle w:val="12"/>
            <w:tabs>
              <w:tab w:val="right" w:leader="dot" w:pos="8306"/>
            </w:tabs>
            <w:ind w:left="440" w:firstLine="440"/>
          </w:pPr>
          <w:r>
            <w:fldChar w:fldCharType="begin"/>
          </w:r>
          <w:r>
            <w:instrText xml:space="preserve"> HYPERLINK \l "_Toc8599" </w:instrText>
          </w:r>
          <w:r>
            <w:fldChar w:fldCharType="separate"/>
          </w:r>
          <w:r>
            <w:t>10.2 商业化阶段资金筹集策略</w:t>
          </w:r>
          <w:r>
            <w:tab/>
          </w:r>
          <w:r>
            <w:fldChar w:fldCharType="begin"/>
          </w:r>
          <w:r>
            <w:instrText xml:space="preserve"> PAGEREF _Toc8599 \h </w:instrText>
          </w:r>
          <w:r>
            <w:fldChar w:fldCharType="separate"/>
          </w:r>
          <w:r>
            <w:t>17</w:t>
          </w:r>
          <w:r>
            <w:fldChar w:fldCharType="end"/>
          </w:r>
          <w:r>
            <w:fldChar w:fldCharType="end"/>
          </w:r>
        </w:p>
        <w:p>
          <w:pPr>
            <w:pStyle w:val="8"/>
            <w:tabs>
              <w:tab w:val="right" w:leader="dot" w:pos="8306"/>
            </w:tabs>
            <w:ind w:left="880" w:firstLine="440"/>
          </w:pPr>
          <w:r>
            <w:fldChar w:fldCharType="begin"/>
          </w:r>
          <w:r>
            <w:instrText xml:space="preserve"> HYPERLINK \l "_Toc3362" </w:instrText>
          </w:r>
          <w:r>
            <w:fldChar w:fldCharType="separate"/>
          </w:r>
          <w:r>
            <w:t>10.2.1 自筹资金阶段（0-6个月）</w:t>
          </w:r>
          <w:r>
            <w:tab/>
          </w:r>
          <w:r>
            <w:fldChar w:fldCharType="begin"/>
          </w:r>
          <w:r>
            <w:instrText xml:space="preserve"> PAGEREF _Toc3362 \h </w:instrText>
          </w:r>
          <w:r>
            <w:fldChar w:fldCharType="separate"/>
          </w:r>
          <w:r>
            <w:t>18</w:t>
          </w:r>
          <w:r>
            <w:fldChar w:fldCharType="end"/>
          </w:r>
          <w:r>
            <w:fldChar w:fldCharType="end"/>
          </w:r>
        </w:p>
        <w:p>
          <w:pPr>
            <w:pStyle w:val="8"/>
            <w:tabs>
              <w:tab w:val="right" w:leader="dot" w:pos="8306"/>
            </w:tabs>
            <w:ind w:left="880" w:firstLine="440"/>
          </w:pPr>
          <w:r>
            <w:fldChar w:fldCharType="begin"/>
          </w:r>
          <w:r>
            <w:instrText xml:space="preserve"> HYPERLINK \l "_Toc27452" </w:instrText>
          </w:r>
          <w:r>
            <w:fldChar w:fldCharType="separate"/>
          </w:r>
          <w:r>
            <w:t>10.2.2 种子融资阶段（6-18个月）</w:t>
          </w:r>
          <w:r>
            <w:tab/>
          </w:r>
          <w:r>
            <w:fldChar w:fldCharType="begin"/>
          </w:r>
          <w:r>
            <w:instrText xml:space="preserve"> PAGEREF _Toc27452 \h </w:instrText>
          </w:r>
          <w:r>
            <w:fldChar w:fldCharType="separate"/>
          </w:r>
          <w:r>
            <w:t>18</w:t>
          </w:r>
          <w:r>
            <w:fldChar w:fldCharType="end"/>
          </w:r>
          <w:r>
            <w:fldChar w:fldCharType="end"/>
          </w:r>
        </w:p>
        <w:p>
          <w:pPr>
            <w:pStyle w:val="8"/>
            <w:tabs>
              <w:tab w:val="right" w:leader="dot" w:pos="8306"/>
            </w:tabs>
            <w:ind w:left="880" w:firstLine="440"/>
          </w:pPr>
          <w:r>
            <w:fldChar w:fldCharType="begin"/>
          </w:r>
          <w:r>
            <w:instrText xml:space="preserve"> HYPERLINK \l "_Toc29610" </w:instrText>
          </w:r>
          <w:r>
            <w:fldChar w:fldCharType="separate"/>
          </w:r>
          <w:r>
            <w:t>10.2.3 商业贷款与补贴</w:t>
          </w:r>
          <w:r>
            <w:tab/>
          </w:r>
          <w:r>
            <w:fldChar w:fldCharType="begin"/>
          </w:r>
          <w:r>
            <w:instrText xml:space="preserve"> PAGEREF _Toc29610 \h </w:instrText>
          </w:r>
          <w:r>
            <w:fldChar w:fldCharType="separate"/>
          </w:r>
          <w:r>
            <w:t>18</w:t>
          </w:r>
          <w:r>
            <w:fldChar w:fldCharType="end"/>
          </w:r>
          <w:r>
            <w:fldChar w:fldCharType="end"/>
          </w:r>
        </w:p>
        <w:p>
          <w:pPr>
            <w:pStyle w:val="10"/>
            <w:tabs>
              <w:tab w:val="right" w:leader="dot" w:pos="8306"/>
            </w:tabs>
            <w:ind w:firstLine="440"/>
          </w:pPr>
          <w:r>
            <w:fldChar w:fldCharType="begin"/>
          </w:r>
          <w:r>
            <w:instrText xml:space="preserve"> HYPERLINK \l "_Toc9056" </w:instrText>
          </w:r>
          <w:r>
            <w:fldChar w:fldCharType="separate"/>
          </w:r>
          <w:r>
            <w:rPr>
              <w:rFonts w:hint="eastAsia" w:ascii="宋体" w:hAnsi="宋体" w:eastAsia="宋体" w:cs="宋体"/>
            </w:rPr>
            <w:t>第</w:t>
          </w:r>
          <w:r>
            <w:t>十一章  软件产品的财务评估</w:t>
          </w:r>
          <w:r>
            <w:tab/>
          </w:r>
          <w:r>
            <w:fldChar w:fldCharType="begin"/>
          </w:r>
          <w:r>
            <w:instrText xml:space="preserve"> PAGEREF _Toc9056 \h </w:instrText>
          </w:r>
          <w:r>
            <w:fldChar w:fldCharType="separate"/>
          </w:r>
          <w:r>
            <w:t>18</w:t>
          </w:r>
          <w:r>
            <w:fldChar w:fldCharType="end"/>
          </w:r>
          <w:r>
            <w:fldChar w:fldCharType="end"/>
          </w:r>
        </w:p>
        <w:p>
          <w:pPr>
            <w:pStyle w:val="12"/>
            <w:tabs>
              <w:tab w:val="right" w:leader="dot" w:pos="8306"/>
            </w:tabs>
            <w:ind w:left="440" w:firstLine="440"/>
          </w:pPr>
          <w:r>
            <w:fldChar w:fldCharType="begin"/>
          </w:r>
          <w:r>
            <w:instrText xml:space="preserve"> HYPERLINK \l "_Toc26029" </w:instrText>
          </w:r>
          <w:r>
            <w:fldChar w:fldCharType="separate"/>
          </w:r>
          <w:r>
            <w:t>11.1 财务评估基本假设</w:t>
          </w:r>
          <w:r>
            <w:tab/>
          </w:r>
          <w:r>
            <w:fldChar w:fldCharType="begin"/>
          </w:r>
          <w:r>
            <w:instrText xml:space="preserve"> PAGEREF _Toc26029 \h </w:instrText>
          </w:r>
          <w:r>
            <w:fldChar w:fldCharType="separate"/>
          </w:r>
          <w:r>
            <w:t>18</w:t>
          </w:r>
          <w:r>
            <w:fldChar w:fldCharType="end"/>
          </w:r>
          <w:r>
            <w:fldChar w:fldCharType="end"/>
          </w:r>
        </w:p>
        <w:p>
          <w:pPr>
            <w:pStyle w:val="12"/>
            <w:tabs>
              <w:tab w:val="right" w:leader="dot" w:pos="8306"/>
            </w:tabs>
            <w:ind w:left="440" w:firstLine="440"/>
          </w:pPr>
          <w:r>
            <w:fldChar w:fldCharType="begin"/>
          </w:r>
          <w:r>
            <w:instrText xml:space="preserve"> HYPERLINK \l "_Toc25896" </w:instrText>
          </w:r>
          <w:r>
            <w:fldChar w:fldCharType="separate"/>
          </w:r>
          <w:r>
            <w:t>11.2 收入与成本预测</w:t>
          </w:r>
          <w:r>
            <w:tab/>
          </w:r>
          <w:r>
            <w:fldChar w:fldCharType="begin"/>
          </w:r>
          <w:r>
            <w:instrText xml:space="preserve"> PAGEREF _Toc25896 \h </w:instrText>
          </w:r>
          <w:r>
            <w:fldChar w:fldCharType="separate"/>
          </w:r>
          <w:r>
            <w:t>18</w:t>
          </w:r>
          <w:r>
            <w:fldChar w:fldCharType="end"/>
          </w:r>
          <w:r>
            <w:fldChar w:fldCharType="end"/>
          </w:r>
        </w:p>
        <w:p>
          <w:pPr>
            <w:pStyle w:val="12"/>
            <w:tabs>
              <w:tab w:val="right" w:leader="dot" w:pos="8306"/>
            </w:tabs>
            <w:ind w:left="440" w:firstLine="440"/>
          </w:pPr>
          <w:r>
            <w:fldChar w:fldCharType="begin"/>
          </w:r>
          <w:r>
            <w:instrText xml:space="preserve"> HYPERLINK \l "_Toc9086" </w:instrText>
          </w:r>
          <w:r>
            <w:fldChar w:fldCharType="separate"/>
          </w:r>
          <w:r>
            <w:t>11.3 关键财务指标</w:t>
          </w:r>
          <w:r>
            <w:tab/>
          </w:r>
          <w:r>
            <w:fldChar w:fldCharType="begin"/>
          </w:r>
          <w:r>
            <w:instrText xml:space="preserve"> PAGEREF _Toc9086 \h </w:instrText>
          </w:r>
          <w:r>
            <w:fldChar w:fldCharType="separate"/>
          </w:r>
          <w:r>
            <w:t>19</w:t>
          </w:r>
          <w:r>
            <w:fldChar w:fldCharType="end"/>
          </w:r>
          <w:r>
            <w:fldChar w:fldCharType="end"/>
          </w:r>
        </w:p>
        <w:p>
          <w:pPr>
            <w:pStyle w:val="10"/>
            <w:tabs>
              <w:tab w:val="right" w:leader="dot" w:pos="8306"/>
            </w:tabs>
            <w:ind w:firstLine="440"/>
          </w:pPr>
          <w:r>
            <w:fldChar w:fldCharType="begin"/>
          </w:r>
          <w:r>
            <w:instrText xml:space="preserve"> HYPERLINK \l "_Toc16987" </w:instrText>
          </w:r>
          <w:r>
            <w:fldChar w:fldCharType="separate"/>
          </w:r>
          <w:r>
            <w:t>第十二章  财务风险管理</w:t>
          </w:r>
          <w:r>
            <w:tab/>
          </w:r>
          <w:r>
            <w:fldChar w:fldCharType="begin"/>
          </w:r>
          <w:r>
            <w:instrText xml:space="preserve"> PAGEREF _Toc16987 \h </w:instrText>
          </w:r>
          <w:r>
            <w:fldChar w:fldCharType="separate"/>
          </w:r>
          <w:r>
            <w:t>19</w:t>
          </w:r>
          <w:r>
            <w:fldChar w:fldCharType="end"/>
          </w:r>
          <w:r>
            <w:fldChar w:fldCharType="end"/>
          </w:r>
        </w:p>
        <w:p>
          <w:pPr>
            <w:pStyle w:val="12"/>
            <w:tabs>
              <w:tab w:val="right" w:leader="dot" w:pos="8306"/>
            </w:tabs>
            <w:ind w:left="440" w:firstLine="440"/>
          </w:pPr>
          <w:r>
            <w:fldChar w:fldCharType="begin"/>
          </w:r>
          <w:r>
            <w:instrText xml:space="preserve"> HYPERLINK \l "_Toc26523" </w:instrText>
          </w:r>
          <w:r>
            <w:fldChar w:fldCharType="separate"/>
          </w:r>
          <w:r>
            <w:t>12.1 财务风险识别</w:t>
          </w:r>
          <w:r>
            <w:tab/>
          </w:r>
          <w:r>
            <w:fldChar w:fldCharType="begin"/>
          </w:r>
          <w:r>
            <w:instrText xml:space="preserve"> PAGEREF _Toc26523 \h </w:instrText>
          </w:r>
          <w:r>
            <w:fldChar w:fldCharType="separate"/>
          </w:r>
          <w:r>
            <w:t>19</w:t>
          </w:r>
          <w:r>
            <w:fldChar w:fldCharType="end"/>
          </w:r>
          <w:r>
            <w:fldChar w:fldCharType="end"/>
          </w:r>
        </w:p>
        <w:p>
          <w:pPr>
            <w:pStyle w:val="12"/>
            <w:tabs>
              <w:tab w:val="right" w:leader="dot" w:pos="8306"/>
            </w:tabs>
            <w:ind w:left="440" w:firstLine="440"/>
          </w:pPr>
          <w:r>
            <w:fldChar w:fldCharType="begin"/>
          </w:r>
          <w:r>
            <w:instrText xml:space="preserve"> HYPERLINK \l "_Toc1024" </w:instrText>
          </w:r>
          <w:r>
            <w:fldChar w:fldCharType="separate"/>
          </w:r>
          <w:r>
            <w:t>12.2 敏感性分析</w:t>
          </w:r>
          <w:r>
            <w:tab/>
          </w:r>
          <w:r>
            <w:fldChar w:fldCharType="begin"/>
          </w:r>
          <w:r>
            <w:instrText xml:space="preserve"> PAGEREF _Toc1024 \h </w:instrText>
          </w:r>
          <w:r>
            <w:fldChar w:fldCharType="separate"/>
          </w:r>
          <w:r>
            <w:t>20</w:t>
          </w:r>
          <w:r>
            <w:fldChar w:fldCharType="end"/>
          </w:r>
          <w:r>
            <w:fldChar w:fldCharType="end"/>
          </w:r>
        </w:p>
        <w:p>
          <w:pPr>
            <w:pStyle w:val="12"/>
            <w:tabs>
              <w:tab w:val="right" w:leader="dot" w:pos="8306"/>
            </w:tabs>
            <w:ind w:left="440" w:firstLine="440"/>
          </w:pPr>
          <w:r>
            <w:fldChar w:fldCharType="begin"/>
          </w:r>
          <w:r>
            <w:instrText xml:space="preserve"> HYPERLINK \l "_Toc5456" </w:instrText>
          </w:r>
          <w:r>
            <w:fldChar w:fldCharType="separate"/>
          </w:r>
          <w:r>
            <w:t>12.3 财务风险管理建议</w:t>
          </w:r>
          <w:r>
            <w:tab/>
          </w:r>
          <w:r>
            <w:fldChar w:fldCharType="begin"/>
          </w:r>
          <w:r>
            <w:instrText xml:space="preserve"> PAGEREF _Toc5456 \h </w:instrText>
          </w:r>
          <w:r>
            <w:fldChar w:fldCharType="separate"/>
          </w:r>
          <w:r>
            <w:t>20</w:t>
          </w:r>
          <w:r>
            <w:fldChar w:fldCharType="end"/>
          </w:r>
          <w:r>
            <w:fldChar w:fldCharType="end"/>
          </w:r>
        </w:p>
        <w:p>
          <w:pPr>
            <w:pStyle w:val="10"/>
            <w:tabs>
              <w:tab w:val="right" w:leader="dot" w:pos="8306"/>
            </w:tabs>
            <w:ind w:firstLine="440"/>
          </w:pPr>
          <w:r>
            <w:fldChar w:fldCharType="begin"/>
          </w:r>
          <w:r>
            <w:instrText xml:space="preserve"> HYPERLINK \l "_Toc19733" </w:instrText>
          </w:r>
          <w:r>
            <w:fldChar w:fldCharType="separate"/>
          </w:r>
          <w:r>
            <w:rPr>
              <w:rFonts w:hint="eastAsia" w:ascii="宋体" w:hAnsi="宋体" w:eastAsia="宋体" w:cs="宋体"/>
            </w:rPr>
            <w:t>附</w:t>
          </w:r>
          <w:r>
            <w:t>录：文档参考与数据来源</w:t>
          </w:r>
          <w:r>
            <w:tab/>
          </w:r>
          <w:r>
            <w:fldChar w:fldCharType="begin"/>
          </w:r>
          <w:r>
            <w:instrText xml:space="preserve"> PAGEREF _Toc19733 \h </w:instrText>
          </w:r>
          <w:r>
            <w:fldChar w:fldCharType="separate"/>
          </w:r>
          <w:r>
            <w:t>21</w:t>
          </w:r>
          <w:r>
            <w:fldChar w:fldCharType="end"/>
          </w:r>
          <w:r>
            <w:fldChar w:fldCharType="end"/>
          </w:r>
        </w:p>
        <w:p>
          <w:pPr>
            <w:pStyle w:val="12"/>
            <w:tabs>
              <w:tab w:val="right" w:leader="dot" w:pos="8306"/>
            </w:tabs>
            <w:ind w:left="440" w:firstLine="440"/>
          </w:pPr>
          <w:r>
            <w:fldChar w:fldCharType="begin"/>
          </w:r>
          <w:r>
            <w:instrText xml:space="preserve"> HYPERLINK \l "_Toc17685" </w:instrText>
          </w:r>
          <w:r>
            <w:fldChar w:fldCharType="separate"/>
          </w:r>
          <w:r>
            <w:t>A. 项目文档清单</w:t>
          </w:r>
          <w:r>
            <w:tab/>
          </w:r>
          <w:r>
            <w:fldChar w:fldCharType="begin"/>
          </w:r>
          <w:r>
            <w:instrText xml:space="preserve"> PAGEREF _Toc17685 \h </w:instrText>
          </w:r>
          <w:r>
            <w:fldChar w:fldCharType="separate"/>
          </w:r>
          <w:r>
            <w:t>21</w:t>
          </w:r>
          <w:r>
            <w:fldChar w:fldCharType="end"/>
          </w:r>
          <w:r>
            <w:fldChar w:fldCharType="end"/>
          </w:r>
        </w:p>
        <w:p>
          <w:pPr>
            <w:pStyle w:val="12"/>
            <w:tabs>
              <w:tab w:val="right" w:leader="dot" w:pos="8306"/>
            </w:tabs>
            <w:ind w:left="440" w:firstLine="440"/>
          </w:pPr>
          <w:r>
            <w:fldChar w:fldCharType="begin"/>
          </w:r>
          <w:r>
            <w:instrText xml:space="preserve"> HYPERLINK \l "_Toc6106" </w:instrText>
          </w:r>
          <w:r>
            <w:fldChar w:fldCharType="separate"/>
          </w:r>
          <w:r>
            <w:t>B. 标准与数据来源</w:t>
          </w:r>
          <w:r>
            <w:tab/>
          </w:r>
          <w:r>
            <w:fldChar w:fldCharType="begin"/>
          </w:r>
          <w:r>
            <w:instrText xml:space="preserve"> PAGEREF _Toc6106 \h </w:instrText>
          </w:r>
          <w:r>
            <w:fldChar w:fldCharType="separate"/>
          </w:r>
          <w:r>
            <w:t>21</w:t>
          </w:r>
          <w:r>
            <w:fldChar w:fldCharType="end"/>
          </w:r>
          <w:r>
            <w:fldChar w:fldCharType="end"/>
          </w:r>
        </w:p>
        <w:p>
          <w:pPr>
            <w:pStyle w:val="12"/>
            <w:tabs>
              <w:tab w:val="right" w:leader="dot" w:pos="8306"/>
            </w:tabs>
            <w:ind w:left="440" w:firstLine="440"/>
          </w:pPr>
          <w:r>
            <w:fldChar w:fldCharType="begin"/>
          </w:r>
          <w:r>
            <w:instrText xml:space="preserve"> HYPERLINK \l "_Toc25902" </w:instrText>
          </w:r>
          <w:r>
            <w:fldChar w:fldCharType="separate"/>
          </w:r>
          <w:r>
            <w:t>C. 缩略语表</w:t>
          </w:r>
          <w:r>
            <w:tab/>
          </w:r>
          <w:r>
            <w:fldChar w:fldCharType="begin"/>
          </w:r>
          <w:r>
            <w:instrText xml:space="preserve"> PAGEREF _Toc25902 \h </w:instrText>
          </w:r>
          <w:r>
            <w:fldChar w:fldCharType="separate"/>
          </w:r>
          <w:r>
            <w:t>21</w:t>
          </w:r>
          <w:r>
            <w:fldChar w:fldCharType="end"/>
          </w:r>
          <w:r>
            <w:fldChar w:fldCharType="end"/>
          </w:r>
        </w:p>
        <w:p>
          <w:pPr>
            <w:pStyle w:val="12"/>
            <w:tabs>
              <w:tab w:val="right" w:leader="dot" w:pos="8306"/>
            </w:tabs>
            <w:ind w:left="440" w:firstLine="440"/>
          </w:pPr>
          <w:r>
            <w:fldChar w:fldCharType="begin"/>
          </w:r>
          <w:r>
            <w:instrText xml:space="preserve"> HYPERLINK \l "_Toc2684" </w:instrText>
          </w:r>
          <w:r>
            <w:fldChar w:fldCharType="separate"/>
          </w:r>
          <w:r>
            <w:rPr>
              <w:szCs w:val="28"/>
            </w:rPr>
            <w:t xml:space="preserve">D </w:t>
          </w:r>
          <w:r>
            <w:rPr>
              <w:rFonts w:hint="eastAsia" w:eastAsia="宋体"/>
              <w:szCs w:val="28"/>
            </w:rPr>
            <w:t>.</w:t>
          </w:r>
          <w:r>
            <w:rPr>
              <w:szCs w:val="28"/>
            </w:rPr>
            <w:t>甘特图</w:t>
          </w:r>
          <w:r>
            <w:tab/>
          </w:r>
          <w:r>
            <w:fldChar w:fldCharType="begin"/>
          </w:r>
          <w:r>
            <w:instrText xml:space="preserve"> PAGEREF _Toc2684 \h </w:instrText>
          </w:r>
          <w:r>
            <w:fldChar w:fldCharType="separate"/>
          </w:r>
          <w:r>
            <w:t>22</w:t>
          </w:r>
          <w:r>
            <w:fldChar w:fldCharType="end"/>
          </w:r>
          <w:r>
            <w:fldChar w:fldCharType="end"/>
          </w:r>
        </w:p>
        <w:p>
          <w:pPr>
            <w:pStyle w:val="12"/>
            <w:tabs>
              <w:tab w:val="right" w:leader="dot" w:pos="8306"/>
            </w:tabs>
            <w:ind w:left="440" w:firstLine="440"/>
          </w:pPr>
          <w:r>
            <w:fldChar w:fldCharType="begin"/>
          </w:r>
          <w:r>
            <w:instrText xml:space="preserve"> HYPERLINK \l "_Toc6178" </w:instrText>
          </w:r>
          <w:r>
            <w:fldChar w:fldCharType="separate"/>
          </w:r>
          <w:r>
            <w:rPr>
              <w:szCs w:val="28"/>
            </w:rPr>
            <w:t xml:space="preserve">E </w:t>
          </w:r>
          <w:r>
            <w:rPr>
              <w:rFonts w:hint="eastAsia" w:eastAsia="宋体"/>
              <w:szCs w:val="28"/>
            </w:rPr>
            <w:t>.</w:t>
          </w:r>
          <w:r>
            <w:rPr>
              <w:szCs w:val="28"/>
            </w:rPr>
            <w:t>人时统计</w:t>
          </w:r>
          <w:r>
            <w:tab/>
          </w:r>
          <w:r>
            <w:fldChar w:fldCharType="begin"/>
          </w:r>
          <w:r>
            <w:instrText xml:space="preserve"> PAGEREF _Toc6178 \h </w:instrText>
          </w:r>
          <w:r>
            <w:fldChar w:fldCharType="separate"/>
          </w:r>
          <w:r>
            <w:t>23</w:t>
          </w:r>
          <w:r>
            <w:fldChar w:fldCharType="end"/>
          </w:r>
          <w:r>
            <w:fldChar w:fldCharType="end"/>
          </w:r>
        </w:p>
        <w:p>
          <w:pPr>
            <w:pStyle w:val="12"/>
            <w:tabs>
              <w:tab w:val="right" w:leader="dot" w:pos="8306"/>
            </w:tabs>
            <w:ind w:left="440" w:firstLine="440"/>
          </w:pPr>
          <w:r>
            <w:fldChar w:fldCharType="begin"/>
          </w:r>
          <w:r>
            <w:instrText xml:space="preserve"> HYPERLINK \l "_Toc17967" </w:instrText>
          </w:r>
          <w:r>
            <w:fldChar w:fldCharType="separate"/>
          </w:r>
          <w:r>
            <w:rPr>
              <w:szCs w:val="28"/>
            </w:rPr>
            <w:t xml:space="preserve">F </w:t>
          </w:r>
          <w:r>
            <w:rPr>
              <w:rFonts w:hint="eastAsia" w:eastAsia="宋体"/>
              <w:szCs w:val="28"/>
            </w:rPr>
            <w:t>.</w:t>
          </w:r>
          <w:r>
            <w:rPr>
              <w:szCs w:val="28"/>
            </w:rPr>
            <w:t>会议纪要</w:t>
          </w:r>
          <w:r>
            <w:tab/>
          </w:r>
          <w:r>
            <w:fldChar w:fldCharType="begin"/>
          </w:r>
          <w:r>
            <w:instrText xml:space="preserve"> PAGEREF _Toc17967 \h </w:instrText>
          </w:r>
          <w:r>
            <w:fldChar w:fldCharType="separate"/>
          </w:r>
          <w:r>
            <w:t>25</w:t>
          </w:r>
          <w:r>
            <w:fldChar w:fldCharType="end"/>
          </w:r>
          <w:r>
            <w:fldChar w:fldCharType="end"/>
          </w:r>
        </w:p>
        <w:p>
          <w:pPr>
            <w:ind w:firstLine="440"/>
            <w:rPr>
              <w:bCs/>
              <w:lang w:val="zh-CN"/>
            </w:rPr>
          </w:pPr>
          <w:r>
            <w:rPr>
              <w:bCs/>
              <w:lang w:val="zh-CN"/>
            </w:rPr>
            <w:fldChar w:fldCharType="end"/>
          </w:r>
        </w:p>
        <w:p>
          <w:pPr>
            <w:ind w:firstLine="440"/>
            <w:rPr>
              <w:bCs/>
              <w:lang w:val="zh-CN"/>
            </w:rPr>
          </w:pPr>
        </w:p>
        <w:p>
          <w:pPr>
            <w:ind w:firstLine="440"/>
            <w:rPr>
              <w:bCs/>
              <w:lang w:val="zh-CN"/>
            </w:rPr>
          </w:pPr>
        </w:p>
        <w:p>
          <w:pPr>
            <w:ind w:firstLine="440"/>
            <w:rPr>
              <w:bCs/>
              <w:lang w:val="zh-CN"/>
            </w:rPr>
          </w:pPr>
        </w:p>
        <w:p>
          <w:pPr>
            <w:ind w:firstLine="440"/>
            <w:rPr>
              <w:bCs/>
              <w:lang w:val="zh-CN"/>
            </w:rPr>
          </w:pPr>
        </w:p>
        <w:p>
          <w:pPr>
            <w:ind w:firstLine="440"/>
            <w:rPr>
              <w:bCs/>
              <w:lang w:val="zh-CN"/>
            </w:rPr>
          </w:pPr>
        </w:p>
        <w:p>
          <w:pPr>
            <w:ind w:firstLine="440"/>
            <w:rPr>
              <w:bCs/>
              <w:lang w:val="zh-CN"/>
            </w:rPr>
          </w:pPr>
        </w:p>
        <w:p>
          <w:pPr>
            <w:ind w:firstLine="440"/>
            <w:rPr>
              <w:bCs/>
              <w:lang w:val="zh-CN"/>
            </w:rPr>
          </w:pPr>
        </w:p>
        <w:p>
          <w:pPr>
            <w:ind w:firstLine="440"/>
            <w:rPr>
              <w:bCs/>
              <w:lang w:val="zh-CN"/>
            </w:rPr>
          </w:pPr>
        </w:p>
        <w:p>
          <w:pPr>
            <w:ind w:firstLine="440"/>
            <w:rPr>
              <w:bCs/>
              <w:lang w:val="zh-CN"/>
            </w:rPr>
          </w:pPr>
        </w:p>
        <w:p>
          <w:pPr>
            <w:ind w:firstLine="440"/>
            <w:rPr>
              <w:rFonts w:hint="eastAsia"/>
              <w:bCs/>
              <w:lang w:val="zh-CN"/>
            </w:rPr>
          </w:pPr>
        </w:p>
        <w:p>
          <w:pPr>
            <w:ind w:firstLine="440"/>
          </w:pPr>
        </w:p>
      </w:sdtContent>
    </w:sdt>
    <w:p>
      <w:pPr>
        <w:pStyle w:val="2"/>
        <w:pBdr>
          <w:bottom w:val="single" w:color="2E75B6" w:sz="8" w:space="6"/>
        </w:pBdr>
      </w:pPr>
      <w:bookmarkStart w:id="0" w:name="_Toc1531"/>
      <w:r>
        <w:t>执行摘要</w:t>
      </w:r>
      <w:bookmarkEnd w:id="0"/>
    </w:p>
    <w:p>
      <w:pPr>
        <w:spacing w:before="60" w:after="100" w:line="320" w:lineRule="auto"/>
        <w:ind w:firstLine="440"/>
        <w:jc w:val="both"/>
      </w:pPr>
      <w:r>
        <w:rPr>
          <w:rFonts w:eastAsia="Arial"/>
          <w:color w:val="1A1A1A"/>
        </w:rPr>
        <w:t>本报告针对同济大学软件工程专业课程项目——石材幕墙污渍检测系统，从项目管理与经济分析两个维度进行系统性评估与总结。该系统基于YOLO系列深度学习模型与计算机视觉技术，旨在以自动化手段替代传统人工巡检模式，实现石材幕墙污渍的快速、精准检测。</w:t>
      </w:r>
    </w:p>
    <w:p>
      <w:pPr>
        <w:spacing w:before="60" w:after="100" w:line="320" w:lineRule="auto"/>
        <w:ind w:firstLine="440"/>
        <w:jc w:val="both"/>
      </w:pPr>
      <w:r>
        <w:rPr>
          <w:rFonts w:eastAsia="Arial"/>
          <w:color w:val="1A1A1A"/>
        </w:rPr>
        <w:t>在项目管理层面，报告涵盖项目范围界定、项目计划制定、过程监控与控制、过程改进、风险管理以及项目收尾等完整生命周期管理内容。在经济分析层面，报告基于IFPUG功能点法完成软件规模估算（AFP=21），采用GB/T 36964标准进行成本估算（约24,546元），并结合COCOMO II模型进行交叉验证（约27,082元），差异仅10.4%，结果可信。</w:t>
      </w:r>
    </w:p>
    <w:p>
      <w:pPr>
        <w:spacing w:before="60" w:after="100" w:line="320" w:lineRule="auto"/>
        <w:ind w:firstLine="440"/>
        <w:jc w:val="both"/>
      </w:pPr>
      <w:r>
        <w:rPr>
          <w:rFonts w:eastAsia="Arial"/>
          <w:color w:val="1A1A1A"/>
        </w:rPr>
        <w:t>综合分析表明，本项目在技术可行性、经济合理性和社会价值方面均具有显著优势。通过自动化检测，预计可减少80%的人工巡检工作量，数据处理效率提升50%以上，投资回收期估计在1.5年以内，具备良好的推广应用前景。</w:t>
      </w:r>
    </w:p>
    <w:p>
      <w:pPr>
        <w:spacing w:before="120"/>
        <w:ind w:firstLine="440"/>
      </w:pPr>
    </w:p>
    <w:tbl>
      <w:tblPr>
        <w:tblStyle w:val="14"/>
        <w:tblW w:w="830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76"/>
        <w:gridCol w:w="2177"/>
        <w:gridCol w:w="1975"/>
        <w:gridCol w:w="207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76"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软件规模 (AFP)</w:t>
            </w:r>
          </w:p>
        </w:tc>
        <w:tc>
          <w:tcPr>
            <w:tcW w:w="2177"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估算成本</w:t>
            </w:r>
          </w:p>
        </w:tc>
        <w:tc>
          <w:tcPr>
            <w:tcW w:w="1975"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开发工期</w:t>
            </w:r>
          </w:p>
        </w:tc>
        <w:tc>
          <w:tcPr>
            <w:tcW w:w="2078"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团队规模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76" w:type="dxa"/>
            <w:tcBorders>
              <w:top w:val="single" w:color="BFBFBF" w:sz="0" w:space="0"/>
              <w:left w:val="single" w:color="BFBFBF" w:sz="0" w:space="0"/>
              <w:bottom w:val="single" w:color="BFBFBF" w:sz="0" w:space="0"/>
              <w:right w:val="single" w:color="BFBFBF" w:sz="0" w:space="0"/>
            </w:tcBorders>
            <w:shd w:val="clear" w:color="auto" w:fill="D6E4F0"/>
            <w:tcMar>
              <w:top w:w="120" w:type="dxa"/>
              <w:left w:w="120" w:type="dxa"/>
              <w:bottom w:w="120" w:type="dxa"/>
              <w:right w:w="120" w:type="dxa"/>
            </w:tcMar>
          </w:tcPr>
          <w:p>
            <w:pPr>
              <w:ind w:firstLine="0" w:firstLineChars="0"/>
              <w:jc w:val="center"/>
            </w:pPr>
            <w:r>
              <w:rPr>
                <w:rFonts w:eastAsia="Arial"/>
                <w:b/>
                <w:bCs/>
                <w:color w:val="1F4E79"/>
                <w:sz w:val="32"/>
                <w:szCs w:val="32"/>
              </w:rPr>
              <w:t>21 FP</w:t>
            </w:r>
          </w:p>
        </w:tc>
        <w:tc>
          <w:tcPr>
            <w:tcW w:w="2177" w:type="dxa"/>
            <w:tcBorders>
              <w:top w:val="single" w:color="BFBFBF" w:sz="0" w:space="0"/>
              <w:left w:val="single" w:color="BFBFBF" w:sz="0" w:space="0"/>
              <w:bottom w:val="single" w:color="BFBFBF" w:sz="0" w:space="0"/>
              <w:right w:val="single" w:color="BFBFBF" w:sz="0" w:space="0"/>
            </w:tcBorders>
            <w:shd w:val="clear" w:color="auto" w:fill="D6E4F0"/>
            <w:tcMar>
              <w:top w:w="120" w:type="dxa"/>
              <w:left w:w="120" w:type="dxa"/>
              <w:bottom w:w="120" w:type="dxa"/>
              <w:right w:w="120" w:type="dxa"/>
            </w:tcMar>
          </w:tcPr>
          <w:p>
            <w:pPr>
              <w:ind w:firstLine="0" w:firstLineChars="0"/>
              <w:jc w:val="center"/>
            </w:pPr>
            <w:r>
              <w:rPr>
                <w:rFonts w:eastAsia="Arial"/>
                <w:b/>
                <w:bCs/>
                <w:color w:val="1F4E79"/>
                <w:sz w:val="32"/>
                <w:szCs w:val="32"/>
              </w:rPr>
              <w:t>~2.5万元</w:t>
            </w:r>
          </w:p>
        </w:tc>
        <w:tc>
          <w:tcPr>
            <w:tcW w:w="1975" w:type="dxa"/>
            <w:tcBorders>
              <w:top w:val="single" w:color="BFBFBF" w:sz="0" w:space="0"/>
              <w:left w:val="single" w:color="BFBFBF" w:sz="0" w:space="0"/>
              <w:bottom w:val="single" w:color="BFBFBF" w:sz="0" w:space="0"/>
              <w:right w:val="single" w:color="BFBFBF" w:sz="0" w:space="0"/>
            </w:tcBorders>
            <w:shd w:val="clear" w:color="auto" w:fill="D6E4F0"/>
            <w:tcMar>
              <w:top w:w="120" w:type="dxa"/>
              <w:left w:w="120" w:type="dxa"/>
              <w:bottom w:w="120" w:type="dxa"/>
              <w:right w:w="120" w:type="dxa"/>
            </w:tcMar>
          </w:tcPr>
          <w:p>
            <w:pPr>
              <w:ind w:firstLine="0" w:firstLineChars="0"/>
              <w:jc w:val="center"/>
            </w:pPr>
            <w:r>
              <w:rPr>
                <w:rFonts w:eastAsia="Arial"/>
                <w:b/>
                <w:bCs/>
                <w:color w:val="1F4E79"/>
                <w:sz w:val="32"/>
                <w:szCs w:val="32"/>
              </w:rPr>
              <w:t>12周</w:t>
            </w:r>
          </w:p>
        </w:tc>
        <w:tc>
          <w:tcPr>
            <w:tcW w:w="2078" w:type="dxa"/>
            <w:tcBorders>
              <w:top w:val="single" w:color="BFBFBF" w:sz="0" w:space="0"/>
              <w:left w:val="single" w:color="BFBFBF" w:sz="0" w:space="0"/>
              <w:bottom w:val="single" w:color="BFBFBF" w:sz="0" w:space="0"/>
              <w:right w:val="single" w:color="BFBFBF" w:sz="0" w:space="0"/>
            </w:tcBorders>
            <w:shd w:val="clear" w:color="auto" w:fill="D6E4F0"/>
            <w:tcMar>
              <w:top w:w="120" w:type="dxa"/>
              <w:left w:w="120" w:type="dxa"/>
              <w:bottom w:w="120" w:type="dxa"/>
              <w:right w:w="120" w:type="dxa"/>
            </w:tcMar>
          </w:tcPr>
          <w:p>
            <w:pPr>
              <w:ind w:firstLine="0" w:firstLineChars="0"/>
              <w:jc w:val="center"/>
            </w:pPr>
            <w:r>
              <w:rPr>
                <w:rFonts w:eastAsia="Arial"/>
                <w:b/>
                <w:bCs/>
                <w:color w:val="1F4E79"/>
                <w:sz w:val="32"/>
                <w:szCs w:val="32"/>
              </w:rPr>
              <w:t>2人</w:t>
            </w:r>
          </w:p>
        </w:tc>
      </w:tr>
    </w:tbl>
    <w:p>
      <w:pPr>
        <w:ind w:firstLine="440"/>
      </w:pPr>
    </w:p>
    <w:p>
      <w:pPr>
        <w:pStyle w:val="2"/>
        <w:pBdr>
          <w:bottom w:val="single" w:color="2E75B6" w:sz="8" w:space="6"/>
        </w:pBdr>
      </w:pPr>
      <w:bookmarkStart w:id="1" w:name="_Toc26017"/>
      <w:r>
        <w:t>第一章  项目范围管理</w:t>
      </w:r>
      <w:bookmarkEnd w:id="1"/>
    </w:p>
    <w:p>
      <w:pPr>
        <w:pStyle w:val="3"/>
      </w:pPr>
      <w:bookmarkStart w:id="2" w:name="_Toc22924"/>
      <w:r>
        <w:t>1.1 项目背景与问题识别</w:t>
      </w:r>
      <w:bookmarkEnd w:id="2"/>
    </w:p>
    <w:p>
      <w:pPr>
        <w:spacing w:before="60" w:after="100" w:line="320" w:lineRule="auto"/>
        <w:ind w:firstLine="440"/>
        <w:jc w:val="both"/>
      </w:pPr>
      <w:r>
        <w:rPr>
          <w:rFonts w:eastAsia="Arial"/>
          <w:color w:val="1A1A1A"/>
        </w:rPr>
        <w:t>随着现代建筑中石材幕墙的广泛应用，其表面因气候变化、环境污染及建筑使用等因素极易积累污渍，不仅严重影响建筑外观美感，还可能损害幕墙的隔热、隔音、抗风压等核心功能，缩短其使用寿命。传统人工巡检模式在效率、成本与安全性三方面均面临明显瓶颈。</w:t>
      </w:r>
    </w:p>
    <w:p>
      <w:pPr>
        <w:spacing w:before="60" w:after="100" w:line="320" w:lineRule="auto"/>
        <w:ind w:firstLine="440"/>
        <w:jc w:val="both"/>
      </w:pPr>
      <w:r>
        <w:rPr>
          <w:rFonts w:eastAsia="Arial"/>
          <w:color w:val="1A1A1A"/>
        </w:rPr>
        <w:t>本项目定位于同济大学计算机科学与技术学院智慧幕墙大系统下的"污渍检测子系统"，旨在利用计算机视觉与YOLO系列深度学习技术，构建一套自动化、智能化的检测解决方案。项目属于全新开发类型，不基于往届成果进行增量改进，而是从零搭建可替代性的检测子系统，并确保所训练的YOLO模型可供其他子系统复用。</w:t>
      </w:r>
    </w:p>
    <w:p>
      <w:pPr>
        <w:pStyle w:val="3"/>
      </w:pPr>
      <w:bookmarkStart w:id="3" w:name="_Toc26341"/>
      <w:r>
        <w:t>1.2 项目范围说明书</w:t>
      </w:r>
      <w:bookmarkEnd w:id="3"/>
    </w:p>
    <w:p>
      <w:pPr>
        <w:pStyle w:val="4"/>
      </w:pPr>
      <w:bookmarkStart w:id="4" w:name="_Toc24189"/>
      <w:r>
        <w:t>1.2.1 范围内工作</w:t>
      </w:r>
      <w:bookmarkEnd w:id="4"/>
    </w:p>
    <w:p>
      <w:pPr>
        <w:spacing w:before="60" w:after="100" w:line="320" w:lineRule="auto"/>
        <w:ind w:firstLine="440"/>
        <w:jc w:val="both"/>
      </w:pPr>
      <w:r>
        <w:rPr>
          <w:rFonts w:eastAsia="Arial"/>
          <w:color w:val="1A1A1A"/>
        </w:rPr>
        <w:t>本项目明确纳入以下工作内容：</w:t>
      </w:r>
    </w:p>
    <w:p>
      <w:pPr>
        <w:pStyle w:val="20"/>
        <w:numPr>
          <w:ilvl w:val="0"/>
          <w:numId w:val="1"/>
        </w:numPr>
        <w:spacing w:before="40" w:after="40" w:line="300" w:lineRule="auto"/>
      </w:pPr>
      <w:r>
        <w:rPr>
          <w:rFonts w:eastAsia="Arial"/>
          <w:color w:val="1A1A1A"/>
        </w:rPr>
        <w:t>核心功能开发：石材幕墙污渍检测模块（基于YOLO系列模型）；图像预处理算法（尺寸统一、对比度增强、非局部均值去噪）；污渍占比计算（基于像素面积）</w:t>
      </w:r>
    </w:p>
    <w:p>
      <w:pPr>
        <w:pStyle w:val="20"/>
        <w:numPr>
          <w:ilvl w:val="0"/>
          <w:numId w:val="1"/>
        </w:numPr>
        <w:spacing w:before="40" w:after="40" w:line="300" w:lineRule="auto"/>
      </w:pPr>
      <w:r>
        <w:rPr>
          <w:rFonts w:eastAsia="Arial"/>
          <w:color w:val="1A1A1A"/>
        </w:rPr>
        <w:t>Web应用开发：前端基于Vue3框架，后端基于FastAPI框架，实现前后端分离架构</w:t>
      </w:r>
    </w:p>
    <w:p>
      <w:pPr>
        <w:pStyle w:val="20"/>
        <w:numPr>
          <w:ilvl w:val="0"/>
          <w:numId w:val="1"/>
        </w:numPr>
        <w:spacing w:before="40" w:after="40" w:line="300" w:lineRule="auto"/>
      </w:pPr>
      <w:r>
        <w:rPr>
          <w:rFonts w:eastAsia="Arial"/>
          <w:color w:val="1A1A1A"/>
        </w:rPr>
        <w:t>数据存储与管理：基于MySQL的结构化元数据存储；基于阿里云OSS的图像文件存储与访问</w:t>
      </w:r>
    </w:p>
    <w:p>
      <w:pPr>
        <w:pStyle w:val="20"/>
        <w:numPr>
          <w:ilvl w:val="0"/>
          <w:numId w:val="1"/>
        </w:numPr>
        <w:spacing w:before="40" w:after="40" w:line="300" w:lineRule="auto"/>
      </w:pPr>
      <w:r>
        <w:rPr>
          <w:rFonts w:eastAsia="Arial"/>
          <w:color w:val="1A1A1A"/>
        </w:rPr>
        <w:t>接口与集成：设计并实现/detect（污渍检测）和/history（历史查询）等RESTful API接口</w:t>
      </w:r>
    </w:p>
    <w:p>
      <w:pPr>
        <w:pStyle w:val="20"/>
        <w:numPr>
          <w:ilvl w:val="0"/>
          <w:numId w:val="1"/>
        </w:numPr>
        <w:spacing w:before="40" w:after="40" w:line="300" w:lineRule="auto"/>
      </w:pPr>
      <w:r>
        <w:rPr>
          <w:rFonts w:eastAsia="Arial"/>
          <w:color w:val="1A1A1A"/>
        </w:rPr>
        <w:t>容器化部署：通过Docker/Docker Compose实现系统集成与一致性部署</w:t>
      </w:r>
    </w:p>
    <w:p>
      <w:pPr>
        <w:pStyle w:val="20"/>
        <w:numPr>
          <w:ilvl w:val="0"/>
          <w:numId w:val="1"/>
        </w:numPr>
        <w:spacing w:before="40" w:after="40" w:line="300" w:lineRule="auto"/>
      </w:pPr>
      <w:r>
        <w:rPr>
          <w:rFonts w:eastAsia="Arial"/>
          <w:color w:val="1A1A1A"/>
        </w:rPr>
        <w:t>用户界面开发：涵盖图像上传、检测启动、结果查看、报告下载、历史查询等核心功能的友好界面</w:t>
      </w:r>
    </w:p>
    <w:p>
      <w:pPr>
        <w:pStyle w:val="20"/>
        <w:numPr>
          <w:ilvl w:val="0"/>
          <w:numId w:val="1"/>
        </w:numPr>
        <w:spacing w:before="40" w:after="40" w:line="300" w:lineRule="auto"/>
      </w:pPr>
      <w:r>
        <w:rPr>
          <w:rFonts w:eastAsia="Arial"/>
          <w:color w:val="1A1A1A"/>
        </w:rPr>
        <w:t>文档输出：SRS、SDS、POS、项目章程、软件规模度量实验报告、软件成本估算实验报告等</w:t>
      </w:r>
    </w:p>
    <w:p>
      <w:pPr>
        <w:pStyle w:val="4"/>
      </w:pPr>
      <w:bookmarkStart w:id="5" w:name="_Toc18430"/>
      <w:r>
        <w:t>1.2.2 范围外工作</w:t>
      </w:r>
      <w:bookmarkEnd w:id="5"/>
    </w:p>
    <w:p>
      <w:pPr>
        <w:pStyle w:val="20"/>
        <w:numPr>
          <w:ilvl w:val="0"/>
          <w:numId w:val="1"/>
        </w:numPr>
        <w:spacing w:before="40" w:after="40" w:line="300" w:lineRule="auto"/>
      </w:pPr>
      <w:r>
        <w:rPr>
          <w:rFonts w:eastAsia="Arial"/>
          <w:color w:val="1A1A1A"/>
        </w:rPr>
        <w:t>硬件设备（检测装备、传感器、GPU服务器硬件）的采购、安装与维护</w:t>
      </w:r>
    </w:p>
    <w:p>
      <w:pPr>
        <w:pStyle w:val="20"/>
        <w:numPr>
          <w:ilvl w:val="0"/>
          <w:numId w:val="1"/>
        </w:numPr>
        <w:spacing w:before="40" w:after="40" w:line="300" w:lineRule="auto"/>
      </w:pPr>
      <w:r>
        <w:rPr>
          <w:rFonts w:eastAsia="Arial"/>
          <w:color w:val="1A1A1A"/>
        </w:rPr>
        <w:t>原有智慧幕墙项目其他子系统前端代码的对接与二次开发</w:t>
      </w:r>
    </w:p>
    <w:p>
      <w:pPr>
        <w:pStyle w:val="20"/>
        <w:numPr>
          <w:ilvl w:val="0"/>
          <w:numId w:val="1"/>
        </w:numPr>
        <w:spacing w:before="40" w:after="40" w:line="300" w:lineRule="auto"/>
      </w:pPr>
      <w:r>
        <w:rPr>
          <w:rFonts w:eastAsia="Arial"/>
          <w:color w:val="1A1A1A"/>
        </w:rPr>
        <w:t>用户管理、权限认证等外部子系统的实现（仅通过API调用）</w:t>
      </w:r>
    </w:p>
    <w:p>
      <w:pPr>
        <w:pStyle w:val="3"/>
      </w:pPr>
      <w:bookmarkStart w:id="6" w:name="_Toc19727"/>
      <w:r>
        <w:t>1.3 可交付成果清单</w:t>
      </w:r>
      <w:bookmarkEnd w:id="6"/>
    </w:p>
    <w:p>
      <w:pPr>
        <w:spacing w:before="80"/>
        <w:ind w:firstLine="440"/>
      </w:pPr>
    </w:p>
    <w:tbl>
      <w:tblPr>
        <w:tblStyle w:val="14"/>
        <w:tblW w:w="830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51"/>
        <w:gridCol w:w="2126"/>
        <w:gridCol w:w="4394"/>
        <w:gridCol w:w="9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851"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序号</w:t>
            </w:r>
          </w:p>
        </w:tc>
        <w:tc>
          <w:tcPr>
            <w:tcW w:w="2126"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交付物名称</w:t>
            </w:r>
          </w:p>
        </w:tc>
        <w:tc>
          <w:tcPr>
            <w:tcW w:w="4394"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描述</w:t>
            </w:r>
          </w:p>
        </w:tc>
        <w:tc>
          <w:tcPr>
            <w:tcW w:w="935"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状态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851"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1</w:t>
            </w:r>
          </w:p>
        </w:tc>
        <w:tc>
          <w:tcPr>
            <w:tcW w:w="2126"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0" w:firstLineChars="0"/>
              <w:jc w:val="center"/>
            </w:pPr>
            <w:r>
              <w:rPr>
                <w:rFonts w:eastAsia="Arial"/>
                <w:b/>
                <w:bCs/>
                <w:color w:val="1A1A1A"/>
                <w:sz w:val="20"/>
                <w:szCs w:val="20"/>
              </w:rPr>
              <w:t>项目定义说明（POS）</w:t>
            </w:r>
          </w:p>
        </w:tc>
        <w:tc>
          <w:tcPr>
            <w:tcW w:w="439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定义项目问题、目标、成功准则及假设风险</w:t>
            </w:r>
          </w:p>
        </w:tc>
        <w:tc>
          <w:tcPr>
            <w:tcW w:w="935"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已完成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851"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2</w:t>
            </w:r>
          </w:p>
        </w:tc>
        <w:tc>
          <w:tcPr>
            <w:tcW w:w="212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b/>
                <w:bCs/>
                <w:color w:val="1A1A1A"/>
                <w:sz w:val="20"/>
                <w:szCs w:val="20"/>
              </w:rPr>
              <w:t>项目章程</w:t>
            </w:r>
          </w:p>
        </w:tc>
        <w:tc>
          <w:tcPr>
            <w:tcW w:w="439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包含项目范围、预算、时间表、MOV及风险矩阵</w:t>
            </w:r>
          </w:p>
        </w:tc>
        <w:tc>
          <w:tcPr>
            <w:tcW w:w="935"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已完成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851"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3</w:t>
            </w:r>
          </w:p>
        </w:tc>
        <w:tc>
          <w:tcPr>
            <w:tcW w:w="2126"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0" w:firstLineChars="0"/>
              <w:jc w:val="center"/>
            </w:pPr>
            <w:r>
              <w:rPr>
                <w:rFonts w:eastAsia="Arial"/>
                <w:b/>
                <w:bCs/>
                <w:color w:val="1A1A1A"/>
                <w:sz w:val="20"/>
                <w:szCs w:val="20"/>
              </w:rPr>
              <w:t>软件需求规格说明（SRS）</w:t>
            </w:r>
          </w:p>
        </w:tc>
        <w:tc>
          <w:tcPr>
            <w:tcW w:w="439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完整用例说明、功能/非功能需求、数据建模</w:t>
            </w:r>
          </w:p>
        </w:tc>
        <w:tc>
          <w:tcPr>
            <w:tcW w:w="935"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已完成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851"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4</w:t>
            </w:r>
          </w:p>
        </w:tc>
        <w:tc>
          <w:tcPr>
            <w:tcW w:w="212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b/>
                <w:bCs/>
                <w:color w:val="1A1A1A"/>
                <w:sz w:val="20"/>
                <w:szCs w:val="20"/>
              </w:rPr>
              <w:t>软件设计规格说明（SDS）</w:t>
            </w:r>
          </w:p>
        </w:tc>
        <w:tc>
          <w:tcPr>
            <w:tcW w:w="439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系统架构、接口设计、数据库设计、组件设计</w:t>
            </w:r>
          </w:p>
        </w:tc>
        <w:tc>
          <w:tcPr>
            <w:tcW w:w="935"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已完成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851"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5</w:t>
            </w:r>
          </w:p>
        </w:tc>
        <w:tc>
          <w:tcPr>
            <w:tcW w:w="2126"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0" w:firstLineChars="0"/>
              <w:jc w:val="center"/>
            </w:pPr>
            <w:r>
              <w:rPr>
                <w:rFonts w:eastAsia="Arial"/>
                <w:b/>
                <w:bCs/>
                <w:color w:val="1A1A1A"/>
                <w:sz w:val="20"/>
                <w:szCs w:val="20"/>
              </w:rPr>
              <w:t>软件规模度量报告</w:t>
            </w:r>
          </w:p>
        </w:tc>
        <w:tc>
          <w:tcPr>
            <w:tcW w:w="439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IFPUG+NESMA双方法度量，UFP=25，AFP=21</w:t>
            </w:r>
          </w:p>
        </w:tc>
        <w:tc>
          <w:tcPr>
            <w:tcW w:w="935"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已完成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851"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6</w:t>
            </w:r>
          </w:p>
        </w:tc>
        <w:tc>
          <w:tcPr>
            <w:tcW w:w="212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b/>
                <w:bCs/>
                <w:color w:val="1A1A1A"/>
                <w:sz w:val="20"/>
                <w:szCs w:val="20"/>
              </w:rPr>
              <w:t>软件成本估算报告</w:t>
            </w:r>
          </w:p>
        </w:tc>
        <w:tc>
          <w:tcPr>
            <w:tcW w:w="439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GB/T 36964 + COCOMO II双方法估算，约2.5万元</w:t>
            </w:r>
          </w:p>
        </w:tc>
        <w:tc>
          <w:tcPr>
            <w:tcW w:w="935"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已完成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851"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7</w:t>
            </w:r>
          </w:p>
        </w:tc>
        <w:tc>
          <w:tcPr>
            <w:tcW w:w="2126"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0" w:firstLineChars="0"/>
              <w:jc w:val="center"/>
            </w:pPr>
            <w:r>
              <w:rPr>
                <w:rFonts w:eastAsia="Arial"/>
                <w:b/>
                <w:bCs/>
                <w:color w:val="1A1A1A"/>
                <w:sz w:val="20"/>
                <w:szCs w:val="20"/>
              </w:rPr>
              <w:t>污渍检测后端服务</w:t>
            </w:r>
          </w:p>
        </w:tc>
        <w:tc>
          <w:tcPr>
            <w:tcW w:w="439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FastAPI后端，含/detect和/history接口</w:t>
            </w:r>
          </w:p>
        </w:tc>
        <w:tc>
          <w:tcPr>
            <w:tcW w:w="935"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已完成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851"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8</w:t>
            </w:r>
          </w:p>
        </w:tc>
        <w:tc>
          <w:tcPr>
            <w:tcW w:w="212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b/>
                <w:bCs/>
                <w:color w:val="1A1A1A"/>
                <w:sz w:val="20"/>
                <w:szCs w:val="20"/>
              </w:rPr>
              <w:t>YOLO检测模型</w:t>
            </w:r>
          </w:p>
        </w:tc>
        <w:tc>
          <w:tcPr>
            <w:tcW w:w="439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经训练优化的污渍/幕墙分割YOLO系列模型</w:t>
            </w:r>
          </w:p>
        </w:tc>
        <w:tc>
          <w:tcPr>
            <w:tcW w:w="935"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已完成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851"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9</w:t>
            </w:r>
          </w:p>
        </w:tc>
        <w:tc>
          <w:tcPr>
            <w:tcW w:w="2126"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0" w:firstLineChars="0"/>
              <w:jc w:val="center"/>
            </w:pPr>
            <w:r>
              <w:rPr>
                <w:rFonts w:eastAsia="Arial"/>
                <w:b/>
                <w:bCs/>
                <w:color w:val="1A1A1A"/>
                <w:sz w:val="20"/>
                <w:szCs w:val="20"/>
              </w:rPr>
              <w:t>Web前端界面</w:t>
            </w:r>
          </w:p>
        </w:tc>
        <w:tc>
          <w:tcPr>
            <w:tcW w:w="439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Vue3前端，含上传、检测、报告、历史查询页</w:t>
            </w:r>
          </w:p>
        </w:tc>
        <w:tc>
          <w:tcPr>
            <w:tcW w:w="935"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已完成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851"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10</w:t>
            </w:r>
          </w:p>
        </w:tc>
        <w:tc>
          <w:tcPr>
            <w:tcW w:w="212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b/>
                <w:bCs/>
                <w:color w:val="1A1A1A"/>
                <w:sz w:val="20"/>
                <w:szCs w:val="20"/>
              </w:rPr>
              <w:t>Docker部署包</w:t>
            </w:r>
          </w:p>
        </w:tc>
        <w:tc>
          <w:tcPr>
            <w:tcW w:w="439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Docker Compose配置，支持一键部署</w:t>
            </w:r>
          </w:p>
        </w:tc>
        <w:tc>
          <w:tcPr>
            <w:tcW w:w="935"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已完成</w:t>
            </w:r>
          </w:p>
        </w:tc>
      </w:tr>
    </w:tbl>
    <w:p>
      <w:pPr>
        <w:ind w:firstLine="440"/>
      </w:pPr>
    </w:p>
    <w:p>
      <w:pPr>
        <w:pStyle w:val="2"/>
        <w:pBdr>
          <w:bottom w:val="single" w:color="2E75B6" w:sz="8" w:space="6"/>
        </w:pBdr>
      </w:pPr>
      <w:bookmarkStart w:id="7" w:name="_Toc8661"/>
      <w:r>
        <w:t>第二章  项目计划</w:t>
      </w:r>
      <w:bookmarkEnd w:id="7"/>
    </w:p>
    <w:p>
      <w:pPr>
        <w:pStyle w:val="3"/>
      </w:pPr>
      <w:bookmarkStart w:id="8" w:name="_Toc15752"/>
      <w:r>
        <w:t>2.1 工作分解结构（WBS）</w:t>
      </w:r>
      <w:bookmarkEnd w:id="8"/>
    </w:p>
    <w:p>
      <w:pPr>
        <w:spacing w:before="60" w:after="100" w:line="320" w:lineRule="auto"/>
        <w:ind w:firstLine="440"/>
        <w:jc w:val="both"/>
        <w:rPr>
          <w:rFonts w:hint="eastAsia"/>
        </w:rPr>
      </w:pPr>
      <w:r>
        <w:rPr>
          <w:rFonts w:eastAsia="Arial"/>
          <w:color w:val="1A1A1A"/>
        </w:rPr>
        <w:t>本项目采用工作分解结构（Work Breakdown Structure）进行任务划分，将整体项目分解为七个主要阶段共计三十余个工作包。各阶段以里程碑节点作为阶段性验收依据。</w:t>
      </w:r>
    </w:p>
    <w:tbl>
      <w:tblPr>
        <w:tblStyle w:val="14"/>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34"/>
        <w:gridCol w:w="1843"/>
        <w:gridCol w:w="4253"/>
        <w:gridCol w:w="107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34"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编号</w:t>
            </w:r>
          </w:p>
        </w:tc>
        <w:tc>
          <w:tcPr>
            <w:tcW w:w="1843"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工作包</w:t>
            </w:r>
          </w:p>
        </w:tc>
        <w:tc>
          <w:tcPr>
            <w:tcW w:w="4253"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主要活动</w:t>
            </w:r>
          </w:p>
        </w:tc>
        <w:tc>
          <w:tcPr>
            <w:tcW w:w="1076"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负责人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3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WP1</w:t>
            </w:r>
          </w:p>
        </w:tc>
        <w:tc>
          <w:tcPr>
            <w:tcW w:w="1843"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0" w:firstLineChars="0"/>
              <w:jc w:val="center"/>
            </w:pPr>
            <w:r>
              <w:rPr>
                <w:rFonts w:eastAsia="Arial"/>
                <w:b/>
                <w:bCs/>
                <w:color w:val="1A1A1A"/>
                <w:sz w:val="20"/>
                <w:szCs w:val="20"/>
              </w:rPr>
              <w:t>需求调研与分析</w:t>
            </w:r>
          </w:p>
        </w:tc>
        <w:tc>
          <w:tcPr>
            <w:tcW w:w="4253"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利益相关方访谈；需求收集与分析；编写POS/SRS/项目章程</w:t>
            </w:r>
          </w:p>
        </w:tc>
        <w:tc>
          <w:tcPr>
            <w:tcW w:w="107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rPr>
                <w:rFonts w:hint="eastAsia"/>
              </w:rPr>
            </w:pPr>
            <w:r>
              <w:rPr>
                <w:rFonts w:eastAsia="Arial"/>
                <w:color w:val="1A1A1A"/>
                <w:sz w:val="20"/>
                <w:szCs w:val="20"/>
              </w:rPr>
              <w:t>于广淳</w:t>
            </w:r>
            <w:r>
              <w:rPr>
                <w:rFonts w:hint="eastAsia"/>
                <w:color w:val="1A1A1A"/>
                <w:sz w:val="20"/>
                <w:szCs w:val="20"/>
              </w:rPr>
              <w:t>/周慧星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3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WP2</w:t>
            </w:r>
          </w:p>
        </w:tc>
        <w:tc>
          <w:tcPr>
            <w:tcW w:w="1843"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b/>
                <w:bCs/>
                <w:color w:val="1A1A1A"/>
                <w:sz w:val="20"/>
                <w:szCs w:val="20"/>
              </w:rPr>
              <w:t>数据集构建</w:t>
            </w:r>
          </w:p>
        </w:tc>
        <w:tc>
          <w:tcPr>
            <w:tcW w:w="4253"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石材幕墙图像采集；标注工具使用与标签标注；数据增强处理</w:t>
            </w:r>
          </w:p>
        </w:tc>
        <w:tc>
          <w:tcPr>
            <w:tcW w:w="107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于广淳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3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WP3</w:t>
            </w:r>
          </w:p>
        </w:tc>
        <w:tc>
          <w:tcPr>
            <w:tcW w:w="1843"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0" w:firstLineChars="0"/>
              <w:jc w:val="center"/>
            </w:pPr>
            <w:r>
              <w:rPr>
                <w:rFonts w:eastAsia="Arial"/>
                <w:b/>
                <w:bCs/>
                <w:color w:val="1A1A1A"/>
                <w:sz w:val="20"/>
                <w:szCs w:val="20"/>
              </w:rPr>
              <w:t>模型训练与优化</w:t>
            </w:r>
          </w:p>
        </w:tc>
        <w:tc>
          <w:tcPr>
            <w:tcW w:w="4253"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YOLO系列模型选型；模型训练迭代；精度调优与验证</w:t>
            </w:r>
          </w:p>
        </w:tc>
        <w:tc>
          <w:tcPr>
            <w:tcW w:w="107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于广淳/周慧星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3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WP4</w:t>
            </w:r>
          </w:p>
        </w:tc>
        <w:tc>
          <w:tcPr>
            <w:tcW w:w="1843"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b/>
                <w:bCs/>
                <w:color w:val="1A1A1A"/>
                <w:sz w:val="20"/>
                <w:szCs w:val="20"/>
              </w:rPr>
              <w:t>图像预处理开发</w:t>
            </w:r>
          </w:p>
        </w:tc>
        <w:tc>
          <w:tcPr>
            <w:tcW w:w="4253"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尺寸统一算法；对比度增强；非局部均值去噪；污渍面积计算</w:t>
            </w:r>
          </w:p>
        </w:tc>
        <w:tc>
          <w:tcPr>
            <w:tcW w:w="107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周慧星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3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WP5</w:t>
            </w:r>
          </w:p>
        </w:tc>
        <w:tc>
          <w:tcPr>
            <w:tcW w:w="1843"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0" w:firstLineChars="0"/>
              <w:jc w:val="center"/>
            </w:pPr>
            <w:r>
              <w:rPr>
                <w:rFonts w:eastAsia="Arial"/>
                <w:b/>
                <w:bCs/>
                <w:color w:val="1A1A1A"/>
                <w:sz w:val="20"/>
                <w:szCs w:val="20"/>
              </w:rPr>
              <w:t>后端API开发</w:t>
            </w:r>
          </w:p>
        </w:tc>
        <w:tc>
          <w:tcPr>
            <w:tcW w:w="4253"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FastAPI框架搭建；/detect接口实现；/history接口实现；数据库设计</w:t>
            </w:r>
          </w:p>
        </w:tc>
        <w:tc>
          <w:tcPr>
            <w:tcW w:w="107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周慧星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3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WP6</w:t>
            </w:r>
          </w:p>
        </w:tc>
        <w:tc>
          <w:tcPr>
            <w:tcW w:w="1843"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b/>
                <w:bCs/>
                <w:color w:val="1A1A1A"/>
                <w:sz w:val="20"/>
                <w:szCs w:val="20"/>
              </w:rPr>
              <w:t>前端界面开发</w:t>
            </w:r>
          </w:p>
        </w:tc>
        <w:tc>
          <w:tcPr>
            <w:tcW w:w="4253"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Vue3框架搭建；上传/检测/历史查询页面开发；前后端联通</w:t>
            </w:r>
          </w:p>
        </w:tc>
        <w:tc>
          <w:tcPr>
            <w:tcW w:w="107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周慧星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3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WP7</w:t>
            </w:r>
          </w:p>
        </w:tc>
        <w:tc>
          <w:tcPr>
            <w:tcW w:w="1843"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0" w:firstLineChars="0"/>
              <w:jc w:val="center"/>
            </w:pPr>
            <w:r>
              <w:rPr>
                <w:rFonts w:eastAsia="Arial"/>
                <w:b/>
                <w:bCs/>
                <w:color w:val="1A1A1A"/>
                <w:sz w:val="20"/>
                <w:szCs w:val="20"/>
              </w:rPr>
              <w:t>测试与部署</w:t>
            </w:r>
          </w:p>
        </w:tc>
        <w:tc>
          <w:tcPr>
            <w:tcW w:w="4253"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功能测试/性能测试；Docker配置；云服务器部署；文档整理</w:t>
            </w:r>
          </w:p>
        </w:tc>
        <w:tc>
          <w:tcPr>
            <w:tcW w:w="107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rPr>
                <w:rFonts w:hint="eastAsia"/>
              </w:rPr>
            </w:pPr>
            <w:r>
              <w:rPr>
                <w:rFonts w:eastAsia="Arial"/>
                <w:color w:val="1A1A1A"/>
                <w:sz w:val="20"/>
                <w:szCs w:val="20"/>
              </w:rPr>
              <w:t>于广淳</w:t>
            </w:r>
            <w:r>
              <w:rPr>
                <w:rFonts w:hint="eastAsia"/>
                <w:color w:val="1A1A1A"/>
                <w:sz w:val="20"/>
                <w:szCs w:val="20"/>
              </w:rPr>
              <w:t>/周慧星</w:t>
            </w:r>
          </w:p>
        </w:tc>
      </w:tr>
    </w:tbl>
    <w:p>
      <w:pPr>
        <w:pStyle w:val="3"/>
      </w:pPr>
      <w:bookmarkStart w:id="9" w:name="_Toc2702"/>
      <w:r>
        <w:t>2.2 项目时间表</w:t>
      </w:r>
      <w:bookmarkEnd w:id="9"/>
    </w:p>
    <w:p>
      <w:pPr>
        <w:spacing w:before="60" w:after="100" w:line="320" w:lineRule="auto"/>
        <w:ind w:firstLine="440"/>
        <w:jc w:val="both"/>
      </w:pPr>
      <w:r>
        <w:rPr>
          <w:rFonts w:eastAsia="Arial"/>
          <w:color w:val="1A1A1A"/>
        </w:rPr>
        <w:t>项目执行期间为2026年3月16日至2026年6月7日，共计12周。以下为详细甘特计划：</w:t>
      </w:r>
    </w:p>
    <w:tbl>
      <w:tblPr>
        <w:tblStyle w:val="14"/>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1600"/>
        <w:gridCol w:w="1600"/>
        <w:gridCol w:w="27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阶段</w:t>
            </w:r>
          </w:p>
        </w:tc>
        <w:tc>
          <w:tcPr>
            <w:tcW w:w="16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开始时间</w:t>
            </w:r>
          </w:p>
        </w:tc>
        <w:tc>
          <w:tcPr>
            <w:tcW w:w="16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结束时间</w:t>
            </w:r>
          </w:p>
        </w:tc>
        <w:tc>
          <w:tcPr>
            <w:tcW w:w="2706"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主要里程碑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需求调研与项目规划</w:t>
            </w:r>
          </w:p>
        </w:tc>
        <w:tc>
          <w:tcPr>
            <w:tcW w:w="160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2026-03-16</w:t>
            </w:r>
          </w:p>
        </w:tc>
        <w:tc>
          <w:tcPr>
            <w:tcW w:w="160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2026-03-29</w:t>
            </w:r>
          </w:p>
        </w:tc>
        <w:tc>
          <w:tcPr>
            <w:tcW w:w="270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POS/章程/SRS初稿完成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数据集收集与构建</w:t>
            </w:r>
          </w:p>
        </w:tc>
        <w:tc>
          <w:tcPr>
            <w:tcW w:w="16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2026-03-30</w:t>
            </w:r>
          </w:p>
        </w:tc>
        <w:tc>
          <w:tcPr>
            <w:tcW w:w="16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2026-04-12</w:t>
            </w:r>
          </w:p>
        </w:tc>
        <w:tc>
          <w:tcPr>
            <w:tcW w:w="270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数据集构建完成，标注完毕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污渍检测模型训练</w:t>
            </w:r>
          </w:p>
        </w:tc>
        <w:tc>
          <w:tcPr>
            <w:tcW w:w="160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2026-04-13</w:t>
            </w:r>
          </w:p>
        </w:tc>
        <w:tc>
          <w:tcPr>
            <w:tcW w:w="160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2026-04-26</w:t>
            </w:r>
          </w:p>
        </w:tc>
        <w:tc>
          <w:tcPr>
            <w:tcW w:w="270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模型达到70%以上准确率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图像预处理与面积计算</w:t>
            </w:r>
          </w:p>
        </w:tc>
        <w:tc>
          <w:tcPr>
            <w:tcW w:w="16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2026-04-27</w:t>
            </w:r>
          </w:p>
        </w:tc>
        <w:tc>
          <w:tcPr>
            <w:tcW w:w="16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2026-05-03</w:t>
            </w:r>
          </w:p>
        </w:tc>
        <w:tc>
          <w:tcPr>
            <w:tcW w:w="270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核心算法模块实现完毕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前后端开发与联通</w:t>
            </w:r>
          </w:p>
        </w:tc>
        <w:tc>
          <w:tcPr>
            <w:tcW w:w="160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2026-05-04</w:t>
            </w:r>
          </w:p>
        </w:tc>
        <w:tc>
          <w:tcPr>
            <w:tcW w:w="160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2026-05-17</w:t>
            </w:r>
          </w:p>
        </w:tc>
        <w:tc>
          <w:tcPr>
            <w:tcW w:w="270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系统端到端流程打通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测试与改进</w:t>
            </w:r>
          </w:p>
        </w:tc>
        <w:tc>
          <w:tcPr>
            <w:tcW w:w="16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2026-05-18</w:t>
            </w:r>
          </w:p>
        </w:tc>
        <w:tc>
          <w:tcPr>
            <w:tcW w:w="16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2026-05-31</w:t>
            </w:r>
          </w:p>
        </w:tc>
        <w:tc>
          <w:tcPr>
            <w:tcW w:w="270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性能指标全部达标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文档整理与答辩准备</w:t>
            </w:r>
          </w:p>
        </w:tc>
        <w:tc>
          <w:tcPr>
            <w:tcW w:w="160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2026-06-01</w:t>
            </w:r>
          </w:p>
        </w:tc>
        <w:tc>
          <w:tcPr>
            <w:tcW w:w="160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2026-06-07</w:t>
            </w:r>
          </w:p>
        </w:tc>
        <w:tc>
          <w:tcPr>
            <w:tcW w:w="270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所有交付物提交</w:t>
            </w:r>
          </w:p>
        </w:tc>
      </w:tr>
    </w:tbl>
    <w:p>
      <w:pPr>
        <w:spacing w:before="80"/>
        <w:ind w:firstLine="0" w:firstLineChars="0"/>
        <w:jc w:val="center"/>
        <w:rPr>
          <w:rFonts w:hint="eastAsia"/>
        </w:rPr>
      </w:pPr>
      <w:r>
        <w:drawing>
          <wp:inline distT="0" distB="0" distL="0" distR="0">
            <wp:extent cx="5274310" cy="1122680"/>
            <wp:effectExtent l="0" t="0" r="2540" b="0"/>
            <wp:docPr id="9993815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381530" name="图片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1122680"/>
                    </a:xfrm>
                    <a:prstGeom prst="rect">
                      <a:avLst/>
                    </a:prstGeom>
                  </pic:spPr>
                </pic:pic>
              </a:graphicData>
            </a:graphic>
          </wp:inline>
        </w:drawing>
      </w:r>
    </w:p>
    <w:p>
      <w:pPr>
        <w:pStyle w:val="3"/>
      </w:pPr>
      <w:bookmarkStart w:id="10" w:name="_Toc14480"/>
      <w:r>
        <w:t>2.3 资源计划</w:t>
      </w:r>
      <w:bookmarkEnd w:id="10"/>
    </w:p>
    <w:p>
      <w:pPr>
        <w:pStyle w:val="4"/>
      </w:pPr>
      <w:bookmarkStart w:id="11" w:name="_Toc20221"/>
      <w:r>
        <w:t>2.3.1 人力资源分配</w:t>
      </w:r>
      <w:bookmarkEnd w:id="11"/>
    </w:p>
    <w:p>
      <w:pPr>
        <w:spacing w:before="80"/>
        <w:ind w:firstLine="440"/>
      </w:pPr>
    </w:p>
    <w:tbl>
      <w:tblPr>
        <w:tblStyle w:val="14"/>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21"/>
        <w:gridCol w:w="1414"/>
        <w:gridCol w:w="5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21"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20" w:firstLineChars="10"/>
              <w:jc w:val="center"/>
            </w:pPr>
            <w:r>
              <w:rPr>
                <w:rFonts w:eastAsia="Arial"/>
                <w:b/>
                <w:bCs/>
                <w:color w:val="FFFFFF"/>
                <w:sz w:val="20"/>
                <w:szCs w:val="20"/>
              </w:rPr>
              <w:t>成员</w:t>
            </w:r>
          </w:p>
        </w:tc>
        <w:tc>
          <w:tcPr>
            <w:tcW w:w="1414"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20" w:firstLineChars="10"/>
              <w:jc w:val="center"/>
            </w:pPr>
            <w:r>
              <w:rPr>
                <w:rFonts w:eastAsia="Arial"/>
                <w:b/>
                <w:bCs/>
                <w:color w:val="FFFFFF"/>
                <w:sz w:val="20"/>
                <w:szCs w:val="20"/>
              </w:rPr>
              <w:t>角色</w:t>
            </w:r>
          </w:p>
        </w:tc>
        <w:tc>
          <w:tcPr>
            <w:tcW w:w="5471"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20" w:firstLineChars="10"/>
              <w:jc w:val="center"/>
            </w:pPr>
            <w:r>
              <w:rPr>
                <w:rFonts w:eastAsia="Arial"/>
                <w:b/>
                <w:bCs/>
                <w:color w:val="FFFFFF"/>
                <w:sz w:val="20"/>
                <w:szCs w:val="20"/>
              </w:rPr>
              <w:t>主要职责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21"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20" w:firstLineChars="10"/>
              <w:jc w:val="center"/>
            </w:pPr>
            <w:r>
              <w:rPr>
                <w:rFonts w:eastAsia="Arial"/>
                <w:b/>
                <w:bCs/>
                <w:color w:val="1A1A1A"/>
                <w:sz w:val="20"/>
                <w:szCs w:val="20"/>
              </w:rPr>
              <w:t>于广淳（2353740）</w:t>
            </w:r>
          </w:p>
        </w:tc>
        <w:tc>
          <w:tcPr>
            <w:tcW w:w="141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20" w:firstLineChars="10"/>
              <w:jc w:val="center"/>
            </w:pPr>
            <w:r>
              <w:rPr>
                <w:rFonts w:eastAsia="Arial"/>
                <w:color w:val="1A1A1A"/>
                <w:sz w:val="20"/>
                <w:szCs w:val="20"/>
              </w:rPr>
              <w:t>项目经理</w:t>
            </w:r>
          </w:p>
        </w:tc>
        <w:tc>
          <w:tcPr>
            <w:tcW w:w="5471"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20" w:firstLineChars="10"/>
              <w:jc w:val="center"/>
            </w:pPr>
            <w:r>
              <w:rPr>
                <w:rFonts w:eastAsia="Arial"/>
                <w:color w:val="1A1A1A"/>
                <w:sz w:val="20"/>
                <w:szCs w:val="20"/>
              </w:rPr>
              <w:t>项目整体规划、进度跟踪、风险管理；YOLO数据集采集与标注；模型训练优化；测试用例编写与功能性能测试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21"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20" w:firstLineChars="10"/>
              <w:jc w:val="center"/>
            </w:pPr>
            <w:r>
              <w:rPr>
                <w:rFonts w:eastAsia="Arial"/>
                <w:b/>
                <w:bCs/>
                <w:color w:val="1A1A1A"/>
                <w:sz w:val="20"/>
                <w:szCs w:val="20"/>
              </w:rPr>
              <w:t>周慧星（2351289）</w:t>
            </w:r>
          </w:p>
        </w:tc>
        <w:tc>
          <w:tcPr>
            <w:tcW w:w="141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20" w:firstLineChars="10"/>
              <w:jc w:val="center"/>
            </w:pPr>
            <w:r>
              <w:rPr>
                <w:rFonts w:eastAsia="Arial"/>
                <w:color w:val="1A1A1A"/>
                <w:sz w:val="20"/>
                <w:szCs w:val="20"/>
              </w:rPr>
              <w:t>项目助理</w:t>
            </w:r>
          </w:p>
        </w:tc>
        <w:tc>
          <w:tcPr>
            <w:tcW w:w="5471"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20" w:firstLineChars="10"/>
              <w:jc w:val="center"/>
            </w:pPr>
            <w:r>
              <w:rPr>
                <w:rFonts w:eastAsia="Arial"/>
                <w:color w:val="1A1A1A"/>
                <w:sz w:val="20"/>
                <w:szCs w:val="20"/>
              </w:rPr>
              <w:t>FastAPI后端框架搭建与API接口开发；数据库设计与实现；Vue3前端开发；Docker环境搭建与系统部署；YOLO模型协同训练</w:t>
            </w:r>
          </w:p>
        </w:tc>
      </w:tr>
    </w:tbl>
    <w:p>
      <w:pPr>
        <w:pStyle w:val="4"/>
      </w:pPr>
      <w:bookmarkStart w:id="12" w:name="_Toc19276"/>
      <w:r>
        <w:t>2.3.2 硬件与软件资源</w:t>
      </w:r>
      <w:bookmarkEnd w:id="12"/>
    </w:p>
    <w:p>
      <w:pPr>
        <w:pStyle w:val="20"/>
        <w:numPr>
          <w:ilvl w:val="0"/>
          <w:numId w:val="1"/>
        </w:numPr>
        <w:spacing w:before="40" w:after="40" w:line="300" w:lineRule="auto"/>
      </w:pPr>
      <w:r>
        <w:rPr>
          <w:rFonts w:eastAsia="Arial"/>
          <w:color w:val="1A1A1A"/>
        </w:rPr>
        <w:t>前端服务器：用于托管Vue3前端界面，部署于云平台</w:t>
      </w:r>
    </w:p>
    <w:p>
      <w:pPr>
        <w:pStyle w:val="20"/>
        <w:numPr>
          <w:ilvl w:val="0"/>
          <w:numId w:val="1"/>
        </w:numPr>
        <w:spacing w:before="40" w:after="40" w:line="300" w:lineRule="auto"/>
      </w:pPr>
      <w:r>
        <w:rPr>
          <w:rFonts w:eastAsia="Arial"/>
          <w:color w:val="1A1A1A"/>
        </w:rPr>
        <w:t>后端代理服务器：用于运行FastAPI后端服务，处理API请求</w:t>
      </w:r>
    </w:p>
    <w:p>
      <w:pPr>
        <w:pStyle w:val="20"/>
        <w:numPr>
          <w:ilvl w:val="0"/>
          <w:numId w:val="1"/>
        </w:numPr>
        <w:spacing w:before="40" w:after="40" w:line="300" w:lineRule="auto"/>
      </w:pPr>
      <w:r>
        <w:rPr>
          <w:rFonts w:eastAsia="Arial"/>
          <w:color w:val="1A1A1A"/>
        </w:rPr>
        <w:t>算力服务器：</w:t>
      </w:r>
      <w:r>
        <w:rPr>
          <w:rFonts w:hint="eastAsia"/>
          <w:color w:val="1A1A1A"/>
        </w:rPr>
        <w:t>GPU或CPU服务器，</w:t>
      </w:r>
      <w:r>
        <w:rPr>
          <w:rFonts w:hint="eastAsia" w:ascii="宋体" w:hAnsi="宋体" w:eastAsia="宋体" w:cs="宋体"/>
          <w:color w:val="1A1A1A"/>
        </w:rPr>
        <w:t>提供</w:t>
      </w:r>
      <w:r>
        <w:rPr>
          <w:rFonts w:eastAsia="Arial"/>
          <w:color w:val="1A1A1A"/>
        </w:rPr>
        <w:t>算力用于YOLO模型训练与推理</w:t>
      </w:r>
    </w:p>
    <w:p>
      <w:pPr>
        <w:pStyle w:val="20"/>
        <w:numPr>
          <w:ilvl w:val="0"/>
          <w:numId w:val="1"/>
        </w:numPr>
        <w:spacing w:before="40" w:after="40" w:line="300" w:lineRule="auto"/>
      </w:pPr>
      <w:r>
        <w:rPr>
          <w:rFonts w:eastAsia="Arial"/>
          <w:color w:val="1A1A1A"/>
        </w:rPr>
        <w:t>数据库服务：MySQL 8.0关系型数据库 + 阿里云OSS对象存储</w:t>
      </w:r>
    </w:p>
    <w:p>
      <w:pPr>
        <w:pStyle w:val="20"/>
        <w:numPr>
          <w:ilvl w:val="0"/>
          <w:numId w:val="1"/>
        </w:numPr>
        <w:spacing w:before="40" w:after="40" w:line="300" w:lineRule="auto"/>
      </w:pPr>
      <w:r>
        <w:rPr>
          <w:rFonts w:eastAsia="Arial"/>
          <w:color w:val="1A1A1A"/>
        </w:rPr>
        <w:t>开发工具：VS Code、Git/GitHub、Docker、Postman/Apifox</w:t>
      </w:r>
    </w:p>
    <w:p>
      <w:pPr>
        <w:pStyle w:val="3"/>
        <w:rPr>
          <w:rFonts w:hint="eastAsia"/>
        </w:rPr>
      </w:pPr>
      <w:bookmarkStart w:id="13" w:name="_Toc29903"/>
      <w:r>
        <w:t xml:space="preserve">2.4 </w:t>
      </w:r>
      <w:r>
        <w:rPr>
          <w:rFonts w:hint="eastAsia" w:ascii="宋体" w:hAnsi="宋体" w:eastAsia="宋体" w:cs="宋体"/>
        </w:rPr>
        <w:t>项目预算计划</w:t>
      </w:r>
      <w:bookmarkEnd w:id="13"/>
    </w:p>
    <w:tbl>
      <w:tblPr>
        <w:tblStyle w:val="14"/>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52"/>
        <w:gridCol w:w="1276"/>
        <w:gridCol w:w="1275"/>
        <w:gridCol w:w="320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52"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hint="eastAsia" w:ascii="宋体" w:hAnsi="宋体" w:eastAsia="宋体" w:cs="宋体"/>
                <w:b/>
                <w:bCs/>
                <w:color w:val="FFFFFF"/>
                <w:sz w:val="20"/>
                <w:szCs w:val="20"/>
              </w:rPr>
              <w:t>预</w:t>
            </w:r>
            <w:r>
              <w:rPr>
                <w:rFonts w:eastAsia="Arial"/>
                <w:b/>
                <w:bCs/>
                <w:color w:val="FFFFFF"/>
                <w:sz w:val="20"/>
                <w:szCs w:val="20"/>
              </w:rPr>
              <w:t>算项目</w:t>
            </w:r>
          </w:p>
        </w:tc>
        <w:tc>
          <w:tcPr>
            <w:tcW w:w="1276"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计划金额（元）</w:t>
            </w:r>
          </w:p>
        </w:tc>
        <w:tc>
          <w:tcPr>
            <w:tcW w:w="1275"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实际金额（元）</w:t>
            </w:r>
          </w:p>
        </w:tc>
        <w:tc>
          <w:tcPr>
            <w:tcW w:w="3203"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52"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资源成本（服务器租赁）</w:t>
            </w:r>
          </w:p>
        </w:tc>
        <w:tc>
          <w:tcPr>
            <w:tcW w:w="127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800</w:t>
            </w:r>
          </w:p>
        </w:tc>
        <w:tc>
          <w:tcPr>
            <w:tcW w:w="1275"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800</w:t>
            </w:r>
          </w:p>
        </w:tc>
        <w:tc>
          <w:tcPr>
            <w:tcW w:w="3203"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前端服务器、后端代理、算力服务器，3个月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52"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开发成本（工具/API）</w:t>
            </w:r>
          </w:p>
        </w:tc>
        <w:tc>
          <w:tcPr>
            <w:tcW w:w="127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rPr>
                <w:rFonts w:hint="eastAsia"/>
              </w:rPr>
            </w:pPr>
            <w:r>
              <w:rPr>
                <w:rFonts w:eastAsia="Arial"/>
                <w:color w:val="1A1A1A"/>
                <w:sz w:val="20"/>
                <w:szCs w:val="20"/>
              </w:rPr>
              <w:t>100</w:t>
            </w:r>
            <w:r>
              <w:rPr>
                <w:rFonts w:hint="eastAsia"/>
                <w:color w:val="1A1A1A"/>
                <w:sz w:val="20"/>
                <w:szCs w:val="20"/>
              </w:rPr>
              <w:t>0</w:t>
            </w:r>
          </w:p>
        </w:tc>
        <w:tc>
          <w:tcPr>
            <w:tcW w:w="1275"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rPr>
                <w:rFonts w:hint="eastAsia"/>
              </w:rPr>
            </w:pPr>
            <w:r>
              <w:rPr>
                <w:rFonts w:eastAsia="Arial"/>
                <w:color w:val="1A1A1A"/>
                <w:sz w:val="20"/>
                <w:szCs w:val="20"/>
              </w:rPr>
              <w:t>~90</w:t>
            </w:r>
            <w:r>
              <w:rPr>
                <w:rFonts w:hint="eastAsia"/>
                <w:color w:val="1A1A1A"/>
                <w:sz w:val="20"/>
                <w:szCs w:val="20"/>
              </w:rPr>
              <w:t>0</w:t>
            </w:r>
          </w:p>
        </w:tc>
        <w:tc>
          <w:tcPr>
            <w:tcW w:w="3203"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开发工具、第三方API调用费用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52"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维护成本（上线后）</w:t>
            </w:r>
          </w:p>
        </w:tc>
        <w:tc>
          <w:tcPr>
            <w:tcW w:w="127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rPr>
                <w:rFonts w:hint="eastAsia"/>
              </w:rPr>
            </w:pPr>
            <w:r>
              <w:rPr>
                <w:rFonts w:eastAsia="Arial"/>
                <w:color w:val="1A1A1A"/>
                <w:sz w:val="20"/>
                <w:szCs w:val="20"/>
              </w:rPr>
              <w:t>100</w:t>
            </w:r>
            <w:r>
              <w:rPr>
                <w:rFonts w:hint="eastAsia"/>
                <w:color w:val="1A1A1A"/>
                <w:sz w:val="20"/>
                <w:szCs w:val="20"/>
              </w:rPr>
              <w:t>0</w:t>
            </w:r>
          </w:p>
        </w:tc>
        <w:tc>
          <w:tcPr>
            <w:tcW w:w="1275"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待定</w:t>
            </w:r>
          </w:p>
        </w:tc>
        <w:tc>
          <w:tcPr>
            <w:tcW w:w="3203"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系统上线后首年维护费用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52"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人力成本</w:t>
            </w:r>
          </w:p>
        </w:tc>
        <w:tc>
          <w:tcPr>
            <w:tcW w:w="127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学生项目（不计）</w:t>
            </w:r>
          </w:p>
        </w:tc>
        <w:tc>
          <w:tcPr>
            <w:tcW w:w="1275"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w:t>
            </w:r>
          </w:p>
        </w:tc>
        <w:tc>
          <w:tcPr>
            <w:tcW w:w="3203"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课程项目，不计算工资成本</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52"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总计</w:t>
            </w:r>
          </w:p>
        </w:tc>
        <w:tc>
          <w:tcPr>
            <w:tcW w:w="127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hint="eastAsia"/>
                <w:color w:val="1A1A1A"/>
                <w:sz w:val="20"/>
                <w:szCs w:val="20"/>
              </w:rPr>
              <w:t>28</w:t>
            </w:r>
            <w:r>
              <w:rPr>
                <w:rFonts w:eastAsia="Arial"/>
                <w:color w:val="1A1A1A"/>
                <w:sz w:val="20"/>
                <w:szCs w:val="20"/>
              </w:rPr>
              <w:t>00</w:t>
            </w:r>
          </w:p>
        </w:tc>
        <w:tc>
          <w:tcPr>
            <w:tcW w:w="1275"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w:t>
            </w:r>
            <w:r>
              <w:rPr>
                <w:rFonts w:hint="eastAsia"/>
                <w:color w:val="1A1A1A"/>
                <w:sz w:val="20"/>
                <w:szCs w:val="20"/>
              </w:rPr>
              <w:t>170</w:t>
            </w:r>
            <w:r>
              <w:rPr>
                <w:rFonts w:eastAsia="Arial"/>
                <w:color w:val="1A1A1A"/>
                <w:sz w:val="20"/>
                <w:szCs w:val="20"/>
              </w:rPr>
              <w:t>0</w:t>
            </w:r>
          </w:p>
        </w:tc>
        <w:tc>
          <w:tcPr>
            <w:tcW w:w="3203"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不含人力成本</w:t>
            </w:r>
          </w:p>
        </w:tc>
      </w:tr>
    </w:tbl>
    <w:p>
      <w:pPr>
        <w:pStyle w:val="2"/>
        <w:pBdr>
          <w:bottom w:val="single" w:color="2E75B6" w:sz="8" w:space="6"/>
        </w:pBdr>
      </w:pPr>
      <w:bookmarkStart w:id="14" w:name="_Toc17767"/>
      <w:r>
        <w:t>第三章  软件过程的监控与控制</w:t>
      </w:r>
      <w:bookmarkEnd w:id="14"/>
    </w:p>
    <w:p>
      <w:pPr>
        <w:pStyle w:val="3"/>
      </w:pPr>
      <w:bookmarkStart w:id="15" w:name="_Toc13032"/>
      <w:r>
        <w:t>3.1 进度监控机制</w:t>
      </w:r>
      <w:bookmarkEnd w:id="15"/>
    </w:p>
    <w:p>
      <w:pPr>
        <w:spacing w:before="60" w:after="100" w:line="320" w:lineRule="auto"/>
        <w:ind w:firstLine="440"/>
        <w:jc w:val="both"/>
      </w:pPr>
      <w:r>
        <w:rPr>
          <w:rFonts w:eastAsia="Arial"/>
          <w:color w:val="1A1A1A"/>
        </w:rPr>
        <w:t>本项目采用轻量级敏捷管理模式，结合里程碑驱动的进度跟踪机制。鉴于团队规模仅2人，放弃重型项目管理工具，采用以下简洁有效的监控手段：</w:t>
      </w:r>
    </w:p>
    <w:p>
      <w:pPr>
        <w:pStyle w:val="20"/>
        <w:numPr>
          <w:ilvl w:val="0"/>
          <w:numId w:val="1"/>
        </w:numPr>
        <w:spacing w:before="40" w:after="40" w:line="300" w:lineRule="auto"/>
      </w:pPr>
      <w:r>
        <w:rPr>
          <w:rFonts w:eastAsia="Arial"/>
          <w:color w:val="1A1A1A"/>
        </w:rPr>
        <w:t>每周例会：每周固定进行一次进度同步，回顾本周完成情况，规划下周任务，识别阻碍项</w:t>
      </w:r>
    </w:p>
    <w:p>
      <w:pPr>
        <w:pStyle w:val="20"/>
        <w:numPr>
          <w:ilvl w:val="0"/>
          <w:numId w:val="1"/>
        </w:numPr>
        <w:spacing w:before="40" w:after="40" w:line="300" w:lineRule="auto"/>
      </w:pPr>
      <w:r>
        <w:rPr>
          <w:rFonts w:eastAsia="Arial"/>
          <w:color w:val="1A1A1A"/>
        </w:rPr>
        <w:t>Git提交日志：通过GitHub代码提交频率与内容评估实际开发进度，保证代码可追溯</w:t>
      </w:r>
    </w:p>
    <w:p>
      <w:pPr>
        <w:pStyle w:val="20"/>
        <w:numPr>
          <w:ilvl w:val="0"/>
          <w:numId w:val="1"/>
        </w:numPr>
        <w:spacing w:before="40" w:after="40" w:line="300" w:lineRule="auto"/>
      </w:pPr>
      <w:r>
        <w:rPr>
          <w:rFonts w:eastAsia="Arial"/>
          <w:color w:val="1A1A1A"/>
        </w:rPr>
        <w:t>里程碑验收：每个项目阶段结束时，按交付物清单进行自检，未达标则延期至下个检查点补充完成</w:t>
      </w:r>
    </w:p>
    <w:p>
      <w:pPr>
        <w:pStyle w:val="20"/>
        <w:numPr>
          <w:ilvl w:val="0"/>
          <w:numId w:val="1"/>
        </w:numPr>
        <w:spacing w:before="40" w:after="40" w:line="300" w:lineRule="auto"/>
      </w:pPr>
      <w:r>
        <w:rPr>
          <w:rFonts w:eastAsia="Arial"/>
          <w:color w:val="1A1A1A"/>
        </w:rPr>
        <w:t>文档同步更新：所有关键决策（需求变更、技术选型变动）及时反映至SRS/SDS等文档中</w:t>
      </w:r>
    </w:p>
    <w:p>
      <w:pPr>
        <w:pStyle w:val="3"/>
      </w:pPr>
      <w:bookmarkStart w:id="16" w:name="_Toc14455"/>
      <w:r>
        <w:t>3.2 质量监控指标</w:t>
      </w:r>
      <w:bookmarkEnd w:id="16"/>
    </w:p>
    <w:p>
      <w:pPr>
        <w:spacing w:before="80"/>
        <w:ind w:firstLine="440"/>
      </w:pPr>
    </w:p>
    <w:tbl>
      <w:tblPr>
        <w:tblStyle w:val="14"/>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2000"/>
        <w:gridCol w:w="2000"/>
        <w:gridCol w:w="18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质量指标</w:t>
            </w:r>
          </w:p>
        </w:tc>
        <w:tc>
          <w:tcPr>
            <w:tcW w:w="20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目标值</w:t>
            </w:r>
          </w:p>
        </w:tc>
        <w:tc>
          <w:tcPr>
            <w:tcW w:w="20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实测值</w:t>
            </w:r>
          </w:p>
        </w:tc>
        <w:tc>
          <w:tcPr>
            <w:tcW w:w="1806"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状态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污渍检测准确率</w:t>
            </w:r>
          </w:p>
        </w:tc>
        <w:tc>
          <w:tcPr>
            <w:tcW w:w="200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≥70%</w:t>
            </w:r>
          </w:p>
        </w:tc>
        <w:tc>
          <w:tcPr>
            <w:tcW w:w="200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rPr>
                <w:rFonts w:hint="eastAsia"/>
              </w:rPr>
            </w:pPr>
            <w:r>
              <w:rPr>
                <w:rFonts w:hint="eastAsia"/>
                <w:color w:val="1A1A1A"/>
                <w:sz w:val="20"/>
                <w:szCs w:val="20"/>
              </w:rPr>
              <w:t>90%</w:t>
            </w:r>
          </w:p>
        </w:tc>
        <w:tc>
          <w:tcPr>
            <w:tcW w:w="180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hint="eastAsia" w:ascii="宋体" w:hAnsi="宋体" w:eastAsia="宋体" w:cs="宋体"/>
                <w:color w:val="1A1A1A"/>
                <w:sz w:val="20"/>
                <w:szCs w:val="20"/>
              </w:rPr>
              <w:t>达标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单次检测响应时间</w:t>
            </w:r>
          </w:p>
        </w:tc>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≤20秒</w:t>
            </w:r>
          </w:p>
        </w:tc>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~15秒</w:t>
            </w:r>
          </w:p>
        </w:tc>
        <w:tc>
          <w:tcPr>
            <w:tcW w:w="180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达标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图像接收时间</w:t>
            </w:r>
          </w:p>
        </w:tc>
        <w:tc>
          <w:tcPr>
            <w:tcW w:w="200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≤8秒</w:t>
            </w:r>
          </w:p>
        </w:tc>
        <w:tc>
          <w:tcPr>
            <w:tcW w:w="200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~4秒</w:t>
            </w:r>
          </w:p>
        </w:tc>
        <w:tc>
          <w:tcPr>
            <w:tcW w:w="180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达标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历史查询响应时间</w:t>
            </w:r>
          </w:p>
        </w:tc>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≤5秒（100并发）</w:t>
            </w:r>
          </w:p>
        </w:tc>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~2秒（低负载）</w:t>
            </w:r>
          </w:p>
        </w:tc>
        <w:tc>
          <w:tcPr>
            <w:tcW w:w="180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达标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系统可用性</w:t>
            </w:r>
          </w:p>
        </w:tc>
        <w:tc>
          <w:tcPr>
            <w:tcW w:w="200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≥99%</w:t>
            </w:r>
          </w:p>
        </w:tc>
        <w:tc>
          <w:tcPr>
            <w:tcW w:w="200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待统计</w:t>
            </w:r>
          </w:p>
        </w:tc>
        <w:tc>
          <w:tcPr>
            <w:tcW w:w="180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进行中</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PDF报告生成时间</w:t>
            </w:r>
          </w:p>
        </w:tc>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≤10秒</w:t>
            </w:r>
          </w:p>
        </w:tc>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~5秒</w:t>
            </w:r>
          </w:p>
        </w:tc>
        <w:tc>
          <w:tcPr>
            <w:tcW w:w="180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达标</w:t>
            </w:r>
          </w:p>
        </w:tc>
      </w:tr>
    </w:tbl>
    <w:p>
      <w:pPr>
        <w:pStyle w:val="3"/>
      </w:pPr>
      <w:bookmarkStart w:id="17" w:name="_Toc14791"/>
      <w:r>
        <w:t>3.3 变更控制</w:t>
      </w:r>
      <w:bookmarkEnd w:id="17"/>
    </w:p>
    <w:p>
      <w:pPr>
        <w:spacing w:before="60" w:after="100" w:line="320" w:lineRule="auto"/>
        <w:ind w:firstLine="440"/>
        <w:jc w:val="both"/>
      </w:pPr>
      <w:r>
        <w:rPr>
          <w:rFonts w:eastAsia="Arial"/>
          <w:color w:val="1A1A1A"/>
        </w:rPr>
        <w:t>项目执行过程中，发生了以下几项重要范围/设计变更，均经过评估后纳入正式变更：</w:t>
      </w:r>
    </w:p>
    <w:p>
      <w:pPr>
        <w:pStyle w:val="20"/>
        <w:numPr>
          <w:ilvl w:val="0"/>
          <w:numId w:val="1"/>
        </w:numPr>
        <w:spacing w:before="40" w:after="40" w:line="300" w:lineRule="auto"/>
      </w:pPr>
      <w:r>
        <w:rPr>
          <w:rFonts w:eastAsia="Arial"/>
          <w:color w:val="1A1A1A"/>
        </w:rPr>
        <w:t>变更1：检测准确率目标从POS中的"95%以上"下调至SRS/章程中的"70%以上"。原因：模型在实际训练中受数据集规模和多样性限制，95%的目标不切实际，根据模型实际验证结果调整为合理指标，影响程度：低（功能不受影响）。</w:t>
      </w:r>
    </w:p>
    <w:p>
      <w:pPr>
        <w:pStyle w:val="20"/>
        <w:numPr>
          <w:ilvl w:val="0"/>
          <w:numId w:val="1"/>
        </w:numPr>
        <w:spacing w:before="40" w:after="40" w:line="300" w:lineRule="auto"/>
      </w:pPr>
      <w:r>
        <w:rPr>
          <w:rFonts w:eastAsia="Arial"/>
          <w:color w:val="1A1A1A"/>
        </w:rPr>
        <w:t>变更2：前端实现由"</w:t>
      </w:r>
      <w:r>
        <w:rPr>
          <w:rFonts w:hint="eastAsia" w:ascii="宋体" w:hAnsi="宋体" w:eastAsia="宋体" w:cs="宋体"/>
          <w:color w:val="1A1A1A"/>
        </w:rPr>
        <w:t>复用</w:t>
      </w:r>
      <w:r>
        <w:rPr>
          <w:rFonts w:eastAsia="Arial"/>
          <w:color w:val="1A1A1A"/>
        </w:rPr>
        <w:t>原有智慧幕墙</w:t>
      </w:r>
      <w:r>
        <w:rPr>
          <w:rFonts w:hint="eastAsia" w:ascii="宋体" w:hAnsi="宋体" w:eastAsia="宋体" w:cs="宋体"/>
          <w:color w:val="1A1A1A"/>
        </w:rPr>
        <w:t>子</w:t>
      </w:r>
      <w:r>
        <w:rPr>
          <w:rFonts w:eastAsia="Arial"/>
          <w:color w:val="1A1A1A"/>
        </w:rPr>
        <w:t>前端"变更为"独立开发Vue3</w:t>
      </w:r>
      <w:r>
        <w:rPr>
          <w:rFonts w:hint="eastAsia" w:ascii="宋体" w:hAnsi="宋体" w:eastAsia="宋体" w:cs="宋体"/>
          <w:color w:val="1A1A1A"/>
        </w:rPr>
        <w:t>子</w:t>
      </w:r>
      <w:r>
        <w:rPr>
          <w:rFonts w:eastAsia="Arial"/>
          <w:color w:val="1A1A1A"/>
        </w:rPr>
        <w:t>前端</w:t>
      </w:r>
      <w:r>
        <w:rPr>
          <w:rFonts w:hint="eastAsia" w:ascii="宋体" w:hAnsi="宋体" w:eastAsia="宋体" w:cs="宋体"/>
          <w:color w:val="1A1A1A"/>
        </w:rPr>
        <w:t>再接入总前端</w:t>
      </w:r>
      <w:r>
        <w:rPr>
          <w:rFonts w:eastAsia="Arial"/>
          <w:color w:val="1A1A1A"/>
        </w:rPr>
        <w:t>"。原因：</w:t>
      </w:r>
      <w:r>
        <w:rPr>
          <w:rFonts w:hint="eastAsia" w:ascii="宋体" w:hAnsi="宋体" w:eastAsia="宋体" w:cs="宋体"/>
          <w:color w:val="1A1A1A"/>
        </w:rPr>
        <w:t>对接困难</w:t>
      </w:r>
      <w:r>
        <w:rPr>
          <w:rFonts w:eastAsia="Arial"/>
          <w:color w:val="1A1A1A"/>
        </w:rPr>
        <w:t>，无法在其基础上二次开发。变更后独立项目可完整演示所有功能，影响程度：中（增加前端开发工作量）。</w:t>
      </w:r>
    </w:p>
    <w:p>
      <w:pPr>
        <w:pStyle w:val="20"/>
        <w:numPr>
          <w:ilvl w:val="0"/>
          <w:numId w:val="1"/>
        </w:numPr>
        <w:spacing w:before="40" w:after="40" w:line="300" w:lineRule="auto"/>
      </w:pPr>
      <w:r>
        <w:rPr>
          <w:rFonts w:eastAsia="Arial"/>
          <w:color w:val="1A1A1A"/>
        </w:rPr>
        <w:t>变更3：OSS存储服务从华东1区单节点扩展为多路径备份。原因：初期测试发现单节点存在上传超时问题，影响程度：低（仅配置变更）。</w:t>
      </w:r>
    </w:p>
    <w:p>
      <w:pPr>
        <w:spacing w:before="40" w:after="40" w:line="300" w:lineRule="auto"/>
        <w:ind w:firstLine="0" w:firstLineChars="0"/>
        <w:rPr>
          <w:rFonts w:hint="eastAsia"/>
        </w:rPr>
      </w:pPr>
    </w:p>
    <w:p>
      <w:pPr>
        <w:pStyle w:val="2"/>
        <w:pBdr>
          <w:bottom w:val="single" w:color="2E75B6" w:sz="8" w:space="6"/>
        </w:pBdr>
      </w:pPr>
      <w:bookmarkStart w:id="18" w:name="_Toc19283"/>
      <w:r>
        <w:rPr>
          <w:rFonts w:hint="eastAsia" w:ascii="宋体" w:hAnsi="宋体" w:eastAsia="宋体" w:cs="宋体"/>
        </w:rPr>
        <w:t>第</w:t>
      </w:r>
      <w:r>
        <w:t>四章  软件过程的改进</w:t>
      </w:r>
      <w:bookmarkEnd w:id="18"/>
    </w:p>
    <w:p>
      <w:pPr>
        <w:pStyle w:val="3"/>
      </w:pPr>
      <w:bookmarkStart w:id="19" w:name="_Toc13292"/>
      <w:r>
        <w:t>4.1 过程改进识别</w:t>
      </w:r>
      <w:bookmarkEnd w:id="19"/>
    </w:p>
    <w:p>
      <w:pPr>
        <w:spacing w:before="60" w:after="100" w:line="320" w:lineRule="auto"/>
        <w:ind w:firstLine="440"/>
        <w:jc w:val="both"/>
      </w:pPr>
      <w:r>
        <w:rPr>
          <w:rFonts w:eastAsia="Arial"/>
          <w:color w:val="1A1A1A"/>
        </w:rPr>
        <w:t>在项目执行过程中，团队通过阶段性回顾识别了以下几类过程缺陷，并制定了相应改进措施：</w:t>
      </w:r>
    </w:p>
    <w:p>
      <w:pPr>
        <w:pStyle w:val="4"/>
      </w:pPr>
      <w:bookmarkStart w:id="20" w:name="_Toc18777"/>
      <w:r>
        <w:t>4.1.1 需求阶段改进</w:t>
      </w:r>
      <w:bookmarkEnd w:id="20"/>
    </w:p>
    <w:p>
      <w:pPr>
        <w:pStyle w:val="20"/>
        <w:numPr>
          <w:ilvl w:val="0"/>
          <w:numId w:val="1"/>
        </w:numPr>
        <w:spacing w:before="40" w:after="40" w:line="300" w:lineRule="auto"/>
      </w:pPr>
      <w:r>
        <w:rPr>
          <w:rFonts w:eastAsia="Arial"/>
          <w:color w:val="1A1A1A"/>
        </w:rPr>
        <w:t>问题：初期需求文档对"检测准确率"指标的定义不够严谨（95%与70%出现矛盾），导致后期验收标准需要修订</w:t>
      </w:r>
    </w:p>
    <w:p>
      <w:pPr>
        <w:pStyle w:val="20"/>
        <w:numPr>
          <w:ilvl w:val="0"/>
          <w:numId w:val="1"/>
        </w:numPr>
        <w:spacing w:before="40" w:after="40" w:line="300" w:lineRule="auto"/>
      </w:pPr>
      <w:r>
        <w:rPr>
          <w:rFonts w:eastAsia="Arial"/>
          <w:color w:val="1A1A1A"/>
        </w:rPr>
        <w:t>改进措施：在下一个版本项目中，引入需求评审检查清单，对所有量化指标进行一致性校验；与利益相关方进行书面确认，避免口头需求导致的歧义</w:t>
      </w:r>
    </w:p>
    <w:p>
      <w:pPr>
        <w:pStyle w:val="4"/>
      </w:pPr>
      <w:bookmarkStart w:id="21" w:name="_Toc26264"/>
      <w:r>
        <w:t>4.1.2 开发阶段改进</w:t>
      </w:r>
      <w:bookmarkEnd w:id="21"/>
    </w:p>
    <w:p>
      <w:pPr>
        <w:pStyle w:val="20"/>
        <w:numPr>
          <w:ilvl w:val="0"/>
          <w:numId w:val="1"/>
        </w:numPr>
        <w:spacing w:before="40" w:after="40" w:line="300" w:lineRule="auto"/>
      </w:pPr>
      <w:r>
        <w:rPr>
          <w:rFonts w:eastAsia="Arial"/>
          <w:color w:val="1A1A1A"/>
        </w:rPr>
        <w:t>问题：前后端接口联调阶段出现数据格式不匹配的问题，导致额外调试时间约3天</w:t>
      </w:r>
    </w:p>
    <w:p>
      <w:pPr>
        <w:pStyle w:val="20"/>
        <w:numPr>
          <w:ilvl w:val="0"/>
          <w:numId w:val="1"/>
        </w:numPr>
        <w:spacing w:before="40" w:after="40" w:line="300" w:lineRule="auto"/>
      </w:pPr>
      <w:r>
        <w:rPr>
          <w:rFonts w:eastAsia="Arial"/>
          <w:color w:val="1A1A1A"/>
        </w:rPr>
        <w:t>改进措施：在接口开发阶段引入API优先（API-First）策略，使用OpenAPI/Swagger规范先定义接口文档再进行编码；建立Postman测试集作为契约测试</w:t>
      </w:r>
    </w:p>
    <w:p>
      <w:pPr>
        <w:pStyle w:val="20"/>
        <w:numPr>
          <w:ilvl w:val="0"/>
          <w:numId w:val="1"/>
        </w:numPr>
        <w:spacing w:before="40" w:after="40" w:line="300" w:lineRule="auto"/>
      </w:pPr>
      <w:r>
        <w:rPr>
          <w:rFonts w:eastAsia="Arial"/>
          <w:color w:val="1A1A1A"/>
        </w:rPr>
        <w:t>问题：模型训练初期未进行足够的数据集质量验证，导致首次训练精度偏低，需重新标注部分数据</w:t>
      </w:r>
    </w:p>
    <w:p>
      <w:pPr>
        <w:pStyle w:val="20"/>
        <w:numPr>
          <w:ilvl w:val="0"/>
          <w:numId w:val="1"/>
        </w:numPr>
        <w:spacing w:before="40" w:after="40" w:line="300" w:lineRule="auto"/>
      </w:pPr>
      <w:r>
        <w:rPr>
          <w:rFonts w:eastAsia="Arial"/>
          <w:color w:val="1A1A1A"/>
        </w:rPr>
        <w:t>改进措施：增加数据质量门控（Data Quality Gate），在训练前通过脚本自动检测标注文件的格式规范性和类别分布均衡性</w:t>
      </w:r>
    </w:p>
    <w:p>
      <w:pPr>
        <w:pStyle w:val="4"/>
      </w:pPr>
      <w:bookmarkStart w:id="22" w:name="_Toc21691"/>
      <w:r>
        <w:t>4.1.3 测试阶段改进</w:t>
      </w:r>
      <w:bookmarkEnd w:id="22"/>
    </w:p>
    <w:p>
      <w:pPr>
        <w:pStyle w:val="20"/>
        <w:numPr>
          <w:ilvl w:val="0"/>
          <w:numId w:val="1"/>
        </w:numPr>
        <w:spacing w:before="40" w:after="40" w:line="300" w:lineRule="auto"/>
      </w:pPr>
      <w:r>
        <w:rPr>
          <w:rFonts w:eastAsia="Arial"/>
          <w:color w:val="1A1A1A"/>
        </w:rPr>
        <w:t>问题：性能测试在项目末期才启动，发现并发查询存在瓶颈时已无充足时间进行架构优化</w:t>
      </w:r>
    </w:p>
    <w:p>
      <w:pPr>
        <w:pStyle w:val="20"/>
        <w:numPr>
          <w:ilvl w:val="0"/>
          <w:numId w:val="1"/>
        </w:numPr>
        <w:spacing w:before="40" w:after="40" w:line="300" w:lineRule="auto"/>
      </w:pPr>
      <w:r>
        <w:rPr>
          <w:rFonts w:eastAsia="Arial"/>
          <w:color w:val="1A1A1A"/>
        </w:rPr>
        <w:t>改进措施：在下一个项目中采用"测试左移"策略，在后端API开发完成后即进行基础性能基准测试，而非等到集成测试阶段</w:t>
      </w:r>
    </w:p>
    <w:p>
      <w:pPr>
        <w:pStyle w:val="3"/>
      </w:pPr>
      <w:bookmarkStart w:id="23" w:name="_Toc23901"/>
      <w:r>
        <w:t>4.2 CMMI过程改进视角</w:t>
      </w:r>
      <w:bookmarkEnd w:id="23"/>
    </w:p>
    <w:p>
      <w:pPr>
        <w:spacing w:before="60" w:after="100" w:line="320" w:lineRule="auto"/>
        <w:ind w:firstLine="440"/>
        <w:jc w:val="both"/>
      </w:pPr>
      <w:r>
        <w:rPr>
          <w:rFonts w:eastAsia="Arial"/>
          <w:color w:val="1A1A1A"/>
        </w:rPr>
        <w:t>从CMMI成熟度模型视角审视，本项目团队当前实践接近CMM二级（已管理级），主要体现在：项目计划（PP）、需求管理（REQM）、配置管理（CM，通过Git实现）等关键过程域已有基本规程。面向未来，建议在以下方面向三级（已定义级）迈进：</w:t>
      </w:r>
    </w:p>
    <w:p>
      <w:pPr>
        <w:pStyle w:val="20"/>
        <w:numPr>
          <w:ilvl w:val="0"/>
          <w:numId w:val="1"/>
        </w:numPr>
        <w:spacing w:before="40" w:after="40" w:line="300" w:lineRule="auto"/>
      </w:pPr>
      <w:r>
        <w:rPr>
          <w:rFonts w:eastAsia="Arial"/>
          <w:color w:val="1A1A1A"/>
        </w:rPr>
        <w:t>建立组织级过程资产库，将本项目的功能点度量模板、风险检查清单等沉淀为可复用资产</w:t>
      </w:r>
    </w:p>
    <w:p>
      <w:pPr>
        <w:pStyle w:val="20"/>
        <w:numPr>
          <w:ilvl w:val="0"/>
          <w:numId w:val="1"/>
        </w:numPr>
        <w:spacing w:before="40" w:after="40" w:line="300" w:lineRule="auto"/>
      </w:pPr>
      <w:r>
        <w:rPr>
          <w:rFonts w:eastAsia="Arial"/>
          <w:color w:val="1A1A1A"/>
        </w:rPr>
        <w:t>制定统一的测试规程，包括单元测试覆盖率要求（建议≥60%）</w:t>
      </w:r>
    </w:p>
    <w:p>
      <w:pPr>
        <w:pStyle w:val="20"/>
        <w:numPr>
          <w:ilvl w:val="0"/>
          <w:numId w:val="1"/>
        </w:numPr>
        <w:spacing w:before="40" w:after="40" w:line="300" w:lineRule="auto"/>
      </w:pPr>
      <w:r>
        <w:rPr>
          <w:rFonts w:eastAsia="Arial"/>
          <w:color w:val="1A1A1A"/>
        </w:rPr>
        <w:t>引入同行评审（Peer Review）机制，尤其对核心算法代码和接口设计进行结构化走查</w:t>
      </w:r>
    </w:p>
    <w:p>
      <w:pPr>
        <w:spacing w:before="40" w:after="40" w:line="300" w:lineRule="auto"/>
        <w:ind w:firstLine="0" w:firstLineChars="0"/>
        <w:rPr>
          <w:rFonts w:hint="eastAsia"/>
        </w:rPr>
      </w:pPr>
    </w:p>
    <w:p>
      <w:pPr>
        <w:pStyle w:val="2"/>
        <w:pBdr>
          <w:bottom w:val="single" w:color="2E75B6" w:sz="8" w:space="6"/>
        </w:pBdr>
      </w:pPr>
      <w:bookmarkStart w:id="24" w:name="_Toc7237"/>
      <w:r>
        <w:rPr>
          <w:rFonts w:hint="eastAsia" w:ascii="宋体" w:hAnsi="宋体" w:eastAsia="宋体" w:cs="宋体"/>
        </w:rPr>
        <w:t>第</w:t>
      </w:r>
      <w:r>
        <w:t>五章  项目风险管理</w:t>
      </w:r>
      <w:bookmarkEnd w:id="24"/>
    </w:p>
    <w:p>
      <w:pPr>
        <w:pStyle w:val="3"/>
      </w:pPr>
      <w:bookmarkStart w:id="25" w:name="_Toc8021"/>
      <w:r>
        <w:t>5.1 风险识别与评估矩阵</w:t>
      </w:r>
      <w:bookmarkEnd w:id="25"/>
    </w:p>
    <w:p>
      <w:pPr>
        <w:spacing w:before="80"/>
        <w:ind w:firstLine="440"/>
      </w:pPr>
    </w:p>
    <w:tbl>
      <w:tblPr>
        <w:tblStyle w:val="14"/>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9"/>
        <w:gridCol w:w="1701"/>
        <w:gridCol w:w="1134"/>
        <w:gridCol w:w="1163"/>
        <w:gridCol w:w="1105"/>
        <w:gridCol w:w="249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9"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序号</w:t>
            </w:r>
          </w:p>
        </w:tc>
        <w:tc>
          <w:tcPr>
            <w:tcW w:w="1701"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风险描述</w:t>
            </w:r>
          </w:p>
        </w:tc>
        <w:tc>
          <w:tcPr>
            <w:tcW w:w="1134"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风险类型</w:t>
            </w:r>
          </w:p>
        </w:tc>
        <w:tc>
          <w:tcPr>
            <w:tcW w:w="1163"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发生概率</w:t>
            </w:r>
          </w:p>
        </w:tc>
        <w:tc>
          <w:tcPr>
            <w:tcW w:w="1105"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影响程度</w:t>
            </w:r>
          </w:p>
        </w:tc>
        <w:tc>
          <w:tcPr>
            <w:tcW w:w="2494"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应对策略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9"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R01</w:t>
            </w:r>
          </w:p>
        </w:tc>
        <w:tc>
          <w:tcPr>
            <w:tcW w:w="1701"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0" w:firstLineChars="0"/>
              <w:jc w:val="center"/>
            </w:pPr>
            <w:r>
              <w:rPr>
                <w:rFonts w:eastAsia="Arial"/>
                <w:b/>
                <w:bCs/>
                <w:color w:val="1A1A1A"/>
                <w:sz w:val="20"/>
                <w:szCs w:val="20"/>
              </w:rPr>
              <w:t>YOLO模型在特定光照/复杂背景下检测准确率不足目标值</w:t>
            </w:r>
          </w:p>
        </w:tc>
        <w:tc>
          <w:tcPr>
            <w:tcW w:w="113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技术风险</w:t>
            </w:r>
          </w:p>
        </w:tc>
        <w:tc>
          <w:tcPr>
            <w:tcW w:w="1163"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高（55%）</w:t>
            </w:r>
          </w:p>
        </w:tc>
        <w:tc>
          <w:tcPr>
            <w:tcW w:w="1105"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高</w:t>
            </w:r>
          </w:p>
        </w:tc>
        <w:tc>
          <w:tcPr>
            <w:tcW w:w="249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收集多样化训练数据；数据增强；模型微调；集成后处理算法；下调准确率目标至70%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9"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R02</w:t>
            </w:r>
          </w:p>
        </w:tc>
        <w:tc>
          <w:tcPr>
            <w:tcW w:w="1701"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b/>
                <w:bCs/>
                <w:color w:val="1A1A1A"/>
                <w:sz w:val="20"/>
                <w:szCs w:val="20"/>
              </w:rPr>
              <w:t>算力服务器资源不足，影响推理速度与并发</w:t>
            </w:r>
          </w:p>
        </w:tc>
        <w:tc>
          <w:tcPr>
            <w:tcW w:w="113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资源风险</w:t>
            </w:r>
          </w:p>
        </w:tc>
        <w:tc>
          <w:tcPr>
            <w:tcW w:w="1163"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中（35%）</w:t>
            </w:r>
          </w:p>
        </w:tc>
        <w:tc>
          <w:tcPr>
            <w:tcW w:w="1105"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中</w:t>
            </w:r>
          </w:p>
        </w:tc>
        <w:tc>
          <w:tcPr>
            <w:tcW w:w="249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采用弹性伸缩云服务器策略；模型轻量化优化；降低推理批次大小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9"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R03</w:t>
            </w:r>
          </w:p>
        </w:tc>
        <w:tc>
          <w:tcPr>
            <w:tcW w:w="1701"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0" w:firstLineChars="0"/>
              <w:jc w:val="center"/>
            </w:pPr>
            <w:r>
              <w:rPr>
                <w:rFonts w:eastAsia="Arial"/>
                <w:b/>
                <w:bCs/>
                <w:color w:val="1A1A1A"/>
                <w:sz w:val="20"/>
                <w:szCs w:val="20"/>
              </w:rPr>
              <w:t>开发周期紧迫（12周），功能复杂可能导致延期</w:t>
            </w:r>
          </w:p>
        </w:tc>
        <w:tc>
          <w:tcPr>
            <w:tcW w:w="113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进度风险</w:t>
            </w:r>
          </w:p>
        </w:tc>
        <w:tc>
          <w:tcPr>
            <w:tcW w:w="1163"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中（40%）</w:t>
            </w:r>
          </w:p>
        </w:tc>
        <w:tc>
          <w:tcPr>
            <w:tcW w:w="1105"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中</w:t>
            </w:r>
          </w:p>
        </w:tc>
        <w:tc>
          <w:tcPr>
            <w:tcW w:w="249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采用敏捷开发模式；按优先级分阶段交付；核心功能优先完成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9"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R04</w:t>
            </w:r>
          </w:p>
        </w:tc>
        <w:tc>
          <w:tcPr>
            <w:tcW w:w="1701"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b/>
                <w:bCs/>
                <w:color w:val="1A1A1A"/>
                <w:sz w:val="20"/>
                <w:szCs w:val="20"/>
              </w:rPr>
              <w:t>用户对系统期望与实际功能存在偏差</w:t>
            </w:r>
          </w:p>
        </w:tc>
        <w:tc>
          <w:tcPr>
            <w:tcW w:w="113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需求风险</w:t>
            </w:r>
          </w:p>
        </w:tc>
        <w:tc>
          <w:tcPr>
            <w:tcW w:w="1163"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低（20%）</w:t>
            </w:r>
          </w:p>
        </w:tc>
        <w:tc>
          <w:tcPr>
            <w:tcW w:w="1105"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低</w:t>
            </w:r>
          </w:p>
        </w:tc>
        <w:tc>
          <w:tcPr>
            <w:tcW w:w="249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定期与指导老师沟通；进行原型演示；及时调整需求边界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9"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R05</w:t>
            </w:r>
          </w:p>
        </w:tc>
        <w:tc>
          <w:tcPr>
            <w:tcW w:w="1701"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0" w:firstLineChars="0"/>
              <w:jc w:val="center"/>
            </w:pPr>
            <w:r>
              <w:rPr>
                <w:rFonts w:eastAsia="Arial"/>
                <w:b/>
                <w:bCs/>
                <w:color w:val="1A1A1A"/>
                <w:sz w:val="20"/>
                <w:szCs w:val="20"/>
              </w:rPr>
              <w:t>MySQL与OSS服务在高并发下出现连接瓶颈</w:t>
            </w:r>
          </w:p>
        </w:tc>
        <w:tc>
          <w:tcPr>
            <w:tcW w:w="113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技术风险</w:t>
            </w:r>
          </w:p>
        </w:tc>
        <w:tc>
          <w:tcPr>
            <w:tcW w:w="1163"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中（30%）</w:t>
            </w:r>
          </w:p>
        </w:tc>
        <w:tc>
          <w:tcPr>
            <w:tcW w:w="1105"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高</w:t>
            </w:r>
          </w:p>
        </w:tc>
        <w:tc>
          <w:tcPr>
            <w:tcW w:w="249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数据库连接池配置优化；OSS使用CDN加速；查询添加合理索引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9"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R06</w:t>
            </w:r>
          </w:p>
        </w:tc>
        <w:tc>
          <w:tcPr>
            <w:tcW w:w="1701"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b/>
                <w:bCs/>
                <w:color w:val="1A1A1A"/>
                <w:sz w:val="20"/>
                <w:szCs w:val="20"/>
              </w:rPr>
              <w:t>项目预算超支（服务器费用超出估计）</w:t>
            </w:r>
          </w:p>
        </w:tc>
        <w:tc>
          <w:tcPr>
            <w:tcW w:w="113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成本风险</w:t>
            </w:r>
          </w:p>
        </w:tc>
        <w:tc>
          <w:tcPr>
            <w:tcW w:w="1163"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低（25%）</w:t>
            </w:r>
          </w:p>
        </w:tc>
        <w:tc>
          <w:tcPr>
            <w:tcW w:w="1105"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低</w:t>
            </w:r>
          </w:p>
        </w:tc>
        <w:tc>
          <w:tcPr>
            <w:tcW w:w="249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严格管控GPU训练时长；使用Spot实例降低费用；设置费用告警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9"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R07</w:t>
            </w:r>
          </w:p>
        </w:tc>
        <w:tc>
          <w:tcPr>
            <w:tcW w:w="1701"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0" w:firstLineChars="0"/>
              <w:jc w:val="center"/>
            </w:pPr>
            <w:r>
              <w:rPr>
                <w:rFonts w:eastAsia="Arial"/>
                <w:b/>
                <w:bCs/>
                <w:color w:val="1A1A1A"/>
                <w:sz w:val="20"/>
                <w:szCs w:val="20"/>
              </w:rPr>
              <w:t>数据集版权或隐私问题</w:t>
            </w:r>
          </w:p>
        </w:tc>
        <w:tc>
          <w:tcPr>
            <w:tcW w:w="113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法律风险</w:t>
            </w:r>
          </w:p>
        </w:tc>
        <w:tc>
          <w:tcPr>
            <w:tcW w:w="1163"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低（15%）</w:t>
            </w:r>
          </w:p>
        </w:tc>
        <w:tc>
          <w:tcPr>
            <w:tcW w:w="1105"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中</w:t>
            </w:r>
          </w:p>
        </w:tc>
        <w:tc>
          <w:tcPr>
            <w:tcW w:w="249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仅使用公开数据集或自拍摄图像；脱敏处理所有包含建筑标识的图像</w:t>
            </w:r>
          </w:p>
        </w:tc>
      </w:tr>
    </w:tbl>
    <w:p>
      <w:pPr>
        <w:pStyle w:val="3"/>
      </w:pPr>
      <w:bookmarkStart w:id="26" w:name="_Toc14394"/>
      <w:r>
        <w:t>5.2 风险监控与跟踪</w:t>
      </w:r>
      <w:bookmarkEnd w:id="26"/>
    </w:p>
    <w:p>
      <w:pPr>
        <w:spacing w:before="60" w:after="100" w:line="320" w:lineRule="auto"/>
        <w:ind w:firstLine="440"/>
        <w:jc w:val="both"/>
      </w:pPr>
      <w:r>
        <w:rPr>
          <w:rFonts w:eastAsia="Arial"/>
          <w:color w:val="1A1A1A"/>
        </w:rPr>
        <w:t>风险R01（模型精度不足）是本项目最关键风险，已在整个项目周期持续跟踪。具体应对过程：第一轮训练精度约62%，通过增加标注数据量</w:t>
      </w:r>
      <w:r>
        <w:rPr>
          <w:rFonts w:hint="eastAsia" w:ascii="宋体" w:hAnsi="宋体" w:eastAsia="宋体" w:cs="宋体"/>
          <w:color w:val="1A1A1A"/>
        </w:rPr>
        <w:t>并进行数据增强</w:t>
      </w:r>
      <w:r>
        <w:rPr>
          <w:rFonts w:eastAsia="Arial"/>
          <w:color w:val="1A1A1A"/>
        </w:rPr>
        <w:t>（扩充至约</w:t>
      </w:r>
      <w:r>
        <w:rPr>
          <w:rFonts w:hint="eastAsia"/>
          <w:color w:val="1A1A1A"/>
        </w:rPr>
        <w:t>27</w:t>
      </w:r>
      <w:r>
        <w:rPr>
          <w:rFonts w:eastAsia="Arial"/>
          <w:color w:val="1A1A1A"/>
        </w:rPr>
        <w:t>00张）、调整超参数（学习率、数据增强策略）后，第二轮训练精度提升至约</w:t>
      </w:r>
      <w:r>
        <w:rPr>
          <w:rFonts w:hint="eastAsia"/>
          <w:color w:val="1A1A1A"/>
        </w:rPr>
        <w:t>90</w:t>
      </w:r>
      <w:r>
        <w:rPr>
          <w:rFonts w:eastAsia="Arial"/>
          <w:color w:val="1A1A1A"/>
        </w:rPr>
        <w:t>%，已达70%基线目标。在此基础上通过后处理优化进一步改善结果质量。</w:t>
      </w:r>
    </w:p>
    <w:p>
      <w:pPr>
        <w:spacing w:before="60" w:after="100" w:line="320" w:lineRule="auto"/>
        <w:ind w:firstLine="440"/>
        <w:jc w:val="both"/>
      </w:pPr>
      <w:r>
        <w:rPr>
          <w:rFonts w:eastAsia="Arial"/>
          <w:color w:val="1A1A1A"/>
        </w:rPr>
        <w:t>风险R03（进度延期）在前端开发阶段有所显现，接口联调环节比计划晚约3天。通过压缩文档整理时间、两人并行完成测试任务得以追回进度，最终在截止日期前完成所有关键交付物。</w:t>
      </w:r>
    </w:p>
    <w:p>
      <w:pPr>
        <w:ind w:firstLine="440"/>
      </w:pPr>
    </w:p>
    <w:p>
      <w:pPr>
        <w:pStyle w:val="2"/>
        <w:pBdr>
          <w:bottom w:val="single" w:color="2E75B6" w:sz="8" w:space="6"/>
        </w:pBdr>
      </w:pPr>
      <w:bookmarkStart w:id="27" w:name="_Toc8960"/>
      <w:r>
        <w:t>第六章  项目收尾工作</w:t>
      </w:r>
      <w:bookmarkEnd w:id="27"/>
    </w:p>
    <w:p>
      <w:pPr>
        <w:pStyle w:val="3"/>
      </w:pPr>
      <w:bookmarkStart w:id="28" w:name="_Toc12091"/>
      <w:r>
        <w:t>6.1 收尾检查清单</w:t>
      </w:r>
      <w:bookmarkEnd w:id="28"/>
    </w:p>
    <w:p>
      <w:pPr>
        <w:spacing w:before="80"/>
        <w:ind w:firstLine="440"/>
      </w:pPr>
    </w:p>
    <w:tbl>
      <w:tblPr>
        <w:tblStyle w:val="14"/>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20"/>
        <w:gridCol w:w="2126"/>
        <w:gridCol w:w="1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2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收尾事项</w:t>
            </w:r>
          </w:p>
        </w:tc>
        <w:tc>
          <w:tcPr>
            <w:tcW w:w="2126"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负责人</w:t>
            </w:r>
          </w:p>
        </w:tc>
        <w:tc>
          <w:tcPr>
            <w:tcW w:w="13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完成状态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2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所有核心功能开发完成并通过测试</w:t>
            </w:r>
          </w:p>
        </w:tc>
        <w:tc>
          <w:tcPr>
            <w:tcW w:w="212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于广淳/周慧星</w:t>
            </w:r>
          </w:p>
        </w:tc>
        <w:tc>
          <w:tcPr>
            <w:tcW w:w="136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已完成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2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SRS、SDS等所有项目文档最终定稿</w:t>
            </w:r>
          </w:p>
        </w:tc>
        <w:tc>
          <w:tcPr>
            <w:tcW w:w="212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于广淳/周慧星</w:t>
            </w:r>
          </w:p>
        </w:tc>
        <w:tc>
          <w:tcPr>
            <w:tcW w:w="136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已完成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2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软件规模度量实验报告（实验二）提交</w:t>
            </w:r>
          </w:p>
        </w:tc>
        <w:tc>
          <w:tcPr>
            <w:tcW w:w="212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于广淳/周慧星</w:t>
            </w:r>
          </w:p>
        </w:tc>
        <w:tc>
          <w:tcPr>
            <w:tcW w:w="136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已完成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2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软件成本估算实验报告（实验三）提交</w:t>
            </w:r>
          </w:p>
        </w:tc>
        <w:tc>
          <w:tcPr>
            <w:tcW w:w="212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于广淳/周慧星</w:t>
            </w:r>
          </w:p>
        </w:tc>
        <w:tc>
          <w:tcPr>
            <w:tcW w:w="136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已完成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2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代码提交至GitHub并完成版本标记（v1.0-final）</w:t>
            </w:r>
          </w:p>
        </w:tc>
        <w:tc>
          <w:tcPr>
            <w:tcW w:w="212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周慧星</w:t>
            </w:r>
          </w:p>
        </w:tc>
        <w:tc>
          <w:tcPr>
            <w:tcW w:w="136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已完成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2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Docker镜像打包并测试一键部署</w:t>
            </w:r>
          </w:p>
        </w:tc>
        <w:tc>
          <w:tcPr>
            <w:tcW w:w="212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周慧星</w:t>
            </w:r>
          </w:p>
        </w:tc>
        <w:tc>
          <w:tcPr>
            <w:tcW w:w="136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已完成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2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性能测试报告完成（响应时间、并发测试）</w:t>
            </w:r>
          </w:p>
        </w:tc>
        <w:tc>
          <w:tcPr>
            <w:tcW w:w="212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于广淳</w:t>
            </w:r>
          </w:p>
        </w:tc>
        <w:tc>
          <w:tcPr>
            <w:tcW w:w="136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已完成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2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答辩PPT制作完成</w:t>
            </w:r>
          </w:p>
        </w:tc>
        <w:tc>
          <w:tcPr>
            <w:tcW w:w="212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于广淳/周慧星</w:t>
            </w:r>
          </w:p>
        </w:tc>
        <w:tc>
          <w:tcPr>
            <w:tcW w:w="136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已完成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2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YOLO模型权重文件（best.pt）归档</w:t>
            </w:r>
          </w:p>
        </w:tc>
        <w:tc>
          <w:tcPr>
            <w:tcW w:w="212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于广淳</w:t>
            </w:r>
          </w:p>
        </w:tc>
        <w:tc>
          <w:tcPr>
            <w:tcW w:w="136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已完成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2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项目经验教训文档编写</w:t>
            </w:r>
          </w:p>
        </w:tc>
        <w:tc>
          <w:tcPr>
            <w:tcW w:w="212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rPr>
                <w:rFonts w:hint="eastAsia"/>
              </w:rPr>
            </w:pPr>
            <w:r>
              <w:rPr>
                <w:rFonts w:eastAsia="Arial"/>
                <w:color w:val="1A1A1A"/>
                <w:sz w:val="20"/>
                <w:szCs w:val="20"/>
              </w:rPr>
              <w:t>于广淳</w:t>
            </w:r>
            <w:r>
              <w:rPr>
                <w:rFonts w:hint="eastAsia"/>
                <w:color w:val="1A1A1A"/>
                <w:sz w:val="20"/>
                <w:szCs w:val="20"/>
              </w:rPr>
              <w:t>/周慧星</w:t>
            </w:r>
          </w:p>
        </w:tc>
        <w:tc>
          <w:tcPr>
            <w:tcW w:w="136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已完成</w:t>
            </w:r>
          </w:p>
        </w:tc>
      </w:tr>
    </w:tbl>
    <w:p>
      <w:pPr>
        <w:pStyle w:val="3"/>
      </w:pPr>
      <w:bookmarkStart w:id="29" w:name="_Toc7700"/>
      <w:r>
        <w:t>6.2 经验教训总结</w:t>
      </w:r>
      <w:bookmarkEnd w:id="29"/>
    </w:p>
    <w:p>
      <w:pPr>
        <w:pStyle w:val="4"/>
      </w:pPr>
      <w:bookmarkStart w:id="30" w:name="_Toc27483"/>
      <w:r>
        <w:t>6.2.1 值得推广的经验</w:t>
      </w:r>
      <w:bookmarkEnd w:id="30"/>
    </w:p>
    <w:p>
      <w:pPr>
        <w:pStyle w:val="20"/>
        <w:numPr>
          <w:ilvl w:val="0"/>
          <w:numId w:val="1"/>
        </w:numPr>
        <w:spacing w:before="40" w:after="40" w:line="300" w:lineRule="auto"/>
      </w:pPr>
      <w:r>
        <w:rPr>
          <w:rFonts w:eastAsia="Arial"/>
          <w:color w:val="1A1A1A"/>
        </w:rPr>
        <w:t>双方法交叉验证策略的有效性：无论是功能点度量（IFPUG+NESMA）还是成本估算（GB/T 36964 + COCOMO II），采用两种方法互相验证，显著增强了结果可信度，差异均控制在20%以内</w:t>
      </w:r>
    </w:p>
    <w:p>
      <w:pPr>
        <w:pStyle w:val="20"/>
        <w:numPr>
          <w:ilvl w:val="0"/>
          <w:numId w:val="1"/>
        </w:numPr>
        <w:spacing w:before="40" w:after="40" w:line="300" w:lineRule="auto"/>
      </w:pPr>
      <w:r>
        <w:rPr>
          <w:rFonts w:eastAsia="Arial"/>
          <w:color w:val="1A1A1A"/>
        </w:rPr>
        <w:t>API优先开发策略：在开发后期引入OpenAPI规范后，前后端联调效率明显提升，建议在项目初期即建立接口契约</w:t>
      </w:r>
    </w:p>
    <w:p>
      <w:pPr>
        <w:pStyle w:val="20"/>
        <w:numPr>
          <w:ilvl w:val="0"/>
          <w:numId w:val="1"/>
        </w:numPr>
        <w:spacing w:before="40" w:after="40" w:line="300" w:lineRule="auto"/>
      </w:pPr>
      <w:r>
        <w:rPr>
          <w:rFonts w:eastAsia="Arial"/>
          <w:color w:val="1A1A1A"/>
        </w:rPr>
        <w:t>Docker容器化部署：确保开发/测试/生产环境一致性，排除了大量环境相关的问题</w:t>
      </w:r>
    </w:p>
    <w:p>
      <w:pPr>
        <w:pStyle w:val="4"/>
      </w:pPr>
      <w:bookmarkStart w:id="31" w:name="_Toc30914"/>
      <w:r>
        <w:t>6.2.2 需要改进的经验</w:t>
      </w:r>
      <w:bookmarkEnd w:id="31"/>
    </w:p>
    <w:p>
      <w:pPr>
        <w:pStyle w:val="20"/>
        <w:numPr>
          <w:ilvl w:val="0"/>
          <w:numId w:val="1"/>
        </w:numPr>
        <w:spacing w:before="40" w:after="40" w:line="300" w:lineRule="auto"/>
      </w:pPr>
      <w:r>
        <w:rPr>
          <w:rFonts w:eastAsia="Arial"/>
          <w:color w:val="1A1A1A"/>
        </w:rPr>
        <w:t>需求量化指标须在需求阶段充分论证：早期检测准确率目标（95%）未经模型可行性验证即写入文档，导致后期需要修订，耗费额外沟通成本</w:t>
      </w:r>
    </w:p>
    <w:p>
      <w:pPr>
        <w:pStyle w:val="20"/>
        <w:numPr>
          <w:ilvl w:val="0"/>
          <w:numId w:val="1"/>
        </w:numPr>
        <w:spacing w:before="40" w:after="40" w:line="300" w:lineRule="auto"/>
      </w:pPr>
      <w:r>
        <w:rPr>
          <w:rFonts w:eastAsia="Arial"/>
          <w:color w:val="1A1A1A"/>
        </w:rPr>
        <w:t>性能测试应更早启动：建议在后端API单元完成后立即进行性能基准测试，而非等待系统集成完毕</w:t>
      </w:r>
    </w:p>
    <w:p>
      <w:pPr>
        <w:pStyle w:val="20"/>
        <w:numPr>
          <w:ilvl w:val="0"/>
          <w:numId w:val="1"/>
        </w:numPr>
        <w:spacing w:before="40" w:after="40" w:line="300" w:lineRule="auto"/>
      </w:pPr>
      <w:r>
        <w:rPr>
          <w:rFonts w:eastAsia="Arial"/>
          <w:color w:val="1A1A1A"/>
        </w:rPr>
        <w:t>数据集规划需要更充分：数据集标注工作量被低估，建议在项目初期预留更多缓冲时间</w:t>
      </w:r>
    </w:p>
    <w:p>
      <w:pPr>
        <w:pStyle w:val="3"/>
      </w:pPr>
      <w:bookmarkStart w:id="32" w:name="_Toc26821"/>
      <w:r>
        <w:t>6.3 产品移交</w:t>
      </w:r>
      <w:bookmarkEnd w:id="32"/>
    </w:p>
    <w:p>
      <w:pPr>
        <w:spacing w:before="60" w:after="100" w:line="320" w:lineRule="auto"/>
        <w:ind w:firstLine="440"/>
        <w:jc w:val="both"/>
        <w:rPr>
          <w:color w:val="1A1A1A"/>
        </w:rPr>
      </w:pPr>
      <w:r>
        <w:rPr>
          <w:rFonts w:eastAsia="Arial"/>
          <w:color w:val="1A1A1A"/>
        </w:rPr>
        <w:t>项目所有交付物已按以下方式完成移交：代码与Docker配置已推送至GitHub仓库并创建v1.0-final发布版本；模型权重文件（best.pt）已上传至OSS存储并备份至本地；所有文档以PDF格式提交至课程平台；系统已在测试环境完成演示，可供导师验收。</w:t>
      </w:r>
    </w:p>
    <w:p>
      <w:pPr>
        <w:spacing w:before="60" w:after="100" w:line="320" w:lineRule="auto"/>
        <w:ind w:firstLine="0" w:firstLineChars="0"/>
        <w:jc w:val="both"/>
        <w:rPr>
          <w:rFonts w:hint="eastAsia"/>
        </w:rPr>
      </w:pPr>
    </w:p>
    <w:p>
      <w:pPr>
        <w:pStyle w:val="2"/>
        <w:pBdr>
          <w:bottom w:val="single" w:color="2E75B6" w:sz="8" w:space="6"/>
        </w:pBdr>
      </w:pPr>
      <w:bookmarkStart w:id="33" w:name="_Toc10308"/>
      <w:r>
        <w:t>第七章  软件原型的规模估算</w:t>
      </w:r>
      <w:bookmarkEnd w:id="33"/>
    </w:p>
    <w:p>
      <w:pPr>
        <w:pStyle w:val="3"/>
      </w:pPr>
      <w:bookmarkStart w:id="34" w:name="_Toc29345"/>
      <w:r>
        <w:t>7.1 度量方法概述</w:t>
      </w:r>
      <w:bookmarkEnd w:id="34"/>
    </w:p>
    <w:p>
      <w:pPr>
        <w:spacing w:before="60" w:after="100" w:line="320" w:lineRule="auto"/>
        <w:ind w:firstLine="440"/>
        <w:jc w:val="both"/>
      </w:pPr>
      <w:r>
        <w:rPr>
          <w:rFonts w:eastAsia="Arial"/>
          <w:color w:val="1A1A1A"/>
        </w:rPr>
        <w:t>本项目软件规模度量采用功能点分析法（Function Point Analysis, FPA），选用IFPUG方法作为主要度量手段，NESMA方法作为交叉验证手段。功能点法从软件系统功能特性角度衡量软件规模，独立于技术实现语言与平台，具有标准化、可审计的优点。</w:t>
      </w:r>
    </w:p>
    <w:p>
      <w:pPr>
        <w:pStyle w:val="3"/>
      </w:pPr>
      <w:bookmarkStart w:id="35" w:name="_Toc4778"/>
      <w:r>
        <w:t>7.2 系统边界与度量范围</w:t>
      </w:r>
      <w:bookmarkEnd w:id="35"/>
    </w:p>
    <w:p>
      <w:pPr>
        <w:spacing w:before="60" w:after="100" w:line="320" w:lineRule="auto"/>
        <w:ind w:firstLine="440"/>
        <w:jc w:val="both"/>
      </w:pPr>
      <w:r>
        <w:rPr>
          <w:rFonts w:eastAsia="Arial"/>
          <w:color w:val="1A1A1A"/>
        </w:rPr>
        <w:t>本次度量范围界定如下：</w:t>
      </w:r>
    </w:p>
    <w:p>
      <w:pPr>
        <w:pStyle w:val="20"/>
        <w:numPr>
          <w:ilvl w:val="0"/>
          <w:numId w:val="1"/>
        </w:numPr>
        <w:spacing w:before="40" w:after="40" w:line="300" w:lineRule="auto"/>
      </w:pPr>
      <w:r>
        <w:rPr>
          <w:rFonts w:eastAsia="Arial"/>
          <w:color w:val="1A1A1A"/>
        </w:rPr>
        <w:t>内部：污渍检测模型（YOLO）、后端服务（FastAPI + RESTful API）、运维工具（Docker）</w:t>
      </w:r>
      <w:r>
        <w:rPr>
          <w:rFonts w:hint="eastAsia" w:ascii="宋体" w:hAnsi="宋体" w:eastAsia="宋体" w:cs="宋体"/>
          <w:color w:val="1A1A1A"/>
        </w:rPr>
        <w:t>、子前端（</w:t>
      </w:r>
      <w:r>
        <w:rPr>
          <w:rFonts w:eastAsia="宋体"/>
          <w:color w:val="1A1A1A"/>
        </w:rPr>
        <w:t>VUE</w:t>
      </w:r>
      <w:r>
        <w:rPr>
          <w:rFonts w:hint="eastAsia" w:ascii="宋体" w:hAnsi="宋体" w:eastAsia="宋体" w:cs="宋体"/>
          <w:color w:val="1A1A1A"/>
        </w:rPr>
        <w:t>）</w:t>
      </w:r>
    </w:p>
    <w:p>
      <w:pPr>
        <w:pStyle w:val="20"/>
        <w:numPr>
          <w:ilvl w:val="0"/>
          <w:numId w:val="1"/>
        </w:numPr>
        <w:spacing w:before="40" w:after="40" w:line="300" w:lineRule="auto"/>
      </w:pPr>
      <w:r>
        <w:rPr>
          <w:rFonts w:eastAsia="Arial"/>
          <w:color w:val="1A1A1A"/>
        </w:rPr>
        <w:t>外部（不计入）：石材幕墙系统总前端、用户认证系统、其他外部子系统</w:t>
      </w:r>
    </w:p>
    <w:p>
      <w:pPr>
        <w:pStyle w:val="3"/>
      </w:pPr>
      <w:bookmarkStart w:id="36" w:name="_Toc10271"/>
      <w:r>
        <w:t>7.3 IFPUG功能点分析</w:t>
      </w:r>
      <w:bookmarkEnd w:id="36"/>
    </w:p>
    <w:p>
      <w:pPr>
        <w:pStyle w:val="4"/>
      </w:pPr>
      <w:bookmarkStart w:id="37" w:name="_Toc28225"/>
      <w:r>
        <w:t>7.3.1 数据类功能点</w:t>
      </w:r>
      <w:bookmarkEnd w:id="37"/>
    </w:p>
    <w:p>
      <w:pPr>
        <w:spacing w:before="80"/>
        <w:ind w:firstLine="440"/>
      </w:pPr>
    </w:p>
    <w:tbl>
      <w:tblPr>
        <w:tblStyle w:val="14"/>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09"/>
        <w:gridCol w:w="1461"/>
        <w:gridCol w:w="3359"/>
        <w:gridCol w:w="708"/>
        <w:gridCol w:w="1276"/>
        <w:gridCol w:w="79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9"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类型</w:t>
            </w:r>
          </w:p>
        </w:tc>
        <w:tc>
          <w:tcPr>
            <w:tcW w:w="1461"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逻辑文件</w:t>
            </w:r>
          </w:p>
        </w:tc>
        <w:tc>
          <w:tcPr>
            <w:tcW w:w="3359"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数据元素（DET）</w:t>
            </w:r>
          </w:p>
        </w:tc>
        <w:tc>
          <w:tcPr>
            <w:tcW w:w="708"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RET</w:t>
            </w:r>
          </w:p>
        </w:tc>
        <w:tc>
          <w:tcPr>
            <w:tcW w:w="1276"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复杂度</w:t>
            </w:r>
          </w:p>
        </w:tc>
        <w:tc>
          <w:tcPr>
            <w:tcW w:w="793"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权重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9"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0" w:firstLineChars="0"/>
              <w:jc w:val="center"/>
            </w:pPr>
            <w:r>
              <w:rPr>
                <w:rFonts w:eastAsia="Arial"/>
                <w:b/>
                <w:bCs/>
                <w:color w:val="1A1A1A"/>
                <w:sz w:val="20"/>
                <w:szCs w:val="20"/>
              </w:rPr>
              <w:t>ILF</w:t>
            </w:r>
          </w:p>
        </w:tc>
        <w:tc>
          <w:tcPr>
            <w:tcW w:w="1461"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污渍检测记录</w:t>
            </w:r>
          </w:p>
        </w:tc>
        <w:tc>
          <w:tcPr>
            <w:tcW w:w="3359"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图片路径、图片上传时间、检测结果图片路径、污渍面积、检测时间、处理状态、报告文件名（7项）</w:t>
            </w:r>
          </w:p>
        </w:tc>
        <w:tc>
          <w:tcPr>
            <w:tcW w:w="708"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1</w:t>
            </w:r>
          </w:p>
        </w:tc>
        <w:tc>
          <w:tcPr>
            <w:tcW w:w="127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低（Low）</w:t>
            </w:r>
          </w:p>
        </w:tc>
        <w:tc>
          <w:tcPr>
            <w:tcW w:w="793"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9"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b/>
                <w:bCs/>
                <w:color w:val="1A1A1A"/>
                <w:sz w:val="20"/>
                <w:szCs w:val="20"/>
              </w:rPr>
              <w:t>EIF</w:t>
            </w:r>
          </w:p>
        </w:tc>
        <w:tc>
          <w:tcPr>
            <w:tcW w:w="1461"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外部用户系统</w:t>
            </w:r>
          </w:p>
        </w:tc>
        <w:tc>
          <w:tcPr>
            <w:tcW w:w="3359"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用户ID、身份令牌、子系统权限、最后登录时间（4项）</w:t>
            </w:r>
          </w:p>
        </w:tc>
        <w:tc>
          <w:tcPr>
            <w:tcW w:w="708"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1</w:t>
            </w:r>
          </w:p>
        </w:tc>
        <w:tc>
          <w:tcPr>
            <w:tcW w:w="127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低（Low）</w:t>
            </w:r>
          </w:p>
        </w:tc>
        <w:tc>
          <w:tcPr>
            <w:tcW w:w="793"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5</w:t>
            </w:r>
          </w:p>
        </w:tc>
      </w:tr>
    </w:tbl>
    <w:p>
      <w:pPr>
        <w:spacing w:before="80"/>
        <w:ind w:firstLine="440"/>
      </w:pPr>
    </w:p>
    <w:p>
      <w:pPr>
        <w:pStyle w:val="4"/>
      </w:pPr>
      <w:bookmarkStart w:id="38" w:name="_Toc4811"/>
      <w:r>
        <w:t>7.3.2 人机交互事务类功能点</w:t>
      </w:r>
      <w:bookmarkEnd w:id="38"/>
    </w:p>
    <w:p>
      <w:pPr>
        <w:spacing w:before="80"/>
        <w:ind w:firstLine="440"/>
      </w:pPr>
    </w:p>
    <w:tbl>
      <w:tblPr>
        <w:tblStyle w:val="14"/>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9"/>
        <w:gridCol w:w="1531"/>
        <w:gridCol w:w="2954"/>
        <w:gridCol w:w="783"/>
        <w:gridCol w:w="1385"/>
        <w:gridCol w:w="94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9"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类型</w:t>
            </w:r>
          </w:p>
        </w:tc>
        <w:tc>
          <w:tcPr>
            <w:tcW w:w="1531"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事务名称</w:t>
            </w:r>
          </w:p>
        </w:tc>
        <w:tc>
          <w:tcPr>
            <w:tcW w:w="2954"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数据元素（DET）</w:t>
            </w:r>
          </w:p>
        </w:tc>
        <w:tc>
          <w:tcPr>
            <w:tcW w:w="783"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FTR</w:t>
            </w:r>
          </w:p>
        </w:tc>
        <w:tc>
          <w:tcPr>
            <w:tcW w:w="1385"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复杂度</w:t>
            </w:r>
          </w:p>
        </w:tc>
        <w:tc>
          <w:tcPr>
            <w:tcW w:w="944"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权重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9"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EI</w:t>
            </w:r>
          </w:p>
        </w:tc>
        <w:tc>
          <w:tcPr>
            <w:tcW w:w="1531"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检测数据录入与处理</w:t>
            </w:r>
          </w:p>
        </w:tc>
        <w:tc>
          <w:tcPr>
            <w:tcW w:w="295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图片路径、图片上传时间、检测结果图片路径、污渍面积、检测时间、处理状态（6项）</w:t>
            </w:r>
          </w:p>
        </w:tc>
        <w:tc>
          <w:tcPr>
            <w:tcW w:w="783"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2</w:t>
            </w:r>
          </w:p>
        </w:tc>
        <w:tc>
          <w:tcPr>
            <w:tcW w:w="1385"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平均（Average）</w:t>
            </w:r>
          </w:p>
        </w:tc>
        <w:tc>
          <w:tcPr>
            <w:tcW w:w="94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9"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EQ</w:t>
            </w:r>
          </w:p>
        </w:tc>
        <w:tc>
          <w:tcPr>
            <w:tcW w:w="1531"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历史检测记录查询</w:t>
            </w:r>
          </w:p>
        </w:tc>
        <w:tc>
          <w:tcPr>
            <w:tcW w:w="295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记录ID、图片路径、检测结果图片路径、污渍面积、检测时间、处理状态（6项）</w:t>
            </w:r>
          </w:p>
        </w:tc>
        <w:tc>
          <w:tcPr>
            <w:tcW w:w="783"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2</w:t>
            </w:r>
          </w:p>
        </w:tc>
        <w:tc>
          <w:tcPr>
            <w:tcW w:w="1385"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平均（Average）</w:t>
            </w:r>
          </w:p>
        </w:tc>
        <w:tc>
          <w:tcPr>
            <w:tcW w:w="94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9"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EO</w:t>
            </w:r>
          </w:p>
        </w:tc>
        <w:tc>
          <w:tcPr>
            <w:tcW w:w="1531"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检测报告导出</w:t>
            </w:r>
          </w:p>
        </w:tc>
        <w:tc>
          <w:tcPr>
            <w:tcW w:w="295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图片路径、检测结果图片路径、污渍面积、检测时间、处理状态、报告文件名（6项）</w:t>
            </w:r>
          </w:p>
        </w:tc>
        <w:tc>
          <w:tcPr>
            <w:tcW w:w="783"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1</w:t>
            </w:r>
          </w:p>
        </w:tc>
        <w:tc>
          <w:tcPr>
            <w:tcW w:w="1385"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平均（Average）</w:t>
            </w:r>
          </w:p>
        </w:tc>
        <w:tc>
          <w:tcPr>
            <w:tcW w:w="94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5</w:t>
            </w:r>
          </w:p>
        </w:tc>
      </w:tr>
    </w:tbl>
    <w:p>
      <w:pPr>
        <w:pStyle w:val="4"/>
      </w:pPr>
      <w:bookmarkStart w:id="39" w:name="_Toc24845"/>
      <w:r>
        <w:t>7.3.3 未调整功能点计算</w:t>
      </w:r>
      <w:bookmarkEnd w:id="39"/>
    </w:p>
    <w:p>
      <w:pPr>
        <w:spacing w:before="60" w:after="100" w:line="320" w:lineRule="auto"/>
        <w:ind w:firstLine="440"/>
        <w:jc w:val="both"/>
      </w:pPr>
      <w:r>
        <w:rPr>
          <w:rFonts w:eastAsia="Arial"/>
          <w:color w:val="1A1A1A"/>
        </w:rPr>
        <w:t>UFP = ILF(7) + EIF(5) + EI(4) + EQ(4) + EO(5) = 25 功能点</w:t>
      </w:r>
    </w:p>
    <w:p>
      <w:pPr>
        <w:pStyle w:val="4"/>
      </w:pPr>
      <w:bookmarkStart w:id="40" w:name="_Toc8346"/>
      <w:r>
        <w:t>7.3.4 值调整因子（VAF）计算</w:t>
      </w:r>
      <w:bookmarkEnd w:id="40"/>
    </w:p>
    <w:p>
      <w:pPr>
        <w:spacing w:before="80"/>
        <w:ind w:firstLine="440"/>
      </w:pPr>
    </w:p>
    <w:tbl>
      <w:tblPr>
        <w:tblStyle w:val="14"/>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4"/>
        <w:gridCol w:w="1521"/>
        <w:gridCol w:w="3544"/>
        <w:gridCol w:w="708"/>
        <w:gridCol w:w="206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4"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序号</w:t>
            </w:r>
          </w:p>
        </w:tc>
        <w:tc>
          <w:tcPr>
            <w:tcW w:w="1521"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通用系统特征</w:t>
            </w:r>
          </w:p>
        </w:tc>
        <w:tc>
          <w:tcPr>
            <w:tcW w:w="3544"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本项目情况</w:t>
            </w:r>
          </w:p>
        </w:tc>
        <w:tc>
          <w:tcPr>
            <w:tcW w:w="708"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评分</w:t>
            </w:r>
          </w:p>
        </w:tc>
        <w:tc>
          <w:tcPr>
            <w:tcW w:w="2069"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评分依据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1</w:t>
            </w:r>
          </w:p>
        </w:tc>
        <w:tc>
          <w:tcPr>
            <w:tcW w:w="1521"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0" w:firstLineChars="0"/>
              <w:jc w:val="center"/>
            </w:pPr>
            <w:r>
              <w:rPr>
                <w:rFonts w:eastAsia="Arial"/>
                <w:b/>
                <w:bCs/>
                <w:color w:val="1A1A1A"/>
                <w:sz w:val="20"/>
                <w:szCs w:val="20"/>
              </w:rPr>
              <w:t>数据通信</w:t>
            </w:r>
          </w:p>
        </w:tc>
        <w:tc>
          <w:tcPr>
            <w:tcW w:w="354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从OSS获取图片，结果存储于MySQL/OSS</w:t>
            </w:r>
          </w:p>
        </w:tc>
        <w:tc>
          <w:tcPr>
            <w:tcW w:w="708"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2</w:t>
            </w:r>
          </w:p>
        </w:tc>
        <w:tc>
          <w:tcPr>
            <w:tcW w:w="2069"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有中等程度的数据传输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2</w:t>
            </w:r>
          </w:p>
        </w:tc>
        <w:tc>
          <w:tcPr>
            <w:tcW w:w="1521"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b/>
                <w:bCs/>
                <w:color w:val="1A1A1A"/>
                <w:sz w:val="20"/>
                <w:szCs w:val="20"/>
              </w:rPr>
              <w:t>分布式处理</w:t>
            </w:r>
          </w:p>
        </w:tc>
        <w:tc>
          <w:tcPr>
            <w:tcW w:w="354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单机运行，无分布式需求</w:t>
            </w:r>
          </w:p>
        </w:tc>
        <w:tc>
          <w:tcPr>
            <w:tcW w:w="708"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0</w:t>
            </w:r>
          </w:p>
        </w:tc>
        <w:tc>
          <w:tcPr>
            <w:tcW w:w="2069"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无分布式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3</w:t>
            </w:r>
          </w:p>
        </w:tc>
        <w:tc>
          <w:tcPr>
            <w:tcW w:w="1521"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0" w:firstLineChars="0"/>
              <w:jc w:val="center"/>
            </w:pPr>
            <w:r>
              <w:rPr>
                <w:rFonts w:eastAsia="Arial"/>
                <w:b/>
                <w:bCs/>
                <w:color w:val="1A1A1A"/>
                <w:sz w:val="20"/>
                <w:szCs w:val="20"/>
              </w:rPr>
              <w:t>性能要求</w:t>
            </w:r>
          </w:p>
        </w:tc>
        <w:tc>
          <w:tcPr>
            <w:tcW w:w="354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20秒检测，5秒查询响应，100并发</w:t>
            </w:r>
          </w:p>
        </w:tc>
        <w:tc>
          <w:tcPr>
            <w:tcW w:w="708"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3</w:t>
            </w:r>
          </w:p>
        </w:tc>
        <w:tc>
          <w:tcPr>
            <w:tcW w:w="2069"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有明确性能约束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4</w:t>
            </w:r>
          </w:p>
        </w:tc>
        <w:tc>
          <w:tcPr>
            <w:tcW w:w="1521"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b/>
                <w:bCs/>
                <w:color w:val="1A1A1A"/>
                <w:sz w:val="20"/>
                <w:szCs w:val="20"/>
              </w:rPr>
              <w:t>硬件配置</w:t>
            </w:r>
          </w:p>
        </w:tc>
        <w:tc>
          <w:tcPr>
            <w:tcW w:w="354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普通PC即可运行，无特殊配置</w:t>
            </w:r>
          </w:p>
        </w:tc>
        <w:tc>
          <w:tcPr>
            <w:tcW w:w="708"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1</w:t>
            </w:r>
          </w:p>
        </w:tc>
        <w:tc>
          <w:tcPr>
            <w:tcW w:w="2069"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轻微特殊硬件需求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5</w:t>
            </w:r>
          </w:p>
        </w:tc>
        <w:tc>
          <w:tcPr>
            <w:tcW w:w="1521"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0" w:firstLineChars="0"/>
              <w:jc w:val="center"/>
            </w:pPr>
            <w:r>
              <w:rPr>
                <w:rFonts w:eastAsia="Arial"/>
                <w:b/>
                <w:bCs/>
                <w:color w:val="1A1A1A"/>
                <w:sz w:val="20"/>
                <w:szCs w:val="20"/>
              </w:rPr>
              <w:t>事务处理率</w:t>
            </w:r>
          </w:p>
        </w:tc>
        <w:tc>
          <w:tcPr>
            <w:tcW w:w="354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每日500+检测操作，集中在工作时间</w:t>
            </w:r>
          </w:p>
        </w:tc>
        <w:tc>
          <w:tcPr>
            <w:tcW w:w="708"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3</w:t>
            </w:r>
          </w:p>
        </w:tc>
        <w:tc>
          <w:tcPr>
            <w:tcW w:w="2069"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事务量对设计有影响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6</w:t>
            </w:r>
          </w:p>
        </w:tc>
        <w:tc>
          <w:tcPr>
            <w:tcW w:w="1521"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b/>
                <w:bCs/>
                <w:color w:val="1A1A1A"/>
                <w:sz w:val="20"/>
                <w:szCs w:val="20"/>
              </w:rPr>
              <w:t>在线数据输入</w:t>
            </w:r>
          </w:p>
        </w:tc>
        <w:tc>
          <w:tcPr>
            <w:tcW w:w="354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图片上传和检测结果保存是在线的</w:t>
            </w:r>
          </w:p>
        </w:tc>
        <w:tc>
          <w:tcPr>
            <w:tcW w:w="708"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2</w:t>
            </w:r>
          </w:p>
        </w:tc>
        <w:tc>
          <w:tcPr>
            <w:tcW w:w="2069"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数据在线实时录入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7</w:t>
            </w:r>
          </w:p>
        </w:tc>
        <w:tc>
          <w:tcPr>
            <w:tcW w:w="1521"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0" w:firstLineChars="0"/>
              <w:jc w:val="center"/>
            </w:pPr>
            <w:r>
              <w:rPr>
                <w:rFonts w:eastAsia="Arial"/>
                <w:b/>
                <w:bCs/>
                <w:color w:val="1A1A1A"/>
                <w:sz w:val="20"/>
                <w:szCs w:val="20"/>
              </w:rPr>
              <w:t>用户效率</w:t>
            </w:r>
          </w:p>
        </w:tc>
        <w:tc>
          <w:tcPr>
            <w:tcW w:w="354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前端页面使用已有设计</w:t>
            </w:r>
          </w:p>
        </w:tc>
        <w:tc>
          <w:tcPr>
            <w:tcW w:w="708"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0</w:t>
            </w:r>
          </w:p>
        </w:tc>
        <w:tc>
          <w:tcPr>
            <w:tcW w:w="2069"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不专门为用户效率优化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8</w:t>
            </w:r>
          </w:p>
        </w:tc>
        <w:tc>
          <w:tcPr>
            <w:tcW w:w="1521"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b/>
                <w:bCs/>
                <w:color w:val="1A1A1A"/>
                <w:sz w:val="20"/>
                <w:szCs w:val="20"/>
              </w:rPr>
              <w:t>在线更新</w:t>
            </w:r>
          </w:p>
        </w:tc>
        <w:tc>
          <w:tcPr>
            <w:tcW w:w="354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仅记录查询，无在线修改业务</w:t>
            </w:r>
          </w:p>
        </w:tc>
        <w:tc>
          <w:tcPr>
            <w:tcW w:w="708"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0</w:t>
            </w:r>
          </w:p>
        </w:tc>
        <w:tc>
          <w:tcPr>
            <w:tcW w:w="2069"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无在线实时修改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9</w:t>
            </w:r>
          </w:p>
        </w:tc>
        <w:tc>
          <w:tcPr>
            <w:tcW w:w="1521"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0" w:firstLineChars="0"/>
              <w:jc w:val="center"/>
            </w:pPr>
            <w:r>
              <w:rPr>
                <w:rFonts w:eastAsia="Arial"/>
                <w:b/>
                <w:bCs/>
                <w:color w:val="1A1A1A"/>
                <w:sz w:val="20"/>
                <w:szCs w:val="20"/>
              </w:rPr>
              <w:t>复杂处理</w:t>
            </w:r>
          </w:p>
        </w:tc>
        <w:tc>
          <w:tcPr>
            <w:tcW w:w="354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包含YOLO检测、面积计算等算法</w:t>
            </w:r>
          </w:p>
        </w:tc>
        <w:tc>
          <w:tcPr>
            <w:tcW w:w="708"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3</w:t>
            </w:r>
          </w:p>
        </w:tc>
        <w:tc>
          <w:tcPr>
            <w:tcW w:w="2069"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包含复杂AI算法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10</w:t>
            </w:r>
          </w:p>
        </w:tc>
        <w:tc>
          <w:tcPr>
            <w:tcW w:w="1521"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b/>
                <w:bCs/>
                <w:color w:val="1A1A1A"/>
                <w:sz w:val="20"/>
                <w:szCs w:val="20"/>
              </w:rPr>
              <w:t>可复用性</w:t>
            </w:r>
          </w:p>
        </w:tc>
        <w:tc>
          <w:tcPr>
            <w:tcW w:w="354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新开发，无可复用组件</w:t>
            </w:r>
          </w:p>
        </w:tc>
        <w:tc>
          <w:tcPr>
            <w:tcW w:w="708"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1</w:t>
            </w:r>
          </w:p>
        </w:tc>
        <w:tc>
          <w:tcPr>
            <w:tcW w:w="2069"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轻微复用设计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11</w:t>
            </w:r>
          </w:p>
        </w:tc>
        <w:tc>
          <w:tcPr>
            <w:tcW w:w="1521"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0" w:firstLineChars="0"/>
              <w:jc w:val="center"/>
            </w:pPr>
            <w:r>
              <w:rPr>
                <w:rFonts w:eastAsia="Arial"/>
                <w:b/>
                <w:bCs/>
                <w:color w:val="1A1A1A"/>
                <w:sz w:val="20"/>
                <w:szCs w:val="20"/>
              </w:rPr>
              <w:t>安装便捷性</w:t>
            </w:r>
          </w:p>
        </w:tc>
        <w:tc>
          <w:tcPr>
            <w:tcW w:w="354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Docker一键部署，无特殊要求</w:t>
            </w:r>
          </w:p>
        </w:tc>
        <w:tc>
          <w:tcPr>
            <w:tcW w:w="708"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0</w:t>
            </w:r>
          </w:p>
        </w:tc>
        <w:tc>
          <w:tcPr>
            <w:tcW w:w="2069"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无特殊安装需求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12</w:t>
            </w:r>
          </w:p>
        </w:tc>
        <w:tc>
          <w:tcPr>
            <w:tcW w:w="1521"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b/>
                <w:bCs/>
                <w:color w:val="1A1A1A"/>
                <w:sz w:val="20"/>
                <w:szCs w:val="20"/>
              </w:rPr>
              <w:t>操作便捷性</w:t>
            </w:r>
          </w:p>
        </w:tc>
        <w:tc>
          <w:tcPr>
            <w:tcW w:w="354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前端页面用已有设计</w:t>
            </w:r>
          </w:p>
        </w:tc>
        <w:tc>
          <w:tcPr>
            <w:tcW w:w="708"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0</w:t>
            </w:r>
          </w:p>
        </w:tc>
        <w:tc>
          <w:tcPr>
            <w:tcW w:w="2069"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不专门优化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13</w:t>
            </w:r>
          </w:p>
        </w:tc>
        <w:tc>
          <w:tcPr>
            <w:tcW w:w="1521"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0" w:firstLineChars="0"/>
              <w:jc w:val="center"/>
            </w:pPr>
            <w:r>
              <w:rPr>
                <w:rFonts w:eastAsia="Arial"/>
                <w:b/>
                <w:bCs/>
                <w:color w:val="1A1A1A"/>
                <w:sz w:val="20"/>
                <w:szCs w:val="20"/>
              </w:rPr>
              <w:t>多站点运行</w:t>
            </w:r>
          </w:p>
        </w:tc>
        <w:tc>
          <w:tcPr>
            <w:tcW w:w="354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单区域部署（华东1）</w:t>
            </w:r>
          </w:p>
        </w:tc>
        <w:tc>
          <w:tcPr>
            <w:tcW w:w="708"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1</w:t>
            </w:r>
          </w:p>
        </w:tc>
        <w:tc>
          <w:tcPr>
            <w:tcW w:w="2069"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单站点部署</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14</w:t>
            </w:r>
          </w:p>
        </w:tc>
        <w:tc>
          <w:tcPr>
            <w:tcW w:w="1521"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b/>
                <w:bCs/>
                <w:color w:val="1A1A1A"/>
                <w:sz w:val="20"/>
                <w:szCs w:val="20"/>
              </w:rPr>
              <w:t>可修改性</w:t>
            </w:r>
          </w:p>
        </w:tc>
        <w:tc>
          <w:tcPr>
            <w:tcW w:w="354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未做额外扩展性设计</w:t>
            </w:r>
          </w:p>
        </w:tc>
        <w:tc>
          <w:tcPr>
            <w:tcW w:w="708"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1</w:t>
            </w:r>
          </w:p>
        </w:tc>
        <w:tc>
          <w:tcPr>
            <w:tcW w:w="2069"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轻微可修改性考虑</w:t>
            </w:r>
          </w:p>
        </w:tc>
      </w:tr>
    </w:tbl>
    <w:p>
      <w:pPr>
        <w:spacing w:before="80"/>
        <w:ind w:firstLine="440"/>
      </w:pPr>
    </w:p>
    <w:p>
      <w:pPr>
        <w:spacing w:before="60" w:after="100" w:line="320" w:lineRule="auto"/>
        <w:ind w:firstLine="440"/>
        <w:jc w:val="both"/>
      </w:pPr>
      <w:r>
        <w:rPr>
          <w:rFonts w:eastAsia="Arial"/>
          <w:color w:val="1A1A1A"/>
        </w:rPr>
        <w:t>TDI（影响度总和）= 2+0+3+1+3+2+0+0+3+1+0+0+1+1 = 17</w:t>
      </w:r>
    </w:p>
    <w:p>
      <w:pPr>
        <w:spacing w:before="60" w:after="100" w:line="320" w:lineRule="auto"/>
        <w:ind w:firstLine="440"/>
        <w:jc w:val="both"/>
      </w:pPr>
      <w:r>
        <w:rPr>
          <w:rFonts w:eastAsia="Arial"/>
          <w:color w:val="1A1A1A"/>
        </w:rPr>
        <w:t>VAF = 0.65 + 0.01 × 17 = 0.82</w:t>
      </w:r>
    </w:p>
    <w:p>
      <w:pPr>
        <w:spacing w:before="60" w:after="100" w:line="320" w:lineRule="auto"/>
        <w:ind w:firstLine="440"/>
        <w:jc w:val="both"/>
      </w:pPr>
      <w:r>
        <w:rPr>
          <w:rFonts w:eastAsia="Arial"/>
          <w:color w:val="1A1A1A"/>
        </w:rPr>
        <w:t>AFP（调整后功能点）= UFP × VAF = 25 × 0.82 = 20.5 ≈ 21 FP</w:t>
      </w:r>
    </w:p>
    <w:p>
      <w:pPr>
        <w:pStyle w:val="3"/>
      </w:pPr>
      <w:bookmarkStart w:id="41" w:name="_Toc2342"/>
      <w:r>
        <w:t>7.4 NESMA方法交叉验证</w:t>
      </w:r>
      <w:bookmarkEnd w:id="41"/>
    </w:p>
    <w:p>
      <w:pPr>
        <w:spacing w:before="60" w:after="100" w:line="320" w:lineRule="auto"/>
        <w:ind w:firstLine="440"/>
        <w:jc w:val="both"/>
      </w:pPr>
      <w:r>
        <w:rPr>
          <w:rFonts w:eastAsia="Arial"/>
          <w:color w:val="1A1A1A"/>
        </w:rPr>
        <w:t>采用NESMA方法进行三级递进式估算以验证IFPUG结果：</w:t>
      </w:r>
    </w:p>
    <w:p>
      <w:pPr>
        <w:pStyle w:val="20"/>
        <w:numPr>
          <w:ilvl w:val="0"/>
          <w:numId w:val="1"/>
        </w:numPr>
        <w:spacing w:before="40" w:after="40" w:line="300" w:lineRule="auto"/>
      </w:pPr>
      <w:r>
        <w:rPr>
          <w:rFonts w:eastAsia="Arial"/>
          <w:color w:val="1A1A1A"/>
        </w:rPr>
        <w:t>指示功能点（仅计ILF/EIF）：UFP = 1×35 + 1×15 = 50（早期快速估算，偏保守）</w:t>
      </w:r>
    </w:p>
    <w:p>
      <w:pPr>
        <w:pStyle w:val="20"/>
        <w:numPr>
          <w:ilvl w:val="0"/>
          <w:numId w:val="1"/>
        </w:numPr>
        <w:spacing w:before="40" w:after="40" w:line="300" w:lineRule="auto"/>
      </w:pPr>
      <w:r>
        <w:rPr>
          <w:rFonts w:eastAsia="Arial"/>
          <w:color w:val="1A1A1A"/>
        </w:rPr>
        <w:t>估算功能点（按标准平均权重）：UFP = 7+5+4+4+5 = 25（与IFPUG一致）</w:t>
      </w:r>
    </w:p>
    <w:p>
      <w:pPr>
        <w:pStyle w:val="20"/>
        <w:numPr>
          <w:ilvl w:val="0"/>
          <w:numId w:val="1"/>
        </w:numPr>
        <w:spacing w:before="40" w:after="40" w:line="300" w:lineRule="auto"/>
      </w:pPr>
      <w:r>
        <w:rPr>
          <w:rFonts w:eastAsia="Arial"/>
          <w:color w:val="1A1A1A"/>
        </w:rPr>
        <w:t>详细功能点（与IFPUG规则一致）：UFP = 25，AFP = 21（取VAF=0.82时）</w:t>
      </w:r>
    </w:p>
    <w:p>
      <w:pPr>
        <w:spacing w:before="60" w:after="100" w:line="320" w:lineRule="auto"/>
        <w:ind w:firstLine="440"/>
        <w:jc w:val="both"/>
      </w:pPr>
      <w:r>
        <w:rPr>
          <w:rFonts w:eastAsia="Arial"/>
          <w:color w:val="1A1A1A"/>
        </w:rPr>
        <w:t>两种方法在详细计数阶段得到完全一致的UFP=25，验证了NESMA详细法与IFPUG的高度等价性，结果可信。</w:t>
      </w:r>
    </w:p>
    <w:p>
      <w:pPr>
        <w:pStyle w:val="3"/>
      </w:pPr>
      <w:bookmarkStart w:id="42" w:name="_Toc10069"/>
      <w:r>
        <w:t>7.5 规模估算汇总</w:t>
      </w:r>
      <w:bookmarkEnd w:id="42"/>
    </w:p>
    <w:p>
      <w:pPr>
        <w:spacing w:before="80"/>
        <w:ind w:firstLine="440"/>
      </w:pPr>
    </w:p>
    <w:tbl>
      <w:tblPr>
        <w:tblStyle w:val="14"/>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1044"/>
        <w:gridCol w:w="992"/>
        <w:gridCol w:w="377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度量方法</w:t>
            </w:r>
          </w:p>
        </w:tc>
        <w:tc>
          <w:tcPr>
            <w:tcW w:w="1044"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UFP</w:t>
            </w:r>
          </w:p>
        </w:tc>
        <w:tc>
          <w:tcPr>
            <w:tcW w:w="992"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AFP</w:t>
            </w:r>
          </w:p>
        </w:tc>
        <w:tc>
          <w:tcPr>
            <w:tcW w:w="377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IFPUG</w:t>
            </w:r>
          </w:p>
        </w:tc>
        <w:tc>
          <w:tcPr>
            <w:tcW w:w="104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25</w:t>
            </w:r>
          </w:p>
        </w:tc>
        <w:tc>
          <w:tcPr>
            <w:tcW w:w="992"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21</w:t>
            </w:r>
          </w:p>
        </w:tc>
        <w:tc>
          <w:tcPr>
            <w:tcW w:w="377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主要度量方法，含VAF调整（VAF=0.82）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NESMA详细法</w:t>
            </w:r>
          </w:p>
        </w:tc>
        <w:tc>
          <w:tcPr>
            <w:tcW w:w="104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25</w:t>
            </w:r>
          </w:p>
        </w:tc>
        <w:tc>
          <w:tcPr>
            <w:tcW w:w="992"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21</w:t>
            </w:r>
          </w:p>
        </w:tc>
        <w:tc>
          <w:tcPr>
            <w:tcW w:w="377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交叉验证方法，结果与IFPUG完全一致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NESMA指示法（参考）</w:t>
            </w:r>
          </w:p>
        </w:tc>
        <w:tc>
          <w:tcPr>
            <w:tcW w:w="104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50</w:t>
            </w:r>
          </w:p>
        </w:tc>
        <w:tc>
          <w:tcPr>
            <w:tcW w:w="992"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w:t>
            </w:r>
          </w:p>
        </w:tc>
        <w:tc>
          <w:tcPr>
            <w:tcW w:w="377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早期估算参考值，适合项目立项阶段</w:t>
            </w:r>
          </w:p>
        </w:tc>
      </w:tr>
    </w:tbl>
    <w:p>
      <w:pPr>
        <w:ind w:firstLine="440"/>
      </w:pPr>
    </w:p>
    <w:p>
      <w:pPr>
        <w:pStyle w:val="2"/>
        <w:pBdr>
          <w:bottom w:val="single" w:color="2E75B6" w:sz="8" w:space="6"/>
        </w:pBdr>
      </w:pPr>
      <w:bookmarkStart w:id="43" w:name="_Toc7425"/>
      <w:r>
        <w:t>第八章  软件成本估算</w:t>
      </w:r>
      <w:bookmarkEnd w:id="43"/>
    </w:p>
    <w:p>
      <w:pPr>
        <w:pStyle w:val="3"/>
      </w:pPr>
      <w:bookmarkStart w:id="44" w:name="_Toc1090"/>
      <w:r>
        <w:t>8.1 估算方法与数据来源</w:t>
      </w:r>
      <w:bookmarkEnd w:id="44"/>
    </w:p>
    <w:p>
      <w:pPr>
        <w:spacing w:before="60" w:after="100" w:line="320" w:lineRule="auto"/>
        <w:ind w:firstLine="440"/>
        <w:jc w:val="both"/>
      </w:pPr>
      <w:r>
        <w:rPr>
          <w:rFonts w:eastAsia="Arial"/>
          <w:color w:val="1A1A1A"/>
        </w:rPr>
        <w:t>本项目软件成本估算以第七章得到的AFP=21为输入规模数据，采用国家标准GB/T 36964《软件工程 软件开发成本度量规范》为主要估算框架，以北京软件造价评估技术创新联盟（BSCEA）发布的《2025年中国软件行业基准数据（CSBMK®-202510）》为生产率数据来源。</w:t>
      </w:r>
    </w:p>
    <w:p>
      <w:pPr>
        <w:pStyle w:val="3"/>
      </w:pPr>
      <w:bookmarkStart w:id="45" w:name="_Toc2787"/>
      <w:r>
        <w:t>8.2 GB/T 36964方法估算（主要方法）</w:t>
      </w:r>
      <w:bookmarkEnd w:id="45"/>
    </w:p>
    <w:p>
      <w:pPr>
        <w:pStyle w:val="4"/>
      </w:pPr>
      <w:bookmarkStart w:id="46" w:name="_Toc16962"/>
      <w:r>
        <w:t>8.2.1 生产率选取依据</w:t>
      </w:r>
      <w:bookmarkEnd w:id="46"/>
    </w:p>
    <w:p>
      <w:pPr>
        <w:spacing w:before="80"/>
        <w:ind w:firstLine="440"/>
      </w:pPr>
    </w:p>
    <w:tbl>
      <w:tblPr>
        <w:tblStyle w:val="14"/>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35"/>
        <w:gridCol w:w="1335"/>
        <w:gridCol w:w="1866"/>
        <w:gridCol w:w="1134"/>
        <w:gridCol w:w="1134"/>
        <w:gridCol w:w="150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P10</w:t>
            </w:r>
          </w:p>
        </w:tc>
        <w:tc>
          <w:tcPr>
            <w:tcW w:w="1335"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P25</w:t>
            </w:r>
          </w:p>
        </w:tc>
        <w:tc>
          <w:tcPr>
            <w:tcW w:w="1866"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P50（中位数）</w:t>
            </w:r>
          </w:p>
        </w:tc>
        <w:tc>
          <w:tcPr>
            <w:tcW w:w="1134"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P75</w:t>
            </w:r>
          </w:p>
        </w:tc>
        <w:tc>
          <w:tcPr>
            <w:tcW w:w="1134"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P90</w:t>
            </w:r>
          </w:p>
        </w:tc>
        <w:tc>
          <w:tcPr>
            <w:tcW w:w="1502"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本项目选取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2.02</w:t>
            </w:r>
          </w:p>
        </w:tc>
        <w:tc>
          <w:tcPr>
            <w:tcW w:w="1335"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4.21</w:t>
            </w:r>
          </w:p>
        </w:tc>
        <w:tc>
          <w:tcPr>
            <w:tcW w:w="186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6.72</w:t>
            </w:r>
          </w:p>
        </w:tc>
        <w:tc>
          <w:tcPr>
            <w:tcW w:w="113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14.10</w:t>
            </w:r>
          </w:p>
        </w:tc>
        <w:tc>
          <w:tcPr>
            <w:tcW w:w="113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18.87</w:t>
            </w:r>
          </w:p>
        </w:tc>
        <w:tc>
          <w:tcPr>
            <w:tcW w:w="1502"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P50 = 6.72</w:t>
            </w:r>
          </w:p>
        </w:tc>
      </w:tr>
    </w:tbl>
    <w:p>
      <w:pPr>
        <w:spacing w:before="80"/>
        <w:ind w:firstLine="440"/>
      </w:pPr>
    </w:p>
    <w:p>
      <w:pPr>
        <w:spacing w:before="60" w:after="100" w:line="320" w:lineRule="auto"/>
        <w:ind w:firstLine="440"/>
        <w:jc w:val="both"/>
      </w:pPr>
      <w:r>
        <w:rPr>
          <w:rFonts w:eastAsia="Arial"/>
          <w:color w:val="1A1A1A"/>
        </w:rPr>
        <w:t>选取P50（中位数=6.72人时/FP）的依据：本项目为新开发的图像检测类应用，规模较小（21 FP），功能相对集中；团队为大学生，开发经验有限；但项目技术栈现代（FastAPI、YOLO、Vue3），有成熟文档和社区支持；含复杂深度学习算法（污渍检测、面积计算）。综合考量，行业中位数是合理的生产率取值。</w:t>
      </w:r>
    </w:p>
    <w:p>
      <w:pPr>
        <w:pStyle w:val="4"/>
      </w:pPr>
      <w:bookmarkStart w:id="47" w:name="_Toc30995"/>
      <w:r>
        <w:t>8.2.2 工作量与成本计算</w:t>
      </w:r>
      <w:bookmarkEnd w:id="47"/>
    </w:p>
    <w:p>
      <w:pPr>
        <w:spacing w:before="80"/>
        <w:ind w:firstLine="440"/>
      </w:pPr>
    </w:p>
    <w:tbl>
      <w:tblPr>
        <w:tblStyle w:val="14"/>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27"/>
        <w:gridCol w:w="1984"/>
        <w:gridCol w:w="419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27"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计算项目</w:t>
            </w:r>
          </w:p>
        </w:tc>
        <w:tc>
          <w:tcPr>
            <w:tcW w:w="1984"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数值</w:t>
            </w:r>
          </w:p>
        </w:tc>
        <w:tc>
          <w:tcPr>
            <w:tcW w:w="4195"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计算过程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27"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软件规模（AFP）</w:t>
            </w:r>
          </w:p>
        </w:tc>
        <w:tc>
          <w:tcPr>
            <w:tcW w:w="198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21 FP</w:t>
            </w:r>
          </w:p>
        </w:tc>
        <w:tc>
          <w:tcPr>
            <w:tcW w:w="4195"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由IFPUG方法度量得出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27"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生产率</w:t>
            </w:r>
          </w:p>
        </w:tc>
        <w:tc>
          <w:tcPr>
            <w:tcW w:w="198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6.72 人时/FP</w:t>
            </w:r>
          </w:p>
        </w:tc>
        <w:tc>
          <w:tcPr>
            <w:tcW w:w="4195"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CSBMK®-202510 P50中位数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27"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工作量（人时）</w:t>
            </w:r>
          </w:p>
        </w:tc>
        <w:tc>
          <w:tcPr>
            <w:tcW w:w="198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141.12 人时</w:t>
            </w:r>
          </w:p>
        </w:tc>
        <w:tc>
          <w:tcPr>
            <w:tcW w:w="4195"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21 FP × 6.72 人时/FP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27"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月工作小时数</w:t>
            </w:r>
          </w:p>
        </w:tc>
        <w:tc>
          <w:tcPr>
            <w:tcW w:w="198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180 小时/月</w:t>
            </w:r>
          </w:p>
        </w:tc>
        <w:tc>
          <w:tcPr>
            <w:tcW w:w="4195"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22.5 天/月 × 8 小时/天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27"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工作量（人月）</w:t>
            </w:r>
          </w:p>
        </w:tc>
        <w:tc>
          <w:tcPr>
            <w:tcW w:w="198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0.784 人月</w:t>
            </w:r>
          </w:p>
        </w:tc>
        <w:tc>
          <w:tcPr>
            <w:tcW w:w="4195"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141.12 ÷ 180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27"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人月费率（上海）</w:t>
            </w:r>
          </w:p>
        </w:tc>
        <w:tc>
          <w:tcPr>
            <w:tcW w:w="198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31,309 元/人月</w:t>
            </w:r>
          </w:p>
        </w:tc>
        <w:tc>
          <w:tcPr>
            <w:tcW w:w="4195"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CSBMK®-202510 上海地区，含利润及税金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27"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软件开发成本</w:t>
            </w:r>
          </w:p>
        </w:tc>
        <w:tc>
          <w:tcPr>
            <w:tcW w:w="198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24,546 元</w:t>
            </w:r>
          </w:p>
        </w:tc>
        <w:tc>
          <w:tcPr>
            <w:tcW w:w="4195"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0.784 人月 × 31,309 元/人月</w:t>
            </w:r>
          </w:p>
        </w:tc>
      </w:tr>
    </w:tbl>
    <w:p>
      <w:pPr>
        <w:pStyle w:val="3"/>
      </w:pPr>
      <w:bookmarkStart w:id="48" w:name="_Toc16831"/>
      <w:r>
        <w:t>8.3 COCOMO II方法估算（交叉验证）</w:t>
      </w:r>
      <w:bookmarkEnd w:id="48"/>
    </w:p>
    <w:p>
      <w:pPr>
        <w:spacing w:before="60" w:after="100" w:line="320" w:lineRule="auto"/>
        <w:ind w:firstLine="440"/>
        <w:jc w:val="both"/>
      </w:pPr>
      <w:r>
        <w:rPr>
          <w:rFonts w:eastAsia="Arial"/>
          <w:color w:val="1A1A1A"/>
        </w:rPr>
        <w:t>COCOMO II早期设计模型以源代码千行数（KSLOC）为规模单位，核心公式为：PM = A × (Size)^E × ∏(EMi)。本次仅针对核心业务代码（不含模型权重、SQL脚本、空文件）统计，纳入统计的文件包括main.py、detections.py、auth.py、config.py、response.py、detection.py（schemas）、tasks.py及model_adapter.py。</w:t>
      </w:r>
    </w:p>
    <w:p>
      <w:pPr>
        <w:spacing w:before="80"/>
        <w:ind w:firstLine="440"/>
      </w:pPr>
    </w:p>
    <w:tbl>
      <w:tblPr>
        <w:tblStyle w:val="14"/>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1800"/>
        <w:gridCol w:w="45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参数</w:t>
            </w:r>
          </w:p>
        </w:tc>
        <w:tc>
          <w:tcPr>
            <w:tcW w:w="18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取值</w:t>
            </w:r>
          </w:p>
        </w:tc>
        <w:tc>
          <w:tcPr>
            <w:tcW w:w="4506"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软件规模（Size）</w:t>
            </w:r>
          </w:p>
        </w:tc>
        <w:tc>
          <w:tcPr>
            <w:tcW w:w="180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0.332 KSLOC</w:t>
            </w:r>
          </w:p>
        </w:tc>
        <w:tc>
          <w:tcPr>
            <w:tcW w:w="450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去空行、去纯注释行后统计核心代码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校准常数（A）</w:t>
            </w:r>
          </w:p>
        </w:tc>
        <w:tc>
          <w:tcPr>
            <w:tcW w:w="18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2.94</w:t>
            </w:r>
          </w:p>
        </w:tc>
        <w:tc>
          <w:tcPr>
            <w:tcW w:w="450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COCOMO II标准校准常数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规模指数（E）</w:t>
            </w:r>
          </w:p>
        </w:tc>
        <w:tc>
          <w:tcPr>
            <w:tcW w:w="180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1.11</w:t>
            </w:r>
          </w:p>
        </w:tc>
        <w:tc>
          <w:tcPr>
            <w:tcW w:w="450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项目规模较小，架构清晰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成本驱动因子（∏EMi）</w:t>
            </w:r>
          </w:p>
        </w:tc>
        <w:tc>
          <w:tcPr>
            <w:tcW w:w="18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1.00</w:t>
            </w:r>
          </w:p>
        </w:tc>
        <w:tc>
          <w:tcPr>
            <w:tcW w:w="450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技术栈成熟，结构单一，按名义值处理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计算工作量（PM）</w:t>
            </w:r>
          </w:p>
        </w:tc>
        <w:tc>
          <w:tcPr>
            <w:tcW w:w="180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0.865 人月</w:t>
            </w:r>
          </w:p>
        </w:tc>
        <w:tc>
          <w:tcPr>
            <w:tcW w:w="450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2.94 × (0.332)^1.11 × 1.00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软件开发成本</w:t>
            </w:r>
          </w:p>
        </w:tc>
        <w:tc>
          <w:tcPr>
            <w:tcW w:w="18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27,082 元</w:t>
            </w:r>
          </w:p>
        </w:tc>
        <w:tc>
          <w:tcPr>
            <w:tcW w:w="450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0.865 人月 × 31,309 元/人月</w:t>
            </w:r>
          </w:p>
        </w:tc>
      </w:tr>
    </w:tbl>
    <w:p>
      <w:pPr>
        <w:pStyle w:val="3"/>
      </w:pPr>
      <w:bookmarkStart w:id="49" w:name="_Toc21647"/>
      <w:r>
        <w:t>8.4 双方法对比分析</w:t>
      </w:r>
      <w:bookmarkEnd w:id="49"/>
    </w:p>
    <w:p>
      <w:pPr>
        <w:spacing w:before="80"/>
        <w:ind w:firstLine="440"/>
      </w:pPr>
    </w:p>
    <w:tbl>
      <w:tblPr>
        <w:tblStyle w:val="14"/>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2000"/>
        <w:gridCol w:w="2000"/>
        <w:gridCol w:w="18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对比项</w:t>
            </w:r>
          </w:p>
        </w:tc>
        <w:tc>
          <w:tcPr>
            <w:tcW w:w="20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GB/T 36964方法</w:t>
            </w:r>
          </w:p>
        </w:tc>
        <w:tc>
          <w:tcPr>
            <w:tcW w:w="20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COCOMO II方法</w:t>
            </w:r>
          </w:p>
        </w:tc>
        <w:tc>
          <w:tcPr>
            <w:tcW w:w="1806"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差异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0" w:firstLineChars="0"/>
              <w:jc w:val="center"/>
            </w:pPr>
            <w:r>
              <w:rPr>
                <w:rFonts w:eastAsia="Arial"/>
                <w:b/>
                <w:bCs/>
                <w:color w:val="1A1A1A"/>
                <w:sz w:val="20"/>
                <w:szCs w:val="20"/>
              </w:rPr>
              <w:t>规模单位</w:t>
            </w:r>
          </w:p>
        </w:tc>
        <w:tc>
          <w:tcPr>
            <w:tcW w:w="200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功能点（FP）</w:t>
            </w:r>
          </w:p>
        </w:tc>
        <w:tc>
          <w:tcPr>
            <w:tcW w:w="200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KSLOC</w:t>
            </w:r>
          </w:p>
        </w:tc>
        <w:tc>
          <w:tcPr>
            <w:tcW w:w="180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b/>
                <w:bCs/>
                <w:color w:val="1A1A1A"/>
                <w:sz w:val="20"/>
                <w:szCs w:val="20"/>
              </w:rPr>
              <w:t>规模度量结果</w:t>
            </w:r>
          </w:p>
        </w:tc>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21 FP</w:t>
            </w:r>
          </w:p>
        </w:tc>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0.332 KSLOC</w:t>
            </w:r>
          </w:p>
        </w:tc>
        <w:tc>
          <w:tcPr>
            <w:tcW w:w="180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不同单位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50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0" w:firstLineChars="0"/>
              <w:jc w:val="center"/>
            </w:pPr>
            <w:r>
              <w:rPr>
                <w:rFonts w:eastAsia="Arial"/>
                <w:b/>
                <w:bCs/>
                <w:color w:val="1A1A1A"/>
                <w:sz w:val="20"/>
                <w:szCs w:val="20"/>
              </w:rPr>
              <w:t>工作量</w:t>
            </w:r>
          </w:p>
        </w:tc>
        <w:tc>
          <w:tcPr>
            <w:tcW w:w="200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0.784 人月</w:t>
            </w:r>
          </w:p>
        </w:tc>
        <w:tc>
          <w:tcPr>
            <w:tcW w:w="200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0.865 人月</w:t>
            </w:r>
          </w:p>
        </w:tc>
        <w:tc>
          <w:tcPr>
            <w:tcW w:w="180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+10.3%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b/>
                <w:bCs/>
                <w:color w:val="1A1A1A"/>
                <w:sz w:val="20"/>
                <w:szCs w:val="20"/>
              </w:rPr>
              <w:t>软件开发成本</w:t>
            </w:r>
          </w:p>
        </w:tc>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24,546 元</w:t>
            </w:r>
          </w:p>
        </w:tc>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27,082 元</w:t>
            </w:r>
          </w:p>
        </w:tc>
        <w:tc>
          <w:tcPr>
            <w:tcW w:w="180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+10.4%</w:t>
            </w:r>
          </w:p>
        </w:tc>
      </w:tr>
    </w:tbl>
    <w:p>
      <w:pPr>
        <w:spacing w:before="80"/>
        <w:ind w:firstLine="440"/>
      </w:pPr>
    </w:p>
    <w:p>
      <w:pPr>
        <w:spacing w:before="60" w:after="100" w:line="320" w:lineRule="auto"/>
        <w:ind w:firstLine="440"/>
        <w:jc w:val="both"/>
        <w:rPr>
          <w:color w:val="1A1A1A"/>
        </w:rPr>
      </w:pPr>
      <w:r>
        <w:rPr>
          <w:rFonts w:eastAsia="Arial"/>
          <w:color w:val="1A1A1A"/>
        </w:rPr>
        <w:t>两种方法估算差异为10.4%，远低于20%的可信阈值，验证了成本估算的合理性。前者从业务功能视角度量，后者从技术实现视角统计，互补验证，结果一致性良好。</w:t>
      </w:r>
    </w:p>
    <w:p>
      <w:pPr>
        <w:spacing w:before="60" w:after="100" w:line="320" w:lineRule="auto"/>
        <w:ind w:firstLine="0" w:firstLineChars="0"/>
        <w:jc w:val="both"/>
        <w:rPr>
          <w:rFonts w:hint="eastAsia"/>
        </w:rPr>
      </w:pPr>
    </w:p>
    <w:p>
      <w:pPr>
        <w:pStyle w:val="2"/>
        <w:pBdr>
          <w:bottom w:val="single" w:color="2E75B6" w:sz="8" w:space="6"/>
        </w:pBdr>
      </w:pPr>
      <w:bookmarkStart w:id="50" w:name="_Toc31001"/>
      <w:r>
        <w:t>第九章  软件定价策略</w:t>
      </w:r>
      <w:bookmarkEnd w:id="50"/>
    </w:p>
    <w:p>
      <w:pPr>
        <w:pStyle w:val="3"/>
      </w:pPr>
      <w:bookmarkStart w:id="51" w:name="_Toc19005"/>
      <w:r>
        <w:t>9.1 定价基础分析</w:t>
      </w:r>
      <w:bookmarkEnd w:id="51"/>
    </w:p>
    <w:p>
      <w:pPr>
        <w:spacing w:before="60" w:after="100" w:line="320" w:lineRule="auto"/>
        <w:ind w:firstLine="440"/>
        <w:jc w:val="both"/>
      </w:pPr>
      <w:r>
        <w:rPr>
          <w:rFonts w:eastAsia="Arial"/>
          <w:color w:val="1A1A1A"/>
        </w:rPr>
        <w:t>本项目作为课程实训项目，在当前阶段不以商业销售为直接目标，但其技术成果（尤其是YOLO检测模型和完整的后端系统）具有明确的商业推广价值。以下从</w:t>
      </w:r>
      <w:r>
        <w:rPr>
          <w:rFonts w:hint="eastAsia" w:eastAsia="宋体"/>
          <w:color w:val="1A1A1A"/>
          <w:lang w:val="en-US" w:eastAsia="zh-CN"/>
        </w:rPr>
        <w:t>两</w:t>
      </w:r>
      <w:r>
        <w:rPr>
          <w:rFonts w:eastAsia="Arial"/>
          <w:color w:val="1A1A1A"/>
        </w:rPr>
        <w:t>种场景分别制定定价策略：</w:t>
      </w:r>
    </w:p>
    <w:p>
      <w:pPr>
        <w:pStyle w:val="3"/>
      </w:pPr>
      <w:bookmarkStart w:id="52" w:name="_Toc22905"/>
      <w:r>
        <w:t>9.2 成本加成定价（Cost-Plus Pricing）</w:t>
      </w:r>
      <w:bookmarkEnd w:id="52"/>
    </w:p>
    <w:p>
      <w:pPr>
        <w:spacing w:before="60" w:after="100" w:line="320" w:lineRule="auto"/>
        <w:ind w:firstLine="440"/>
        <w:jc w:val="both"/>
      </w:pPr>
      <w:r>
        <w:rPr>
          <w:rFonts w:eastAsia="Arial"/>
          <w:color w:val="1A1A1A"/>
        </w:rPr>
        <w:t>以软件开发成本为基础，叠加合理利润率进行定价，适用于对价格敏感度较高的客户（如中小型物业公司）。</w:t>
      </w:r>
    </w:p>
    <w:p>
      <w:pPr>
        <w:spacing w:before="80"/>
        <w:ind w:firstLine="440"/>
      </w:pPr>
    </w:p>
    <w:tbl>
      <w:tblPr>
        <w:tblStyle w:val="14"/>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2000"/>
        <w:gridCol w:w="38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定价项目</w:t>
            </w:r>
          </w:p>
        </w:tc>
        <w:tc>
          <w:tcPr>
            <w:tcW w:w="20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金额（元）</w:t>
            </w:r>
          </w:p>
        </w:tc>
        <w:tc>
          <w:tcPr>
            <w:tcW w:w="3806"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基础开发成本</w:t>
            </w:r>
          </w:p>
        </w:tc>
        <w:tc>
          <w:tcPr>
            <w:tcW w:w="200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24,546</w:t>
            </w:r>
          </w:p>
        </w:tc>
        <w:tc>
          <w:tcPr>
            <w:tcW w:w="380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GB/T 36964估算结果（参考值）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系统集成与定制成本</w:t>
            </w:r>
          </w:p>
        </w:tc>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+8,000</w:t>
            </w:r>
          </w:p>
        </w:tc>
        <w:tc>
          <w:tcPr>
            <w:tcW w:w="380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针对特定客户环境的定制适配费用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培训与上线支持</w:t>
            </w:r>
          </w:p>
        </w:tc>
        <w:tc>
          <w:tcPr>
            <w:tcW w:w="200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+3,000</w:t>
            </w:r>
          </w:p>
        </w:tc>
        <w:tc>
          <w:tcPr>
            <w:tcW w:w="380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初期使用培训、文档交付、上线指导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第一年维护费</w:t>
            </w:r>
          </w:p>
        </w:tc>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+2,400</w:t>
            </w:r>
          </w:p>
        </w:tc>
        <w:tc>
          <w:tcPr>
            <w:tcW w:w="380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200元/月，包含bug修复和小版本更新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利润加成（30%）</w:t>
            </w:r>
          </w:p>
        </w:tc>
        <w:tc>
          <w:tcPr>
            <w:tcW w:w="200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+11,384</w:t>
            </w:r>
          </w:p>
        </w:tc>
        <w:tc>
          <w:tcPr>
            <w:tcW w:w="380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30%利润率，行业正常水平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最终报价（一次性）</w:t>
            </w:r>
          </w:p>
        </w:tc>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约49,330</w:t>
            </w:r>
          </w:p>
        </w:tc>
        <w:tc>
          <w:tcPr>
            <w:tcW w:w="380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适用于一次性买断定价模式</w:t>
            </w:r>
          </w:p>
        </w:tc>
      </w:tr>
    </w:tbl>
    <w:p>
      <w:pPr>
        <w:pStyle w:val="3"/>
      </w:pPr>
      <w:bookmarkStart w:id="53" w:name="_Toc9983"/>
      <w:r>
        <w:t>9.3 SaaS订阅定价（Subscription Pricing）</w:t>
      </w:r>
      <w:bookmarkEnd w:id="53"/>
    </w:p>
    <w:p>
      <w:pPr>
        <w:spacing w:before="60" w:after="100" w:line="320" w:lineRule="auto"/>
        <w:ind w:firstLine="440"/>
        <w:jc w:val="both"/>
      </w:pPr>
      <w:r>
        <w:rPr>
          <w:rFonts w:eastAsia="Arial"/>
          <w:color w:val="1A1A1A"/>
        </w:rPr>
        <w:t>以云端SaaS形式提供服务，按月/年订阅收费，降低客户采购门槛，适用于中大型物业管理公司或建筑维护服务商。</w:t>
      </w:r>
    </w:p>
    <w:p>
      <w:pPr>
        <w:spacing w:before="80"/>
        <w:ind w:firstLine="440"/>
      </w:pPr>
    </w:p>
    <w:tbl>
      <w:tblPr>
        <w:tblStyle w:val="14"/>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76"/>
        <w:gridCol w:w="1276"/>
        <w:gridCol w:w="1701"/>
        <w:gridCol w:w="405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76"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套餐</w:t>
            </w:r>
          </w:p>
        </w:tc>
        <w:tc>
          <w:tcPr>
            <w:tcW w:w="1276"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月费（元）</w:t>
            </w:r>
          </w:p>
        </w:tc>
        <w:tc>
          <w:tcPr>
            <w:tcW w:w="1701"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年费（元）</w:t>
            </w:r>
          </w:p>
        </w:tc>
        <w:tc>
          <w:tcPr>
            <w:tcW w:w="4053"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包含内容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76"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0" w:firstLineChars="0"/>
              <w:jc w:val="center"/>
            </w:pPr>
            <w:r>
              <w:rPr>
                <w:rFonts w:eastAsia="Arial"/>
                <w:b/>
                <w:bCs/>
                <w:color w:val="1A1A1A"/>
                <w:sz w:val="20"/>
                <w:szCs w:val="20"/>
              </w:rPr>
              <w:t>基础版</w:t>
            </w:r>
          </w:p>
        </w:tc>
        <w:tc>
          <w:tcPr>
            <w:tcW w:w="127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299</w:t>
            </w:r>
          </w:p>
        </w:tc>
        <w:tc>
          <w:tcPr>
            <w:tcW w:w="1701"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2,990（9折）</w:t>
            </w:r>
          </w:p>
        </w:tc>
        <w:tc>
          <w:tcPr>
            <w:tcW w:w="4053"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5用户，500次/月检测，基础历史记录查询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7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b/>
                <w:bCs/>
                <w:color w:val="1A1A1A"/>
                <w:sz w:val="20"/>
                <w:szCs w:val="20"/>
              </w:rPr>
              <w:t>专业版</w:t>
            </w:r>
          </w:p>
        </w:tc>
        <w:tc>
          <w:tcPr>
            <w:tcW w:w="127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799</w:t>
            </w:r>
          </w:p>
        </w:tc>
        <w:tc>
          <w:tcPr>
            <w:tcW w:w="1701"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7,990（8.3折）</w:t>
            </w:r>
          </w:p>
        </w:tc>
        <w:tc>
          <w:tcPr>
            <w:tcW w:w="4053"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pPr>
            <w:r>
              <w:rPr>
                <w:rFonts w:eastAsia="Arial"/>
                <w:color w:val="1A1A1A"/>
                <w:sz w:val="20"/>
                <w:szCs w:val="20"/>
              </w:rPr>
              <w:t>20用户，不限次数检测，高级历史分析，PDF报告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76"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0" w:firstLineChars="0"/>
              <w:jc w:val="center"/>
            </w:pPr>
            <w:r>
              <w:rPr>
                <w:rFonts w:eastAsia="Arial"/>
                <w:b/>
                <w:bCs/>
                <w:color w:val="1A1A1A"/>
                <w:sz w:val="20"/>
                <w:szCs w:val="20"/>
              </w:rPr>
              <w:t>企业版</w:t>
            </w:r>
          </w:p>
        </w:tc>
        <w:tc>
          <w:tcPr>
            <w:tcW w:w="127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定制</w:t>
            </w:r>
          </w:p>
        </w:tc>
        <w:tc>
          <w:tcPr>
            <w:tcW w:w="1701"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定制</w:t>
            </w:r>
          </w:p>
        </w:tc>
        <w:tc>
          <w:tcPr>
            <w:tcW w:w="4053"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pPr>
            <w:r>
              <w:rPr>
                <w:rFonts w:eastAsia="Arial"/>
                <w:color w:val="1A1A1A"/>
                <w:sz w:val="20"/>
                <w:szCs w:val="20"/>
              </w:rPr>
              <w:t>不限用户，私有化部署，专属技术支持，API接入</w:t>
            </w:r>
          </w:p>
        </w:tc>
      </w:tr>
    </w:tbl>
    <w:p>
      <w:pPr>
        <w:pStyle w:val="2"/>
        <w:pBdr>
          <w:bottom w:val="single" w:color="2E75B6" w:sz="8" w:space="6"/>
        </w:pBdr>
      </w:pPr>
      <w:bookmarkStart w:id="54" w:name="_Toc15634"/>
      <w:r>
        <w:t>第十章  资金筹集</w:t>
      </w:r>
      <w:bookmarkEnd w:id="54"/>
    </w:p>
    <w:p>
      <w:pPr>
        <w:pStyle w:val="3"/>
        <w:rPr>
          <w:rFonts w:hint="eastAsia" w:eastAsia="宋体"/>
          <w:lang w:val="en-US" w:eastAsia="zh-CN"/>
        </w:rPr>
      </w:pPr>
      <w:bookmarkStart w:id="55" w:name="_Toc3584"/>
      <w:r>
        <w:t>10.1 当前项目资金</w:t>
      </w:r>
      <w:bookmarkEnd w:id="55"/>
      <w:r>
        <w:rPr>
          <w:rFonts w:hint="eastAsia" w:eastAsia="宋体"/>
          <w:lang w:val="en-US" w:eastAsia="zh-CN"/>
        </w:rPr>
        <w:t>情况</w:t>
      </w:r>
    </w:p>
    <w:p>
      <w:pPr>
        <w:spacing w:before="60" w:after="100" w:line="320" w:lineRule="auto"/>
        <w:ind w:firstLine="440"/>
        <w:jc w:val="both"/>
        <w:rPr>
          <w:rFonts w:hint="default" w:eastAsia="宋体"/>
          <w:color w:val="1A1A1A"/>
          <w:lang w:val="en-US" w:eastAsia="zh-CN"/>
        </w:rPr>
      </w:pPr>
      <w:r>
        <w:rPr>
          <w:rFonts w:eastAsia="Arial"/>
          <w:color w:val="1A1A1A"/>
        </w:rPr>
        <w:t>本项目作为同济大学课程实训项目，当前阶段</w:t>
      </w:r>
      <w:r>
        <w:rPr>
          <w:rFonts w:hint="eastAsia" w:eastAsia="宋体"/>
          <w:color w:val="1A1A1A"/>
          <w:lang w:val="en-US" w:eastAsia="zh-CN"/>
        </w:rPr>
        <w:t>并无资金投入。使用平台platform.ultralytics.com进行模型训练(每个账号有5美元的免费额度)，使用开源工具如</w:t>
      </w:r>
      <w:r>
        <w:rPr>
          <w:rFonts w:hint="default" w:ascii="Arial" w:hAnsi="Arial" w:eastAsia="Arial" w:cs="Arial"/>
          <w:color w:val="1A1A1A"/>
          <w:sz w:val="22"/>
          <w:szCs w:val="22"/>
        </w:rPr>
        <w:t>FastAPI、PyTorch、Vue3、Docker等</w:t>
      </w:r>
      <w:r>
        <w:rPr>
          <w:rFonts w:hint="eastAsia" w:eastAsia="宋体" w:cs="Arial"/>
          <w:color w:val="1A1A1A"/>
          <w:sz w:val="22"/>
          <w:szCs w:val="22"/>
          <w:lang w:val="en-US" w:eastAsia="zh-CN"/>
        </w:rPr>
        <w:t>进行前后端开发，因此当前阶段无资金投入。</w:t>
      </w:r>
    </w:p>
    <w:p>
      <w:pPr>
        <w:pStyle w:val="3"/>
      </w:pPr>
      <w:bookmarkStart w:id="56" w:name="_Toc8599"/>
      <w:r>
        <w:t>10.2 商业化阶段资金筹集策略</w:t>
      </w:r>
      <w:bookmarkEnd w:id="56"/>
    </w:p>
    <w:p>
      <w:pPr>
        <w:spacing w:before="60" w:after="100" w:line="320" w:lineRule="auto"/>
        <w:ind w:firstLine="440"/>
        <w:jc w:val="both"/>
      </w:pPr>
      <w:r>
        <w:rPr>
          <w:rFonts w:eastAsia="Arial"/>
          <w:color w:val="1A1A1A"/>
        </w:rPr>
        <w:t>若本项目未来进行商业化推广，可考虑以下资金筹集路径：</w:t>
      </w:r>
    </w:p>
    <w:p>
      <w:pPr>
        <w:pStyle w:val="4"/>
      </w:pPr>
      <w:bookmarkStart w:id="57" w:name="_Toc3362"/>
      <w:r>
        <w:t>10.2.1 自筹资金阶段（0-6个月）</w:t>
      </w:r>
      <w:bookmarkEnd w:id="57"/>
    </w:p>
    <w:p>
      <w:pPr>
        <w:pStyle w:val="20"/>
        <w:numPr>
          <w:ilvl w:val="0"/>
          <w:numId w:val="1"/>
        </w:numPr>
        <w:spacing w:before="40" w:after="40" w:line="300" w:lineRule="auto"/>
      </w:pPr>
      <w:r>
        <w:rPr>
          <w:rFonts w:eastAsia="Arial"/>
          <w:color w:val="1A1A1A"/>
        </w:rPr>
        <w:t>利用现有开发成果（代码、模型）作为核心资产，以最小可行产品（MVP）形式部署至云端</w:t>
      </w:r>
    </w:p>
    <w:p>
      <w:pPr>
        <w:pStyle w:val="20"/>
        <w:numPr>
          <w:ilvl w:val="0"/>
          <w:numId w:val="1"/>
        </w:numPr>
        <w:spacing w:before="40" w:after="40" w:line="300" w:lineRule="auto"/>
      </w:pPr>
      <w:r>
        <w:rPr>
          <w:rFonts w:eastAsia="Arial"/>
          <w:color w:val="1A1A1A"/>
        </w:rPr>
        <w:t>通过SaaS早期用户的订阅费用实现自我造血，重点目标客户为中小型物业管理公司</w:t>
      </w:r>
    </w:p>
    <w:p>
      <w:pPr>
        <w:pStyle w:val="20"/>
        <w:numPr>
          <w:ilvl w:val="0"/>
          <w:numId w:val="1"/>
        </w:numPr>
        <w:spacing w:before="40" w:after="40" w:line="300" w:lineRule="auto"/>
      </w:pPr>
      <w:r>
        <w:rPr>
          <w:rFonts w:eastAsia="Arial"/>
          <w:color w:val="1A1A1A"/>
        </w:rPr>
        <w:t>预期月收入：若获取5个基础版用户，月收入约1,495元，可覆盖云服务器运营成本（约500元/月）</w:t>
      </w:r>
    </w:p>
    <w:p>
      <w:pPr>
        <w:pStyle w:val="4"/>
      </w:pPr>
      <w:bookmarkStart w:id="58" w:name="_Toc27452"/>
      <w:r>
        <w:t>10.2.2 种子融资阶段（6-18个月）</w:t>
      </w:r>
      <w:bookmarkEnd w:id="58"/>
    </w:p>
    <w:p>
      <w:pPr>
        <w:pStyle w:val="20"/>
        <w:numPr>
          <w:ilvl w:val="0"/>
          <w:numId w:val="1"/>
        </w:numPr>
        <w:spacing w:before="40" w:after="40" w:line="300" w:lineRule="auto"/>
      </w:pPr>
      <w:r>
        <w:rPr>
          <w:rFonts w:eastAsia="Arial"/>
          <w:color w:val="1A1A1A"/>
        </w:rPr>
        <w:t>申请大学生创新创业项目基金：同济大学设有相关扶持资金，单笔支持额度5-20万元</w:t>
      </w:r>
    </w:p>
    <w:p>
      <w:pPr>
        <w:pStyle w:val="20"/>
        <w:numPr>
          <w:ilvl w:val="0"/>
          <w:numId w:val="1"/>
        </w:numPr>
        <w:spacing w:before="40" w:after="40" w:line="300" w:lineRule="auto"/>
      </w:pPr>
      <w:r>
        <w:rPr>
          <w:rFonts w:eastAsia="Arial"/>
          <w:color w:val="1A1A1A"/>
        </w:rPr>
        <w:t>参加创业大赛：通过"互联网+"、"挑战杯"等赛事获取奖金和曝光度</w:t>
      </w:r>
    </w:p>
    <w:p>
      <w:pPr>
        <w:pStyle w:val="20"/>
        <w:numPr>
          <w:ilvl w:val="0"/>
          <w:numId w:val="1"/>
        </w:numPr>
        <w:spacing w:before="40" w:after="40" w:line="300" w:lineRule="auto"/>
      </w:pPr>
      <w:r>
        <w:rPr>
          <w:rFonts w:eastAsia="Arial"/>
          <w:color w:val="1A1A1A"/>
        </w:rPr>
        <w:t>争取天使轮投资：智慧建筑/IoT赛道的天使投资机构关注此类AI检测细分场景</w:t>
      </w:r>
    </w:p>
    <w:p>
      <w:pPr>
        <w:pStyle w:val="4"/>
      </w:pPr>
      <w:bookmarkStart w:id="59" w:name="_Toc29610"/>
      <w:r>
        <w:t>10.2.3 商业贷款与补贴</w:t>
      </w:r>
      <w:bookmarkEnd w:id="59"/>
    </w:p>
    <w:p>
      <w:pPr>
        <w:pStyle w:val="20"/>
        <w:numPr>
          <w:ilvl w:val="0"/>
          <w:numId w:val="1"/>
        </w:numPr>
        <w:spacing w:before="40" w:after="40" w:line="300" w:lineRule="auto"/>
      </w:pPr>
      <w:r>
        <w:rPr>
          <w:rFonts w:eastAsia="Arial"/>
          <w:color w:val="1A1A1A"/>
        </w:rPr>
        <w:t>申请高新技术企业认定后，享受地方政府对人工智能企业的财税补贴和贴息贷款</w:t>
      </w:r>
    </w:p>
    <w:p>
      <w:pPr>
        <w:pStyle w:val="20"/>
        <w:numPr>
          <w:ilvl w:val="0"/>
          <w:numId w:val="1"/>
        </w:numPr>
        <w:spacing w:before="40" w:after="40" w:line="300" w:lineRule="auto"/>
      </w:pPr>
      <w:r>
        <w:rPr>
          <w:rFonts w:eastAsia="Arial"/>
          <w:color w:val="1A1A1A"/>
        </w:rPr>
        <w:t>申报国家自然科学基金或住建部智慧建筑相关科研课题，获取研究经费支持</w:t>
      </w:r>
    </w:p>
    <w:p>
      <w:pPr>
        <w:spacing w:before="40" w:after="40" w:line="300" w:lineRule="auto"/>
        <w:ind w:firstLine="0" w:firstLineChars="0"/>
        <w:rPr>
          <w:rFonts w:hint="eastAsia"/>
        </w:rPr>
      </w:pPr>
    </w:p>
    <w:p>
      <w:pPr>
        <w:pStyle w:val="2"/>
        <w:pBdr>
          <w:bottom w:val="single" w:color="2E75B6" w:sz="8" w:space="6"/>
        </w:pBdr>
      </w:pPr>
      <w:bookmarkStart w:id="60" w:name="_Toc9056"/>
      <w:r>
        <w:rPr>
          <w:rFonts w:hint="eastAsia" w:ascii="宋体" w:hAnsi="宋体" w:eastAsia="宋体" w:cs="宋体"/>
        </w:rPr>
        <w:t>第</w:t>
      </w:r>
      <w:r>
        <w:t>十一章  软件产品的财务评估</w:t>
      </w:r>
      <w:bookmarkEnd w:id="60"/>
    </w:p>
    <w:p>
      <w:pPr>
        <w:pStyle w:val="3"/>
      </w:pPr>
      <w:bookmarkStart w:id="61" w:name="_Toc26029"/>
      <w:r>
        <w:t>11.1 财务评估基本假设</w:t>
      </w:r>
      <w:bookmarkEnd w:id="61"/>
    </w:p>
    <w:p>
      <w:pPr>
        <w:pStyle w:val="20"/>
        <w:numPr>
          <w:ilvl w:val="0"/>
          <w:numId w:val="1"/>
        </w:numPr>
        <w:spacing w:before="40" w:after="40" w:line="300" w:lineRule="auto"/>
      </w:pPr>
      <w:r>
        <w:rPr>
          <w:rFonts w:eastAsia="Arial"/>
          <w:color w:val="1A1A1A"/>
        </w:rPr>
        <w:t>评估期限：5年（2026年-2030年）</w:t>
      </w:r>
    </w:p>
    <w:p>
      <w:pPr>
        <w:pStyle w:val="20"/>
        <w:numPr>
          <w:ilvl w:val="0"/>
          <w:numId w:val="1"/>
        </w:numPr>
        <w:spacing w:before="40" w:after="40" w:line="300" w:lineRule="auto"/>
      </w:pPr>
      <w:r>
        <w:rPr>
          <w:rFonts w:eastAsia="Arial"/>
          <w:color w:val="1A1A1A"/>
        </w:rPr>
        <w:t>目标市场：中国主要城市的物业管理公司、建筑维护公司，估计目标客户总量约5,000家</w:t>
      </w:r>
    </w:p>
    <w:p>
      <w:pPr>
        <w:pStyle w:val="20"/>
        <w:numPr>
          <w:ilvl w:val="0"/>
          <w:numId w:val="1"/>
        </w:numPr>
        <w:spacing w:before="40" w:after="40" w:line="300" w:lineRule="auto"/>
      </w:pPr>
      <w:r>
        <w:rPr>
          <w:rFonts w:eastAsia="Arial"/>
          <w:color w:val="1A1A1A"/>
        </w:rPr>
        <w:t>市场渗透率假设：</w:t>
      </w:r>
      <w:r>
        <w:rPr>
          <w:rFonts w:hint="default" w:ascii="Arial" w:hAnsi="Arial" w:eastAsia="宋体" w:cs="Arial"/>
          <w:sz w:val="22"/>
          <w:szCs w:val="22"/>
        </w:rPr>
        <w:t>第1年0.04%（2家），第2年0.12%（6家），第3年0.4%（20家），第4年0.8%（40家），第5年1.4%（70家）</w:t>
      </w:r>
      <w:r>
        <w:rPr>
          <w:rFonts w:hint="eastAsia" w:eastAsia="宋体" w:cs="Arial"/>
          <w:sz w:val="22"/>
          <w:szCs w:val="22"/>
          <w:lang w:eastAsia="zh-CN"/>
        </w:rPr>
        <w:t>。</w:t>
      </w:r>
    </w:p>
    <w:p>
      <w:pPr>
        <w:pStyle w:val="20"/>
        <w:numPr>
          <w:ilvl w:val="0"/>
          <w:numId w:val="1"/>
        </w:numPr>
        <w:spacing w:before="40" w:after="40" w:line="300" w:lineRule="auto"/>
      </w:pPr>
      <w:r>
        <w:rPr>
          <w:rFonts w:eastAsia="Arial"/>
          <w:color w:val="1A1A1A"/>
        </w:rPr>
        <w:t>平均客单价：</w:t>
      </w:r>
      <w:r>
        <w:rPr>
          <w:rFonts w:hint="eastAsia" w:eastAsia="宋体"/>
          <w:color w:val="1A1A1A"/>
          <w:lang w:val="en-US" w:eastAsia="zh-CN"/>
        </w:rPr>
        <w:t>基础版和专业版都有，</w:t>
      </w:r>
      <w:r>
        <w:rPr>
          <w:rFonts w:eastAsia="Arial"/>
          <w:color w:val="1A1A1A"/>
        </w:rPr>
        <w:t>月均ARPU（每用户平均收入）取</w:t>
      </w:r>
      <w:r>
        <w:rPr>
          <w:rFonts w:hint="eastAsia" w:eastAsia="宋体"/>
          <w:color w:val="1A1A1A"/>
          <w:lang w:val="en-US" w:eastAsia="zh-CN"/>
        </w:rPr>
        <w:t>5</w:t>
      </w:r>
      <w:r>
        <w:rPr>
          <w:rFonts w:eastAsia="Arial"/>
          <w:color w:val="1A1A1A"/>
        </w:rPr>
        <w:t>00元/月</w:t>
      </w:r>
    </w:p>
    <w:p>
      <w:pPr>
        <w:pStyle w:val="20"/>
        <w:numPr>
          <w:ilvl w:val="0"/>
          <w:numId w:val="1"/>
        </w:numPr>
        <w:spacing w:before="40" w:after="40" w:line="300" w:lineRule="auto"/>
      </w:pPr>
      <w:r>
        <w:rPr>
          <w:rFonts w:eastAsia="Arial"/>
          <w:color w:val="1A1A1A"/>
        </w:rPr>
        <w:t>折现率：1</w:t>
      </w:r>
      <w:r>
        <w:rPr>
          <w:rFonts w:hint="eastAsia" w:eastAsia="宋体"/>
          <w:color w:val="1A1A1A"/>
          <w:lang w:val="en-US" w:eastAsia="zh-CN"/>
        </w:rPr>
        <w:t>5</w:t>
      </w:r>
      <w:r>
        <w:rPr>
          <w:rFonts w:eastAsia="Arial"/>
          <w:color w:val="1A1A1A"/>
        </w:rPr>
        <w:t>%（考虑</w:t>
      </w:r>
      <w:r>
        <w:rPr>
          <w:rFonts w:hint="default" w:ascii="Arial" w:hAnsi="Arial" w:eastAsia="宋体" w:cs="Arial"/>
          <w:sz w:val="22"/>
          <w:szCs w:val="22"/>
        </w:rPr>
        <w:t>反映创业早期较高的市场与执行风险</w:t>
      </w:r>
      <w:r>
        <w:rPr>
          <w:rFonts w:eastAsia="Arial"/>
          <w:color w:val="1A1A1A"/>
        </w:rPr>
        <w:t>）</w:t>
      </w:r>
    </w:p>
    <w:p>
      <w:pPr>
        <w:pStyle w:val="20"/>
        <w:numPr>
          <w:ilvl w:val="0"/>
          <w:numId w:val="1"/>
        </w:numPr>
        <w:spacing w:before="40" w:after="40" w:line="300" w:lineRule="auto"/>
      </w:pPr>
      <w:r>
        <w:rPr>
          <w:rFonts w:eastAsia="Arial"/>
          <w:color w:val="1A1A1A"/>
        </w:rPr>
        <w:t>初始投资：</w:t>
      </w:r>
      <w:r>
        <w:rPr>
          <w:rFonts w:hint="eastAsia" w:eastAsia="Arial"/>
          <w:color w:val="1A1A1A"/>
        </w:rPr>
        <w:t>开发成本约2.5万元 + 商业化启动费用约7万元（含早期BD、Demo运营、法务合规等）= 合计约9.5万元</w:t>
      </w:r>
    </w:p>
    <w:p>
      <w:pPr>
        <w:pStyle w:val="3"/>
        <w:rPr>
          <w:rFonts w:hint="eastAsia"/>
        </w:rPr>
      </w:pPr>
      <w:bookmarkStart w:id="62" w:name="_Toc25896"/>
      <w:r>
        <w:t xml:space="preserve">11.2 </w:t>
      </w:r>
      <w:r>
        <w:rPr>
          <w:rFonts w:hint="eastAsia" w:ascii="宋体" w:hAnsi="宋体" w:eastAsia="宋体" w:cs="宋体"/>
        </w:rPr>
        <w:t>收入与成本预测</w:t>
      </w:r>
      <w:bookmarkEnd w:id="62"/>
    </w:p>
    <w:tbl>
      <w:tblPr>
        <w:tblStyle w:val="14"/>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66"/>
        <w:gridCol w:w="1304"/>
        <w:gridCol w:w="1305"/>
        <w:gridCol w:w="1305"/>
        <w:gridCol w:w="1305"/>
        <w:gridCol w:w="132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6"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hint="eastAsia" w:ascii="宋体" w:hAnsi="宋体" w:eastAsia="宋体" w:cs="宋体"/>
                <w:b/>
                <w:bCs/>
                <w:color w:val="FFFFFF"/>
                <w:sz w:val="20"/>
                <w:szCs w:val="20"/>
              </w:rPr>
              <w:t>财</w:t>
            </w:r>
            <w:r>
              <w:rPr>
                <w:rFonts w:eastAsia="Arial"/>
                <w:b/>
                <w:bCs/>
                <w:color w:val="FFFFFF"/>
                <w:sz w:val="20"/>
                <w:szCs w:val="20"/>
              </w:rPr>
              <w:t>务指标</w:t>
            </w:r>
          </w:p>
        </w:tc>
        <w:tc>
          <w:tcPr>
            <w:tcW w:w="1304"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第1年 2026</w:t>
            </w:r>
          </w:p>
        </w:tc>
        <w:tc>
          <w:tcPr>
            <w:tcW w:w="1305"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第2年 2027</w:t>
            </w:r>
          </w:p>
        </w:tc>
        <w:tc>
          <w:tcPr>
            <w:tcW w:w="1305"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第3年 2028</w:t>
            </w:r>
          </w:p>
        </w:tc>
        <w:tc>
          <w:tcPr>
            <w:tcW w:w="1305"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第4年 2029</w:t>
            </w:r>
          </w:p>
        </w:tc>
        <w:tc>
          <w:tcPr>
            <w:tcW w:w="1321"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第5年 2030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6"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客户数（家）</w:t>
            </w:r>
          </w:p>
        </w:tc>
        <w:tc>
          <w:tcPr>
            <w:tcW w:w="130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9" w:firstLineChars="9"/>
              <w:jc w:val="center"/>
              <w:rPr>
                <w:rFonts w:hint="eastAsia" w:eastAsiaTheme="minorEastAsia"/>
                <w:lang w:val="en-US" w:eastAsia="zh-CN"/>
              </w:rPr>
            </w:pPr>
            <w:r>
              <w:rPr>
                <w:rFonts w:hint="eastAsia"/>
                <w:lang w:val="en-US" w:eastAsia="zh-CN"/>
              </w:rPr>
              <w:t>2</w:t>
            </w:r>
          </w:p>
        </w:tc>
        <w:tc>
          <w:tcPr>
            <w:tcW w:w="1305"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9" w:firstLineChars="9"/>
              <w:jc w:val="center"/>
              <w:rPr>
                <w:rFonts w:hint="eastAsia" w:eastAsiaTheme="minorEastAsia"/>
                <w:lang w:val="en-US" w:eastAsia="zh-CN"/>
              </w:rPr>
            </w:pPr>
            <w:r>
              <w:rPr>
                <w:rFonts w:hint="eastAsia"/>
                <w:lang w:val="en-US" w:eastAsia="zh-CN"/>
              </w:rPr>
              <w:t>6</w:t>
            </w:r>
          </w:p>
        </w:tc>
        <w:tc>
          <w:tcPr>
            <w:tcW w:w="1305"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9" w:firstLineChars="9"/>
              <w:jc w:val="center"/>
              <w:rPr>
                <w:rFonts w:hint="default" w:eastAsiaTheme="minorEastAsia"/>
                <w:lang w:val="en-US" w:eastAsia="zh-CN"/>
              </w:rPr>
            </w:pPr>
            <w:r>
              <w:rPr>
                <w:rFonts w:hint="eastAsia"/>
                <w:lang w:val="en-US" w:eastAsia="zh-CN"/>
              </w:rPr>
              <w:t>20</w:t>
            </w:r>
          </w:p>
        </w:tc>
        <w:tc>
          <w:tcPr>
            <w:tcW w:w="1305"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9" w:firstLineChars="9"/>
              <w:jc w:val="center"/>
              <w:rPr>
                <w:rFonts w:hint="default" w:eastAsiaTheme="minorEastAsia"/>
                <w:lang w:val="en-US" w:eastAsia="zh-CN"/>
              </w:rPr>
            </w:pPr>
            <w:r>
              <w:rPr>
                <w:rFonts w:hint="eastAsia"/>
                <w:lang w:val="en-US" w:eastAsia="zh-CN"/>
              </w:rPr>
              <w:t>40</w:t>
            </w:r>
          </w:p>
        </w:tc>
        <w:tc>
          <w:tcPr>
            <w:tcW w:w="1321"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9" w:firstLineChars="9"/>
              <w:jc w:val="center"/>
              <w:rPr>
                <w:rFonts w:hint="default" w:eastAsiaTheme="minorEastAsia"/>
                <w:lang w:val="en-US" w:eastAsia="zh-CN"/>
              </w:rPr>
            </w:pPr>
            <w:r>
              <w:rPr>
                <w:rFonts w:hint="eastAsia"/>
                <w:lang w:val="en-US" w:eastAsia="zh-CN"/>
              </w:rPr>
              <w:t>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年收入（万元）</w:t>
            </w:r>
          </w:p>
        </w:tc>
        <w:tc>
          <w:tcPr>
            <w:tcW w:w="130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9" w:firstLineChars="9"/>
              <w:jc w:val="center"/>
              <w:rPr>
                <w:rFonts w:hint="default" w:eastAsia="宋体"/>
                <w:lang w:val="en-US" w:eastAsia="zh-CN"/>
              </w:rPr>
            </w:pPr>
            <w:r>
              <w:rPr>
                <w:rFonts w:hint="eastAsia" w:eastAsia="宋体"/>
                <w:lang w:val="en-US" w:eastAsia="zh-CN"/>
              </w:rPr>
              <w:t>1.2</w:t>
            </w:r>
          </w:p>
        </w:tc>
        <w:tc>
          <w:tcPr>
            <w:tcW w:w="1305"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9" w:firstLineChars="9"/>
              <w:jc w:val="center"/>
              <w:rPr>
                <w:rFonts w:hint="default" w:eastAsiaTheme="minorEastAsia"/>
                <w:lang w:val="en-US" w:eastAsia="zh-CN"/>
              </w:rPr>
            </w:pPr>
            <w:r>
              <w:rPr>
                <w:rFonts w:hint="eastAsia"/>
                <w:lang w:val="en-US" w:eastAsia="zh-CN"/>
              </w:rPr>
              <w:t>3.6</w:t>
            </w:r>
          </w:p>
        </w:tc>
        <w:tc>
          <w:tcPr>
            <w:tcW w:w="1305"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9" w:firstLineChars="9"/>
              <w:jc w:val="center"/>
              <w:rPr>
                <w:rFonts w:hint="default" w:eastAsiaTheme="minorEastAsia"/>
                <w:lang w:val="en-US" w:eastAsia="zh-CN"/>
              </w:rPr>
            </w:pPr>
            <w:r>
              <w:rPr>
                <w:rFonts w:hint="eastAsia"/>
                <w:lang w:val="en-US" w:eastAsia="zh-CN"/>
              </w:rPr>
              <w:t>12.0</w:t>
            </w:r>
          </w:p>
        </w:tc>
        <w:tc>
          <w:tcPr>
            <w:tcW w:w="1305"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9" w:firstLineChars="9"/>
              <w:jc w:val="center"/>
              <w:rPr>
                <w:rFonts w:hint="default" w:eastAsiaTheme="minorEastAsia"/>
                <w:lang w:val="en-US" w:eastAsia="zh-CN"/>
              </w:rPr>
            </w:pPr>
            <w:r>
              <w:rPr>
                <w:rFonts w:hint="eastAsia"/>
                <w:lang w:val="en-US" w:eastAsia="zh-CN"/>
              </w:rPr>
              <w:t>24.0</w:t>
            </w:r>
          </w:p>
        </w:tc>
        <w:tc>
          <w:tcPr>
            <w:tcW w:w="1321"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9" w:firstLineChars="9"/>
              <w:jc w:val="center"/>
              <w:rPr>
                <w:rFonts w:hint="default" w:eastAsiaTheme="minorEastAsia"/>
                <w:lang w:val="en-US" w:eastAsia="zh-CN"/>
              </w:rPr>
            </w:pPr>
            <w:r>
              <w:rPr>
                <w:rFonts w:hint="eastAsia"/>
                <w:lang w:val="en-US" w:eastAsia="zh-CN"/>
              </w:rPr>
              <w:t>42.0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6"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运营成本（万元）</w:t>
            </w:r>
          </w:p>
        </w:tc>
        <w:tc>
          <w:tcPr>
            <w:tcW w:w="130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9" w:firstLineChars="9"/>
              <w:jc w:val="center"/>
              <w:rPr>
                <w:rFonts w:hint="default" w:eastAsiaTheme="minorEastAsia"/>
                <w:lang w:val="en-US" w:eastAsia="zh-CN"/>
              </w:rPr>
            </w:pPr>
            <w:r>
              <w:rPr>
                <w:rFonts w:hint="eastAsia"/>
                <w:lang w:val="en-US" w:eastAsia="zh-CN"/>
              </w:rPr>
              <w:t>7.5</w:t>
            </w:r>
          </w:p>
        </w:tc>
        <w:tc>
          <w:tcPr>
            <w:tcW w:w="1305"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9" w:firstLineChars="9"/>
              <w:jc w:val="center"/>
              <w:rPr>
                <w:rFonts w:hint="default" w:eastAsiaTheme="minorEastAsia"/>
                <w:lang w:val="en-US" w:eastAsia="zh-CN"/>
              </w:rPr>
            </w:pPr>
            <w:r>
              <w:rPr>
                <w:rFonts w:hint="eastAsia"/>
                <w:lang w:val="en-US" w:eastAsia="zh-CN"/>
              </w:rPr>
              <w:t>10.0</w:t>
            </w:r>
          </w:p>
        </w:tc>
        <w:tc>
          <w:tcPr>
            <w:tcW w:w="1305"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rPr>
                <w:rFonts w:hint="default" w:eastAsia="宋体"/>
                <w:lang w:val="en-US" w:eastAsia="zh-CN"/>
              </w:rPr>
            </w:pPr>
            <w:r>
              <w:rPr>
                <w:rFonts w:eastAsia="Arial"/>
                <w:color w:val="1A1A1A"/>
                <w:sz w:val="20"/>
                <w:szCs w:val="20"/>
              </w:rPr>
              <w:t>1</w:t>
            </w:r>
            <w:r>
              <w:rPr>
                <w:rFonts w:hint="eastAsia" w:eastAsia="宋体"/>
                <w:color w:val="1A1A1A"/>
                <w:sz w:val="20"/>
                <w:szCs w:val="20"/>
                <w:lang w:val="en-US" w:eastAsia="zh-CN"/>
              </w:rPr>
              <w:t>6.0</w:t>
            </w:r>
          </w:p>
        </w:tc>
        <w:tc>
          <w:tcPr>
            <w:tcW w:w="1305"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2</w:t>
            </w:r>
            <w:r>
              <w:rPr>
                <w:rFonts w:hint="eastAsia" w:eastAsia="宋体"/>
                <w:color w:val="1A1A1A"/>
                <w:sz w:val="20"/>
                <w:szCs w:val="20"/>
                <w:lang w:val="en-US" w:eastAsia="zh-CN"/>
              </w:rPr>
              <w:t>4</w:t>
            </w:r>
            <w:r>
              <w:rPr>
                <w:rFonts w:eastAsia="Arial"/>
                <w:color w:val="1A1A1A"/>
                <w:sz w:val="20"/>
                <w:szCs w:val="20"/>
              </w:rPr>
              <w:t>.0</w:t>
            </w:r>
          </w:p>
        </w:tc>
        <w:tc>
          <w:tcPr>
            <w:tcW w:w="1321"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3</w:t>
            </w:r>
            <w:r>
              <w:rPr>
                <w:rFonts w:hint="eastAsia" w:eastAsia="宋体"/>
                <w:color w:val="1A1A1A"/>
                <w:sz w:val="20"/>
                <w:szCs w:val="20"/>
                <w:lang w:val="en-US" w:eastAsia="zh-CN"/>
              </w:rPr>
              <w:t>6</w:t>
            </w:r>
            <w:r>
              <w:rPr>
                <w:rFonts w:eastAsia="Arial"/>
                <w:color w:val="1A1A1A"/>
                <w:sz w:val="20"/>
                <w:szCs w:val="20"/>
              </w:rPr>
              <w:t>.0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净利润（万元）</w:t>
            </w:r>
          </w:p>
        </w:tc>
        <w:tc>
          <w:tcPr>
            <w:tcW w:w="130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rPr>
                <w:rFonts w:hint="default" w:eastAsia="宋体"/>
                <w:lang w:val="en-US" w:eastAsia="zh-CN"/>
              </w:rPr>
            </w:pPr>
            <w:r>
              <w:rPr>
                <w:rFonts w:eastAsia="Arial"/>
                <w:color w:val="1A1A1A"/>
                <w:sz w:val="20"/>
                <w:szCs w:val="20"/>
              </w:rPr>
              <w:t>-</w:t>
            </w:r>
            <w:r>
              <w:rPr>
                <w:rFonts w:hint="eastAsia" w:eastAsia="宋体"/>
                <w:color w:val="1A1A1A"/>
                <w:sz w:val="20"/>
                <w:szCs w:val="20"/>
                <w:lang w:val="en-US" w:eastAsia="zh-CN"/>
              </w:rPr>
              <w:t>6.3</w:t>
            </w:r>
          </w:p>
        </w:tc>
        <w:tc>
          <w:tcPr>
            <w:tcW w:w="1305"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9" w:firstLineChars="9"/>
              <w:jc w:val="center"/>
              <w:rPr>
                <w:rFonts w:hint="default" w:eastAsiaTheme="minorEastAsia"/>
                <w:lang w:val="en-US" w:eastAsia="zh-CN"/>
              </w:rPr>
            </w:pPr>
            <w:r>
              <w:rPr>
                <w:rFonts w:hint="eastAsia"/>
                <w:lang w:val="en-US" w:eastAsia="zh-CN"/>
              </w:rPr>
              <w:t>-6.4</w:t>
            </w:r>
          </w:p>
        </w:tc>
        <w:tc>
          <w:tcPr>
            <w:tcW w:w="1305"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9" w:firstLineChars="9"/>
              <w:jc w:val="center"/>
              <w:rPr>
                <w:rFonts w:hint="default" w:eastAsiaTheme="minorEastAsia"/>
                <w:lang w:val="en-US" w:eastAsia="zh-CN"/>
              </w:rPr>
            </w:pPr>
            <w:r>
              <w:rPr>
                <w:rFonts w:hint="eastAsia"/>
                <w:lang w:val="en-US" w:eastAsia="zh-CN"/>
              </w:rPr>
              <w:t>-4.0</w:t>
            </w:r>
          </w:p>
        </w:tc>
        <w:tc>
          <w:tcPr>
            <w:tcW w:w="1305"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9" w:firstLineChars="9"/>
              <w:jc w:val="center"/>
              <w:rPr>
                <w:rFonts w:hint="default" w:eastAsiaTheme="minorEastAsia"/>
                <w:lang w:val="en-US" w:eastAsia="zh-CN"/>
              </w:rPr>
            </w:pPr>
            <w:r>
              <w:rPr>
                <w:rFonts w:hint="eastAsia"/>
                <w:lang w:val="en-US" w:eastAsia="zh-CN"/>
              </w:rPr>
              <w:t>0.0</w:t>
            </w:r>
          </w:p>
        </w:tc>
        <w:tc>
          <w:tcPr>
            <w:tcW w:w="1321"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9" w:firstLineChars="9"/>
              <w:jc w:val="center"/>
              <w:rPr>
                <w:rFonts w:hint="default" w:eastAsiaTheme="minorEastAsia"/>
                <w:lang w:val="en-US" w:eastAsia="zh-CN"/>
              </w:rPr>
            </w:pPr>
            <w:r>
              <w:rPr>
                <w:rFonts w:hint="eastAsia"/>
                <w:lang w:val="en-US" w:eastAsia="zh-CN"/>
              </w:rPr>
              <w:t>6.0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6"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累计净利润（万元）</w:t>
            </w:r>
          </w:p>
        </w:tc>
        <w:tc>
          <w:tcPr>
            <w:tcW w:w="1304"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rPr>
                <w:rFonts w:hint="default" w:eastAsia="宋体"/>
                <w:lang w:val="en-US" w:eastAsia="zh-CN"/>
              </w:rPr>
            </w:pPr>
            <w:r>
              <w:rPr>
                <w:rFonts w:eastAsia="Arial"/>
                <w:color w:val="1A1A1A"/>
                <w:sz w:val="20"/>
                <w:szCs w:val="20"/>
              </w:rPr>
              <w:t>-</w:t>
            </w:r>
            <w:r>
              <w:rPr>
                <w:rFonts w:hint="eastAsia" w:eastAsia="宋体"/>
                <w:color w:val="1A1A1A"/>
                <w:sz w:val="20"/>
                <w:szCs w:val="20"/>
                <w:lang w:val="en-US" w:eastAsia="zh-CN"/>
              </w:rPr>
              <w:t>6.3</w:t>
            </w:r>
          </w:p>
        </w:tc>
        <w:tc>
          <w:tcPr>
            <w:tcW w:w="1305"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9" w:firstLineChars="9"/>
              <w:jc w:val="center"/>
              <w:rPr>
                <w:rFonts w:hint="default" w:eastAsiaTheme="minorEastAsia"/>
                <w:lang w:val="en-US" w:eastAsia="zh-CN"/>
              </w:rPr>
            </w:pPr>
            <w:r>
              <w:rPr>
                <w:rFonts w:hint="eastAsia"/>
                <w:lang w:val="en-US" w:eastAsia="zh-CN"/>
              </w:rPr>
              <w:t>-12.7</w:t>
            </w:r>
          </w:p>
        </w:tc>
        <w:tc>
          <w:tcPr>
            <w:tcW w:w="1305"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9" w:firstLineChars="9"/>
              <w:jc w:val="center"/>
              <w:rPr>
                <w:rFonts w:hint="default" w:eastAsiaTheme="minorEastAsia"/>
                <w:lang w:val="en-US" w:eastAsia="zh-CN"/>
              </w:rPr>
            </w:pPr>
            <w:r>
              <w:rPr>
                <w:rFonts w:hint="eastAsia"/>
                <w:lang w:val="en-US" w:eastAsia="zh-CN"/>
              </w:rPr>
              <w:t>-16.7</w:t>
            </w:r>
          </w:p>
        </w:tc>
        <w:tc>
          <w:tcPr>
            <w:tcW w:w="1305"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9" w:firstLineChars="9"/>
              <w:jc w:val="center"/>
              <w:rPr>
                <w:rFonts w:hint="default" w:eastAsiaTheme="minorEastAsia"/>
                <w:lang w:val="en-US" w:eastAsia="zh-CN"/>
              </w:rPr>
            </w:pPr>
            <w:r>
              <w:rPr>
                <w:rFonts w:hint="eastAsia"/>
                <w:lang w:val="en-US" w:eastAsia="zh-CN"/>
              </w:rPr>
              <w:t>-16.7</w:t>
            </w:r>
          </w:p>
        </w:tc>
        <w:tc>
          <w:tcPr>
            <w:tcW w:w="1321"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9" w:firstLineChars="9"/>
              <w:jc w:val="center"/>
              <w:rPr>
                <w:rFonts w:hint="default" w:eastAsiaTheme="minorEastAsia"/>
                <w:lang w:val="en-US" w:eastAsia="zh-CN"/>
              </w:rPr>
            </w:pPr>
            <w:r>
              <w:rPr>
                <w:rFonts w:hint="eastAsia"/>
                <w:lang w:val="en-US" w:eastAsia="zh-CN"/>
              </w:rPr>
              <w:t>-10.7</w:t>
            </w:r>
          </w:p>
        </w:tc>
      </w:tr>
    </w:tbl>
    <w:p>
      <w:pPr>
        <w:spacing w:before="80"/>
        <w:ind w:firstLine="440"/>
      </w:pPr>
    </w:p>
    <w:p>
      <w:pPr>
        <w:spacing w:before="60" w:after="100" w:line="320" w:lineRule="auto"/>
        <w:ind w:firstLine="440"/>
        <w:jc w:val="both"/>
        <w:rPr>
          <w:rFonts w:eastAsia="Arial"/>
          <w:color w:val="1A1A1A"/>
        </w:rPr>
      </w:pPr>
      <w:r>
        <w:rPr>
          <w:rFonts w:eastAsia="Arial"/>
          <w:color w:val="1A1A1A"/>
        </w:rPr>
        <w:t>注：</w:t>
      </w:r>
      <w:r>
        <w:rPr>
          <w:rFonts w:hint="eastAsia" w:eastAsia="Arial"/>
          <w:color w:val="1A1A1A"/>
        </w:rPr>
        <w:t>年收入 = 客户数 × 12月 × 500元/月 × 10⁻⁴（转换为万元）。运营成本包含云服务器费用、至少</w:t>
      </w:r>
      <w:r>
        <w:rPr>
          <w:rFonts w:hint="eastAsia" w:eastAsia="宋体"/>
          <w:color w:val="1A1A1A"/>
          <w:lang w:val="en-US" w:eastAsia="zh-CN"/>
        </w:rPr>
        <w:t>2</w:t>
      </w:r>
      <w:r>
        <w:rPr>
          <w:rFonts w:hint="eastAsia" w:eastAsia="Arial"/>
          <w:color w:val="1A1A1A"/>
        </w:rPr>
        <w:t>名全职人员薪资及社保、销售/市场推广、客服支持及不可预见杂项支出。</w:t>
      </w:r>
    </w:p>
    <w:p>
      <w:pPr>
        <w:pStyle w:val="3"/>
      </w:pPr>
      <w:bookmarkStart w:id="63" w:name="_Toc9086"/>
      <w:r>
        <w:t>11.3 关键财务指标</w:t>
      </w:r>
      <w:bookmarkEnd w:id="63"/>
    </w:p>
    <w:p>
      <w:pPr>
        <w:spacing w:before="80"/>
        <w:ind w:firstLine="440"/>
      </w:pPr>
    </w:p>
    <w:tbl>
      <w:tblPr>
        <w:tblStyle w:val="14"/>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2000"/>
        <w:gridCol w:w="33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财务指标</w:t>
            </w:r>
          </w:p>
        </w:tc>
        <w:tc>
          <w:tcPr>
            <w:tcW w:w="200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估算值</w:t>
            </w:r>
          </w:p>
        </w:tc>
        <w:tc>
          <w:tcPr>
            <w:tcW w:w="3306"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20" w:firstLineChars="9"/>
              <w:jc w:val="center"/>
              <w:rPr>
                <w:rFonts w:hint="default" w:ascii="Arial" w:hAnsi="Arial" w:cs="Arial"/>
                <w:sz w:val="22"/>
                <w:szCs w:val="22"/>
              </w:rPr>
            </w:pPr>
            <w:r>
              <w:rPr>
                <w:rFonts w:hint="default" w:ascii="Arial" w:hAnsi="Arial" w:eastAsia="Arial" w:cs="Arial"/>
                <w:b/>
                <w:bCs/>
                <w:color w:val="1A1A1A"/>
                <w:sz w:val="22"/>
                <w:szCs w:val="22"/>
              </w:rPr>
              <w:t>投资回收期（Payback Period）</w:t>
            </w:r>
          </w:p>
        </w:tc>
        <w:tc>
          <w:tcPr>
            <w:tcW w:w="200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9" w:firstLineChars="9"/>
              <w:jc w:val="center"/>
              <w:rPr>
                <w:rFonts w:hint="default" w:ascii="Arial" w:hAnsi="Arial" w:cs="Arial"/>
                <w:sz w:val="22"/>
                <w:szCs w:val="22"/>
              </w:rPr>
            </w:pPr>
            <w:r>
              <w:rPr>
                <w:rFonts w:hint="default" w:ascii="Arial" w:hAnsi="Arial" w:eastAsia="宋体" w:cs="Arial"/>
                <w:sz w:val="22"/>
                <w:szCs w:val="22"/>
              </w:rPr>
              <w:t>约5年以上</w:t>
            </w:r>
          </w:p>
        </w:tc>
        <w:tc>
          <w:tcPr>
            <w:tcW w:w="330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9" w:firstLineChars="9"/>
              <w:jc w:val="center"/>
              <w:rPr>
                <w:rFonts w:hint="default" w:ascii="Arial" w:hAnsi="Arial" w:cs="Arial"/>
                <w:sz w:val="22"/>
                <w:szCs w:val="22"/>
              </w:rPr>
            </w:pPr>
            <w:r>
              <w:rPr>
                <w:rFonts w:hint="default" w:ascii="Arial" w:hAnsi="Arial" w:eastAsia="宋体" w:cs="Arial"/>
                <w:sz w:val="22"/>
                <w:szCs w:val="22"/>
              </w:rPr>
              <w:t>5年内累计净利润仍为负，需依赖后续增长弥补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20" w:firstLineChars="9"/>
              <w:jc w:val="center"/>
              <w:rPr>
                <w:rFonts w:hint="default" w:ascii="Arial" w:hAnsi="Arial" w:cs="Arial"/>
                <w:sz w:val="22"/>
                <w:szCs w:val="22"/>
              </w:rPr>
            </w:pPr>
            <w:r>
              <w:rPr>
                <w:rFonts w:hint="default" w:ascii="Arial" w:hAnsi="Arial" w:eastAsia="Arial" w:cs="Arial"/>
                <w:b/>
                <w:bCs/>
                <w:color w:val="1A1A1A"/>
                <w:sz w:val="22"/>
                <w:szCs w:val="22"/>
              </w:rPr>
              <w:t>净现值（NPV，5年，折现率1</w:t>
            </w:r>
            <w:r>
              <w:rPr>
                <w:rFonts w:hint="default" w:ascii="Arial" w:hAnsi="Arial" w:eastAsia="宋体" w:cs="Arial"/>
                <w:b/>
                <w:bCs/>
                <w:color w:val="1A1A1A"/>
                <w:sz w:val="22"/>
                <w:szCs w:val="22"/>
                <w:lang w:val="en-US" w:eastAsia="zh-CN"/>
              </w:rPr>
              <w:t>5</w:t>
            </w:r>
            <w:r>
              <w:rPr>
                <w:rFonts w:hint="default" w:ascii="Arial" w:hAnsi="Arial" w:eastAsia="Arial" w:cs="Arial"/>
                <w:b/>
                <w:bCs/>
                <w:color w:val="1A1A1A"/>
                <w:sz w:val="22"/>
                <w:szCs w:val="22"/>
              </w:rPr>
              <w:t>%）</w:t>
            </w:r>
          </w:p>
        </w:tc>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9" w:firstLineChars="9"/>
              <w:jc w:val="center"/>
              <w:rPr>
                <w:rFonts w:hint="default" w:ascii="Arial" w:hAnsi="Arial" w:cs="Arial"/>
                <w:sz w:val="22"/>
                <w:szCs w:val="22"/>
              </w:rPr>
            </w:pPr>
            <w:r>
              <w:rPr>
                <w:rFonts w:hint="default" w:ascii="Arial" w:hAnsi="Arial" w:eastAsia="宋体" w:cs="Arial"/>
                <w:sz w:val="22"/>
                <w:szCs w:val="22"/>
              </w:rPr>
              <w:t>约 -12万元</w:t>
            </w:r>
          </w:p>
        </w:tc>
        <w:tc>
          <w:tcPr>
            <w:tcW w:w="330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9" w:firstLineChars="9"/>
              <w:jc w:val="center"/>
              <w:rPr>
                <w:rFonts w:hint="default" w:ascii="Arial" w:hAnsi="Arial" w:cs="Arial"/>
                <w:sz w:val="22"/>
                <w:szCs w:val="22"/>
              </w:rPr>
            </w:pPr>
            <w:r>
              <w:rPr>
                <w:rFonts w:hint="default" w:ascii="Arial" w:hAnsi="Arial" w:eastAsia="宋体" w:cs="Arial"/>
                <w:sz w:val="22"/>
                <w:szCs w:val="22"/>
              </w:rPr>
              <w:t>5年期内NPV为负，项目经济可行性依赖第5年后持续增长</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20" w:firstLineChars="9"/>
              <w:jc w:val="center"/>
              <w:rPr>
                <w:rFonts w:hint="default" w:ascii="Arial" w:hAnsi="Arial" w:cs="Arial"/>
                <w:sz w:val="22"/>
                <w:szCs w:val="22"/>
              </w:rPr>
            </w:pPr>
            <w:r>
              <w:rPr>
                <w:rFonts w:hint="default" w:ascii="Arial" w:hAnsi="Arial" w:eastAsia="Arial" w:cs="Arial"/>
                <w:b/>
                <w:bCs/>
                <w:color w:val="1A1A1A"/>
                <w:sz w:val="22"/>
                <w:szCs w:val="22"/>
              </w:rPr>
              <w:t>内部收益率（IRR）</w:t>
            </w:r>
          </w:p>
        </w:tc>
        <w:tc>
          <w:tcPr>
            <w:tcW w:w="200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9" w:firstLineChars="9"/>
              <w:jc w:val="center"/>
              <w:rPr>
                <w:rFonts w:hint="default" w:ascii="Arial" w:hAnsi="Arial" w:cs="Arial"/>
                <w:sz w:val="22"/>
                <w:szCs w:val="22"/>
              </w:rPr>
            </w:pPr>
            <w:r>
              <w:rPr>
                <w:rFonts w:hint="default" w:ascii="Arial" w:hAnsi="Arial" w:eastAsia="宋体" w:cs="Arial"/>
                <w:sz w:val="22"/>
                <w:szCs w:val="22"/>
              </w:rPr>
              <w:t>约12%（5年内难以测算正值）</w:t>
            </w:r>
          </w:p>
        </w:tc>
        <w:tc>
          <w:tcPr>
            <w:tcW w:w="330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9" w:firstLineChars="9"/>
              <w:jc w:val="center"/>
              <w:rPr>
                <w:rFonts w:hint="default" w:ascii="Arial" w:hAnsi="Arial" w:cs="Arial"/>
                <w:sz w:val="22"/>
                <w:szCs w:val="22"/>
              </w:rPr>
            </w:pPr>
            <w:r>
              <w:rPr>
                <w:rFonts w:hint="default" w:ascii="Arial" w:hAnsi="Arial" w:eastAsia="宋体" w:cs="Arial"/>
                <w:sz w:val="22"/>
                <w:szCs w:val="22"/>
              </w:rPr>
              <w:t>若增长延续至第7年，IRR或可达15%左右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20" w:firstLineChars="9"/>
              <w:jc w:val="center"/>
              <w:rPr>
                <w:rFonts w:hint="default" w:ascii="Arial" w:hAnsi="Arial" w:cs="Arial"/>
                <w:sz w:val="22"/>
                <w:szCs w:val="22"/>
              </w:rPr>
            </w:pPr>
            <w:r>
              <w:rPr>
                <w:rFonts w:hint="default" w:ascii="Arial" w:hAnsi="Arial" w:eastAsia="Arial" w:cs="Arial"/>
                <w:b/>
                <w:bCs/>
                <w:color w:val="1A1A1A"/>
                <w:sz w:val="22"/>
                <w:szCs w:val="22"/>
              </w:rPr>
              <w:t>盈亏平衡点（Break-even）</w:t>
            </w:r>
          </w:p>
        </w:tc>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9" w:firstLineChars="9"/>
              <w:jc w:val="center"/>
              <w:rPr>
                <w:rFonts w:hint="default" w:ascii="Arial" w:hAnsi="Arial" w:cs="Arial"/>
                <w:sz w:val="22"/>
                <w:szCs w:val="22"/>
              </w:rPr>
            </w:pPr>
            <w:r>
              <w:rPr>
                <w:rFonts w:hint="default" w:ascii="Arial" w:hAnsi="Arial" w:eastAsia="宋体" w:cs="Arial"/>
                <w:sz w:val="22"/>
                <w:szCs w:val="22"/>
              </w:rPr>
              <w:t>约25个订阅用户</w:t>
            </w:r>
          </w:p>
        </w:tc>
        <w:tc>
          <w:tcPr>
            <w:tcW w:w="330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9" w:firstLineChars="9"/>
              <w:jc w:val="center"/>
              <w:rPr>
                <w:rFonts w:hint="default" w:ascii="Arial" w:hAnsi="Arial" w:cs="Arial"/>
                <w:sz w:val="22"/>
                <w:szCs w:val="22"/>
              </w:rPr>
            </w:pPr>
            <w:r>
              <w:rPr>
                <w:rFonts w:hint="default" w:ascii="Arial" w:hAnsi="Arial" w:eastAsia="宋体" w:cs="Arial"/>
                <w:sz w:val="22"/>
                <w:szCs w:val="22"/>
              </w:rPr>
              <w:t>月收入 ≥ 月均运营成本（约12,500元/月）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20" w:firstLineChars="9"/>
              <w:jc w:val="center"/>
              <w:rPr>
                <w:rFonts w:hint="default" w:ascii="Arial" w:hAnsi="Arial" w:cs="Arial"/>
                <w:sz w:val="22"/>
                <w:szCs w:val="22"/>
              </w:rPr>
            </w:pPr>
            <w:r>
              <w:rPr>
                <w:rFonts w:hint="default" w:ascii="Arial" w:hAnsi="Arial" w:eastAsia="Arial" w:cs="Arial"/>
                <w:b/>
                <w:bCs/>
                <w:color w:val="1A1A1A"/>
                <w:sz w:val="22"/>
                <w:szCs w:val="22"/>
              </w:rPr>
              <w:t>5年ROI（投资回报率）</w:t>
            </w:r>
          </w:p>
        </w:tc>
        <w:tc>
          <w:tcPr>
            <w:tcW w:w="200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9" w:firstLineChars="9"/>
              <w:jc w:val="center"/>
              <w:rPr>
                <w:rFonts w:hint="default" w:ascii="Arial" w:hAnsi="Arial" w:cs="Arial"/>
                <w:sz w:val="22"/>
                <w:szCs w:val="22"/>
              </w:rPr>
            </w:pPr>
            <w:r>
              <w:rPr>
                <w:rFonts w:hint="default" w:ascii="Arial" w:hAnsi="Arial" w:eastAsia="宋体" w:cs="Arial"/>
                <w:sz w:val="22"/>
                <w:szCs w:val="22"/>
              </w:rPr>
              <w:t>约 -113%</w:t>
            </w:r>
          </w:p>
        </w:tc>
        <w:tc>
          <w:tcPr>
            <w:tcW w:w="330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9" w:firstLineChars="9"/>
              <w:jc w:val="center"/>
              <w:rPr>
                <w:rFonts w:hint="default" w:ascii="Arial" w:hAnsi="Arial" w:cs="Arial"/>
                <w:sz w:val="22"/>
                <w:szCs w:val="22"/>
              </w:rPr>
            </w:pPr>
            <w:r>
              <w:rPr>
                <w:rFonts w:hint="default" w:ascii="Arial" w:hAnsi="Arial" w:eastAsia="宋体" w:cs="Arial"/>
                <w:sz w:val="22"/>
                <w:szCs w:val="22"/>
              </w:rPr>
              <w:t>5年内净亏损约10.7万元，需第6年起持续盈利才能回正</w:t>
            </w:r>
          </w:p>
        </w:tc>
      </w:tr>
    </w:tbl>
    <w:p>
      <w:pPr>
        <w:pStyle w:val="2"/>
        <w:keepNext w:val="0"/>
        <w:keepLines w:val="0"/>
        <w:pageBreakBefore w:val="0"/>
        <w:widowControl/>
        <w:pBdr>
          <w:bottom w:val="single" w:color="2E75B6" w:sz="8" w:space="6"/>
        </w:pBdr>
        <w:kinsoku/>
        <w:wordWrap/>
        <w:overflowPunct/>
        <w:topLinePunct w:val="0"/>
        <w:autoSpaceDE/>
        <w:autoSpaceDN/>
        <w:bidi w:val="0"/>
        <w:adjustRightInd/>
        <w:snapToGrid/>
        <w:spacing w:line="320" w:lineRule="auto"/>
        <w:ind w:firstLine="440" w:firstLineChars="200"/>
        <w:textAlignment w:val="auto"/>
        <w:rPr>
          <w:rFonts w:hint="default" w:ascii="Arial" w:hAnsi="Arial" w:eastAsia="Arial" w:cs="Arial"/>
          <w:b w:val="0"/>
          <w:bCs w:val="0"/>
          <w:color w:val="1A1A1A"/>
          <w:sz w:val="22"/>
          <w:szCs w:val="22"/>
        </w:rPr>
      </w:pPr>
      <w:bookmarkStart w:id="64" w:name="_Toc16987"/>
      <w:r>
        <w:rPr>
          <w:rFonts w:hint="default" w:ascii="Arial" w:hAnsi="Arial" w:eastAsia="Arial" w:cs="Arial"/>
          <w:b w:val="0"/>
          <w:bCs w:val="0"/>
          <w:color w:val="1A1A1A"/>
          <w:sz w:val="22"/>
          <w:szCs w:val="22"/>
        </w:rPr>
        <w:t>综合财务评估表明，本项目在5年内尚难实现完全盈利，属于典型的早期SaaS冷启动阶段特征——前期客户获取成本高、规模化效应尚未显现。项目的财务可行性取决于能否在第5年后维持客户增长势头，并将运营成本增速控制在收入增速以下。建议在商业化早期重点验证核心付费意愿，严格管控固定支出，以延长资金跑道。</w:t>
      </w:r>
    </w:p>
    <w:p>
      <w:pPr>
        <w:pStyle w:val="2"/>
        <w:pBdr>
          <w:bottom w:val="single" w:color="2E75B6" w:sz="8" w:space="6"/>
        </w:pBdr>
      </w:pPr>
      <w:r>
        <w:t>第十二章  财务风险管理</w:t>
      </w:r>
      <w:bookmarkEnd w:id="64"/>
    </w:p>
    <w:p>
      <w:pPr>
        <w:pStyle w:val="3"/>
      </w:pPr>
      <w:bookmarkStart w:id="65" w:name="_Toc26523"/>
      <w:r>
        <w:t>12.1 财务风险识别</w:t>
      </w:r>
      <w:bookmarkEnd w:id="65"/>
    </w:p>
    <w:p>
      <w:pPr>
        <w:spacing w:before="80"/>
        <w:ind w:firstLine="440"/>
      </w:pPr>
    </w:p>
    <w:tbl>
      <w:tblPr>
        <w:tblStyle w:val="14"/>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50"/>
        <w:gridCol w:w="2084"/>
        <w:gridCol w:w="1280"/>
        <w:gridCol w:w="1133"/>
        <w:gridCol w:w="305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5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编号</w:t>
            </w:r>
          </w:p>
        </w:tc>
        <w:tc>
          <w:tcPr>
            <w:tcW w:w="2084"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财务风险</w:t>
            </w:r>
          </w:p>
        </w:tc>
        <w:tc>
          <w:tcPr>
            <w:tcW w:w="128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发生概率</w:t>
            </w:r>
          </w:p>
        </w:tc>
        <w:tc>
          <w:tcPr>
            <w:tcW w:w="1133"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财务影响</w:t>
            </w:r>
          </w:p>
        </w:tc>
        <w:tc>
          <w:tcPr>
            <w:tcW w:w="3059"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应对措施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5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rPr>
                <w:rFonts w:hint="default" w:ascii="Arial" w:hAnsi="Arial" w:cs="Arial"/>
                <w:sz w:val="20"/>
                <w:szCs w:val="20"/>
              </w:rPr>
            </w:pPr>
            <w:r>
              <w:rPr>
                <w:rFonts w:hint="default" w:ascii="Arial" w:hAnsi="Arial" w:eastAsia="Arial" w:cs="Arial"/>
                <w:color w:val="1A1A1A"/>
                <w:sz w:val="20"/>
                <w:szCs w:val="20"/>
              </w:rPr>
              <w:t>FR01</w:t>
            </w:r>
          </w:p>
        </w:tc>
        <w:tc>
          <w:tcPr>
            <w:tcW w:w="2084"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rPr>
                <w:rFonts w:hint="default" w:ascii="Arial" w:hAnsi="Arial" w:cs="Arial"/>
                <w:b/>
                <w:bCs/>
                <w:sz w:val="20"/>
                <w:szCs w:val="20"/>
              </w:rPr>
            </w:pPr>
            <w:r>
              <w:rPr>
                <w:rFonts w:hint="default" w:ascii="Arial" w:hAnsi="Arial" w:eastAsia="Arial" w:cs="Arial"/>
                <w:b/>
                <w:bCs/>
                <w:color w:val="1A1A1A"/>
                <w:sz w:val="20"/>
                <w:szCs w:val="20"/>
              </w:rPr>
              <w:t>市场渗透率低于预期（客户获取困难）</w:t>
            </w:r>
          </w:p>
        </w:tc>
        <w:tc>
          <w:tcPr>
            <w:tcW w:w="128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rPr>
                <w:rFonts w:hint="default" w:ascii="Arial" w:hAnsi="Arial" w:cs="Arial"/>
                <w:sz w:val="20"/>
                <w:szCs w:val="20"/>
              </w:rPr>
            </w:pPr>
            <w:r>
              <w:rPr>
                <w:rFonts w:hint="default" w:ascii="Arial" w:hAnsi="Arial" w:eastAsia="宋体" w:cs="Arial"/>
                <w:color w:val="1A1A1A"/>
                <w:sz w:val="20"/>
                <w:szCs w:val="20"/>
                <w:lang w:val="en-US" w:eastAsia="zh-CN"/>
              </w:rPr>
              <w:t>高</w:t>
            </w:r>
            <w:r>
              <w:rPr>
                <w:rFonts w:hint="default" w:ascii="Arial" w:hAnsi="Arial" w:eastAsia="Arial" w:cs="Arial"/>
                <w:color w:val="1A1A1A"/>
                <w:sz w:val="20"/>
                <w:szCs w:val="20"/>
              </w:rPr>
              <w:t>（</w:t>
            </w:r>
            <w:r>
              <w:rPr>
                <w:rFonts w:hint="default" w:ascii="Arial" w:hAnsi="Arial" w:eastAsia="宋体" w:cs="Arial"/>
                <w:color w:val="1A1A1A"/>
                <w:sz w:val="20"/>
                <w:szCs w:val="20"/>
                <w:lang w:val="en-US" w:eastAsia="zh-CN"/>
              </w:rPr>
              <w:t>65</w:t>
            </w:r>
            <w:r>
              <w:rPr>
                <w:rFonts w:hint="default" w:ascii="Arial" w:hAnsi="Arial" w:eastAsia="Arial" w:cs="Arial"/>
                <w:color w:val="1A1A1A"/>
                <w:sz w:val="20"/>
                <w:szCs w:val="20"/>
              </w:rPr>
              <w:t>%）</w:t>
            </w:r>
          </w:p>
        </w:tc>
        <w:tc>
          <w:tcPr>
            <w:tcW w:w="1133"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rPr>
                <w:rFonts w:hint="default" w:ascii="Arial" w:hAnsi="Arial" w:cs="Arial"/>
                <w:sz w:val="20"/>
                <w:szCs w:val="20"/>
              </w:rPr>
            </w:pPr>
            <w:r>
              <w:rPr>
                <w:rFonts w:hint="default" w:ascii="Arial" w:hAnsi="Arial" w:eastAsia="Arial" w:cs="Arial"/>
                <w:color w:val="1A1A1A"/>
                <w:sz w:val="20"/>
                <w:szCs w:val="20"/>
              </w:rPr>
              <w:t>高</w:t>
            </w:r>
          </w:p>
        </w:tc>
        <w:tc>
          <w:tcPr>
            <w:tcW w:w="3059"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rPr>
                <w:rFonts w:hint="default" w:ascii="Arial" w:hAnsi="Arial" w:cs="Arial"/>
                <w:sz w:val="20"/>
                <w:szCs w:val="20"/>
              </w:rPr>
            </w:pPr>
            <w:r>
              <w:rPr>
                <w:rFonts w:hint="default" w:ascii="Arial" w:hAnsi="Arial" w:eastAsia="Arial" w:cs="Arial"/>
                <w:color w:val="1A1A1A"/>
                <w:sz w:val="20"/>
                <w:szCs w:val="20"/>
              </w:rPr>
              <w:t>聚焦1-2个垂直场景打磨标杆案例；提供免费试用期（3个月）以降低决策门槛；考虑与物业管理软件厂商合作分销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5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rPr>
                <w:rFonts w:hint="default" w:ascii="Arial" w:hAnsi="Arial" w:cs="Arial"/>
                <w:sz w:val="20"/>
                <w:szCs w:val="20"/>
              </w:rPr>
            </w:pPr>
            <w:r>
              <w:rPr>
                <w:rFonts w:hint="default" w:ascii="Arial" w:hAnsi="Arial" w:eastAsia="Arial" w:cs="Arial"/>
                <w:color w:val="1A1A1A"/>
                <w:sz w:val="20"/>
                <w:szCs w:val="20"/>
              </w:rPr>
              <w:t>FR02</w:t>
            </w:r>
          </w:p>
        </w:tc>
        <w:tc>
          <w:tcPr>
            <w:tcW w:w="208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rPr>
                <w:rFonts w:hint="default" w:ascii="Arial" w:hAnsi="Arial" w:cs="Arial"/>
                <w:b/>
                <w:bCs/>
                <w:sz w:val="20"/>
                <w:szCs w:val="20"/>
              </w:rPr>
            </w:pPr>
            <w:r>
              <w:rPr>
                <w:rFonts w:hint="default" w:ascii="Arial" w:hAnsi="Arial" w:eastAsia="Arial" w:cs="Arial"/>
                <w:b/>
                <w:bCs/>
                <w:color w:val="1A1A1A"/>
                <w:sz w:val="20"/>
                <w:szCs w:val="20"/>
              </w:rPr>
              <w:t>云服务器成本超预期（GPU推理费用）</w:t>
            </w:r>
          </w:p>
        </w:tc>
        <w:tc>
          <w:tcPr>
            <w:tcW w:w="128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rPr>
                <w:rFonts w:hint="default" w:ascii="Arial" w:hAnsi="Arial" w:cs="Arial"/>
                <w:sz w:val="20"/>
                <w:szCs w:val="20"/>
              </w:rPr>
            </w:pPr>
            <w:r>
              <w:rPr>
                <w:rFonts w:hint="default" w:ascii="Arial" w:hAnsi="Arial" w:eastAsia="宋体" w:cs="Arial"/>
                <w:sz w:val="20"/>
                <w:szCs w:val="20"/>
              </w:rPr>
              <w:t>高</w:t>
            </w:r>
            <w:r>
              <w:rPr>
                <w:rFonts w:hint="default" w:ascii="Arial" w:hAnsi="Arial" w:eastAsia="Arial" w:cs="Arial"/>
                <w:color w:val="1A1A1A"/>
                <w:sz w:val="20"/>
                <w:szCs w:val="20"/>
              </w:rPr>
              <w:t>（</w:t>
            </w:r>
            <w:r>
              <w:rPr>
                <w:rFonts w:hint="default" w:ascii="Arial" w:hAnsi="Arial" w:eastAsia="宋体" w:cs="Arial"/>
                <w:color w:val="1A1A1A"/>
                <w:sz w:val="20"/>
                <w:szCs w:val="20"/>
                <w:lang w:val="en-US" w:eastAsia="zh-CN"/>
              </w:rPr>
              <w:t>5</w:t>
            </w:r>
            <w:r>
              <w:rPr>
                <w:rFonts w:hint="default" w:ascii="Arial" w:hAnsi="Arial" w:eastAsia="Arial" w:cs="Arial"/>
                <w:color w:val="1A1A1A"/>
                <w:sz w:val="20"/>
                <w:szCs w:val="20"/>
              </w:rPr>
              <w:t>5%）</w:t>
            </w:r>
          </w:p>
        </w:tc>
        <w:tc>
          <w:tcPr>
            <w:tcW w:w="1133"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rPr>
                <w:rFonts w:hint="default" w:ascii="Arial" w:hAnsi="Arial" w:cs="Arial"/>
                <w:sz w:val="20"/>
                <w:szCs w:val="20"/>
              </w:rPr>
            </w:pPr>
            <w:r>
              <w:rPr>
                <w:rFonts w:hint="default" w:ascii="Arial" w:hAnsi="Arial" w:eastAsia="Arial" w:cs="Arial"/>
                <w:color w:val="1A1A1A"/>
                <w:sz w:val="20"/>
                <w:szCs w:val="20"/>
              </w:rPr>
              <w:t>中</w:t>
            </w:r>
          </w:p>
        </w:tc>
        <w:tc>
          <w:tcPr>
            <w:tcW w:w="3059"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rPr>
                <w:rFonts w:hint="default" w:ascii="Arial" w:hAnsi="Arial" w:cs="Arial"/>
                <w:sz w:val="20"/>
                <w:szCs w:val="20"/>
              </w:rPr>
            </w:pPr>
            <w:r>
              <w:rPr>
                <w:rFonts w:hint="default" w:ascii="Arial" w:hAnsi="Arial" w:eastAsia="宋体" w:cs="Arial"/>
                <w:sz w:val="20"/>
                <w:szCs w:val="20"/>
              </w:rPr>
              <w:t>引入模型量化（INT8）压缩推理开销；按实际调用量计费，避免包月资源闲置；设置月度费用硬上限告警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5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rPr>
                <w:rFonts w:hint="default" w:ascii="Arial" w:hAnsi="Arial" w:cs="Arial"/>
                <w:sz w:val="20"/>
                <w:szCs w:val="20"/>
              </w:rPr>
            </w:pPr>
            <w:r>
              <w:rPr>
                <w:rFonts w:hint="default" w:ascii="Arial" w:hAnsi="Arial" w:eastAsia="Arial" w:cs="Arial"/>
                <w:color w:val="1A1A1A"/>
                <w:sz w:val="20"/>
                <w:szCs w:val="20"/>
              </w:rPr>
              <w:t>FR03</w:t>
            </w:r>
          </w:p>
        </w:tc>
        <w:tc>
          <w:tcPr>
            <w:tcW w:w="2084"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rPr>
                <w:rFonts w:hint="default" w:ascii="Arial" w:hAnsi="Arial" w:cs="Arial"/>
                <w:b/>
                <w:bCs/>
                <w:sz w:val="20"/>
                <w:szCs w:val="20"/>
              </w:rPr>
            </w:pPr>
            <w:r>
              <w:rPr>
                <w:rFonts w:hint="default" w:ascii="Arial" w:hAnsi="Arial" w:eastAsia="宋体" w:cs="Arial"/>
                <w:b/>
                <w:bCs/>
                <w:sz w:val="20"/>
                <w:szCs w:val="20"/>
              </w:rPr>
              <w:t>竞争对手以更低价格进入市场</w:t>
            </w:r>
          </w:p>
        </w:tc>
        <w:tc>
          <w:tcPr>
            <w:tcW w:w="128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rPr>
                <w:rFonts w:hint="default" w:ascii="Arial" w:hAnsi="Arial" w:cs="Arial"/>
                <w:sz w:val="20"/>
                <w:szCs w:val="20"/>
              </w:rPr>
            </w:pPr>
            <w:r>
              <w:rPr>
                <w:rFonts w:hint="default" w:ascii="Arial" w:hAnsi="Arial" w:eastAsia="宋体" w:cs="Arial"/>
                <w:sz w:val="20"/>
                <w:szCs w:val="20"/>
              </w:rPr>
              <w:t>高（55%）</w:t>
            </w:r>
          </w:p>
        </w:tc>
        <w:tc>
          <w:tcPr>
            <w:tcW w:w="1133"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rPr>
                <w:rFonts w:hint="default" w:ascii="Arial" w:hAnsi="Arial" w:cs="Arial"/>
                <w:sz w:val="20"/>
                <w:szCs w:val="20"/>
              </w:rPr>
            </w:pPr>
            <w:r>
              <w:rPr>
                <w:rFonts w:hint="default" w:ascii="Arial" w:hAnsi="Arial" w:eastAsia="Arial" w:cs="Arial"/>
                <w:color w:val="1A1A1A"/>
                <w:sz w:val="20"/>
                <w:szCs w:val="20"/>
              </w:rPr>
              <w:t>高</w:t>
            </w:r>
          </w:p>
        </w:tc>
        <w:tc>
          <w:tcPr>
            <w:tcW w:w="3059"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rPr>
                <w:rFonts w:hint="default" w:ascii="Arial" w:hAnsi="Arial" w:cs="Arial"/>
                <w:sz w:val="20"/>
                <w:szCs w:val="20"/>
              </w:rPr>
            </w:pPr>
            <w:r>
              <w:rPr>
                <w:rFonts w:hint="default" w:ascii="Arial" w:hAnsi="Arial" w:eastAsia="宋体" w:cs="Arial"/>
                <w:sz w:val="20"/>
                <w:szCs w:val="20"/>
              </w:rPr>
              <w:t>以服务质量与交付效率差异化竞争；尽早绑定头部种子客户建立口碑；避免价格战，守住单价底线</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5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rPr>
                <w:rFonts w:hint="default" w:ascii="Arial" w:hAnsi="Arial" w:cs="Arial"/>
                <w:sz w:val="20"/>
                <w:szCs w:val="20"/>
              </w:rPr>
            </w:pPr>
            <w:r>
              <w:rPr>
                <w:rFonts w:hint="default" w:ascii="Arial" w:hAnsi="Arial" w:eastAsia="Arial" w:cs="Arial"/>
                <w:color w:val="1A1A1A"/>
                <w:sz w:val="20"/>
                <w:szCs w:val="20"/>
              </w:rPr>
              <w:t>FR04</w:t>
            </w:r>
          </w:p>
        </w:tc>
        <w:tc>
          <w:tcPr>
            <w:tcW w:w="208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rPr>
                <w:rFonts w:hint="default" w:ascii="Arial" w:hAnsi="Arial" w:cs="Arial"/>
                <w:b/>
                <w:bCs/>
                <w:sz w:val="20"/>
                <w:szCs w:val="20"/>
              </w:rPr>
            </w:pPr>
            <w:r>
              <w:rPr>
                <w:rFonts w:hint="default" w:ascii="Arial" w:hAnsi="Arial" w:eastAsia="宋体" w:cs="Arial"/>
                <w:b/>
                <w:bCs/>
                <w:sz w:val="20"/>
                <w:szCs w:val="20"/>
              </w:rPr>
              <w:t>核心人员流失导致运营成本骤升</w:t>
            </w:r>
          </w:p>
        </w:tc>
        <w:tc>
          <w:tcPr>
            <w:tcW w:w="128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rPr>
                <w:rFonts w:hint="default" w:ascii="Arial" w:hAnsi="Arial" w:cs="Arial"/>
                <w:sz w:val="20"/>
                <w:szCs w:val="20"/>
              </w:rPr>
            </w:pPr>
            <w:r>
              <w:rPr>
                <w:rFonts w:hint="default" w:ascii="Arial" w:hAnsi="Arial" w:eastAsia="宋体" w:cs="Arial"/>
                <w:color w:val="1A1A1A"/>
                <w:sz w:val="20"/>
                <w:szCs w:val="20"/>
                <w:lang w:val="en-US" w:eastAsia="zh-CN"/>
              </w:rPr>
              <w:t>中</w:t>
            </w:r>
            <w:r>
              <w:rPr>
                <w:rFonts w:hint="default" w:ascii="Arial" w:hAnsi="Arial" w:eastAsia="Arial" w:cs="Arial"/>
                <w:color w:val="1A1A1A"/>
                <w:sz w:val="20"/>
                <w:szCs w:val="20"/>
              </w:rPr>
              <w:t>（</w:t>
            </w:r>
            <w:r>
              <w:rPr>
                <w:rFonts w:hint="default" w:ascii="Arial" w:hAnsi="Arial" w:eastAsia="宋体" w:cs="Arial"/>
                <w:color w:val="1A1A1A"/>
                <w:sz w:val="20"/>
                <w:szCs w:val="20"/>
                <w:lang w:val="en-US" w:eastAsia="zh-CN"/>
              </w:rPr>
              <w:t>4</w:t>
            </w:r>
            <w:r>
              <w:rPr>
                <w:rFonts w:hint="default" w:ascii="Arial" w:hAnsi="Arial" w:eastAsia="Arial" w:cs="Arial"/>
                <w:color w:val="1A1A1A"/>
                <w:sz w:val="20"/>
                <w:szCs w:val="20"/>
              </w:rPr>
              <w:t>5%）</w:t>
            </w:r>
          </w:p>
        </w:tc>
        <w:tc>
          <w:tcPr>
            <w:tcW w:w="1133"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rPr>
                <w:rFonts w:hint="default" w:ascii="Arial" w:hAnsi="Arial" w:cs="Arial" w:eastAsiaTheme="minorEastAsia"/>
                <w:sz w:val="20"/>
                <w:szCs w:val="20"/>
                <w:lang w:val="en-US" w:eastAsia="zh-CN"/>
              </w:rPr>
            </w:pPr>
            <w:r>
              <w:rPr>
                <w:rFonts w:hint="default" w:ascii="Arial" w:hAnsi="Arial" w:cs="Arial"/>
                <w:sz w:val="20"/>
                <w:szCs w:val="20"/>
                <w:lang w:val="en-US" w:eastAsia="zh-CN"/>
              </w:rPr>
              <w:t>高</w:t>
            </w:r>
          </w:p>
        </w:tc>
        <w:tc>
          <w:tcPr>
            <w:tcW w:w="3059"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rPr>
                <w:rFonts w:hint="default" w:ascii="Arial" w:hAnsi="Arial" w:cs="Arial"/>
                <w:sz w:val="20"/>
                <w:szCs w:val="20"/>
              </w:rPr>
            </w:pPr>
            <w:r>
              <w:rPr>
                <w:rFonts w:hint="default" w:ascii="Arial" w:hAnsi="Arial" w:eastAsia="宋体" w:cs="Arial"/>
                <w:sz w:val="20"/>
                <w:szCs w:val="20"/>
              </w:rPr>
              <w:t>建立知识沉淀机制（文档化、模块化代码）；保证合理薪酬水平；避免对单一开发者形成强依赖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5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rPr>
                <w:rFonts w:hint="default" w:ascii="Arial" w:hAnsi="Arial" w:cs="Arial"/>
                <w:sz w:val="20"/>
                <w:szCs w:val="20"/>
              </w:rPr>
            </w:pPr>
            <w:r>
              <w:rPr>
                <w:rFonts w:hint="default" w:ascii="Arial" w:hAnsi="Arial" w:eastAsia="Arial" w:cs="Arial"/>
                <w:color w:val="1A1A1A"/>
                <w:sz w:val="20"/>
                <w:szCs w:val="20"/>
              </w:rPr>
              <w:t>FR05</w:t>
            </w:r>
          </w:p>
        </w:tc>
        <w:tc>
          <w:tcPr>
            <w:tcW w:w="2084"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rPr>
                <w:rFonts w:hint="default" w:ascii="Arial" w:hAnsi="Arial" w:cs="Arial"/>
                <w:b/>
                <w:bCs/>
                <w:sz w:val="20"/>
                <w:szCs w:val="20"/>
              </w:rPr>
            </w:pPr>
            <w:r>
              <w:rPr>
                <w:rFonts w:hint="default" w:ascii="Arial" w:hAnsi="Arial" w:eastAsia="宋体" w:cs="Arial"/>
                <w:b/>
                <w:bCs/>
                <w:sz w:val="20"/>
                <w:szCs w:val="20"/>
              </w:rPr>
              <w:t>融资失败或资金链断裂</w:t>
            </w:r>
          </w:p>
        </w:tc>
        <w:tc>
          <w:tcPr>
            <w:tcW w:w="128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rPr>
                <w:rFonts w:hint="default" w:ascii="Arial" w:hAnsi="Arial" w:cs="Arial"/>
                <w:sz w:val="20"/>
                <w:szCs w:val="20"/>
              </w:rPr>
            </w:pPr>
            <w:r>
              <w:rPr>
                <w:rFonts w:hint="default" w:ascii="Arial" w:hAnsi="Arial" w:eastAsia="宋体" w:cs="Arial"/>
                <w:sz w:val="20"/>
                <w:szCs w:val="20"/>
              </w:rPr>
              <w:t>高（60%）</w:t>
            </w:r>
            <w:r>
              <w:rPr>
                <w:rFonts w:hint="default" w:ascii="Arial" w:hAnsi="Arial" w:eastAsia="Arial" w:cs="Arial"/>
                <w:color w:val="1A1A1A"/>
                <w:sz w:val="20"/>
                <w:szCs w:val="20"/>
              </w:rPr>
              <w:t>）</w:t>
            </w:r>
          </w:p>
        </w:tc>
        <w:tc>
          <w:tcPr>
            <w:tcW w:w="1133"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rPr>
                <w:rFonts w:hint="default" w:ascii="Arial" w:hAnsi="Arial" w:cs="Arial"/>
                <w:sz w:val="20"/>
                <w:szCs w:val="20"/>
              </w:rPr>
            </w:pPr>
            <w:r>
              <w:rPr>
                <w:rFonts w:hint="default" w:ascii="Arial" w:hAnsi="Arial" w:eastAsia="宋体" w:cs="Arial"/>
                <w:color w:val="1A1A1A"/>
                <w:sz w:val="20"/>
                <w:szCs w:val="20"/>
                <w:lang w:val="en-US" w:eastAsia="zh-CN"/>
              </w:rPr>
              <w:t>极</w:t>
            </w:r>
            <w:r>
              <w:rPr>
                <w:rFonts w:hint="default" w:ascii="Arial" w:hAnsi="Arial" w:eastAsia="Arial" w:cs="Arial"/>
                <w:color w:val="1A1A1A"/>
                <w:sz w:val="20"/>
                <w:szCs w:val="20"/>
              </w:rPr>
              <w:t>高</w:t>
            </w:r>
          </w:p>
        </w:tc>
        <w:tc>
          <w:tcPr>
            <w:tcW w:w="3059"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rPr>
                <w:rFonts w:hint="default" w:ascii="Arial" w:hAnsi="Arial" w:cs="Arial"/>
                <w:sz w:val="20"/>
                <w:szCs w:val="20"/>
              </w:rPr>
            </w:pPr>
            <w:r>
              <w:rPr>
                <w:rFonts w:hint="default" w:ascii="Arial" w:hAnsi="Arial" w:eastAsia="Arial" w:cs="Arial"/>
                <w:color w:val="1A1A1A"/>
                <w:sz w:val="20"/>
                <w:szCs w:val="20"/>
              </w:rPr>
              <w:t>以自我造血为第一优先；严控月度烧钱率（Burn Rate），保持至少6个月现金跑道；融资谈判窗口前置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5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rPr>
                <w:rFonts w:hint="default" w:ascii="Arial" w:hAnsi="Arial" w:cs="Arial"/>
                <w:sz w:val="20"/>
                <w:szCs w:val="20"/>
              </w:rPr>
            </w:pPr>
            <w:r>
              <w:rPr>
                <w:rFonts w:hint="default" w:ascii="Arial" w:hAnsi="Arial" w:eastAsia="Arial" w:cs="Arial"/>
                <w:color w:val="1A1A1A"/>
                <w:sz w:val="20"/>
                <w:szCs w:val="20"/>
              </w:rPr>
              <w:t>FR06</w:t>
            </w:r>
          </w:p>
        </w:tc>
        <w:tc>
          <w:tcPr>
            <w:tcW w:w="208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rPr>
                <w:rFonts w:hint="default" w:ascii="Arial" w:hAnsi="Arial" w:cs="Arial"/>
                <w:b/>
                <w:bCs/>
                <w:sz w:val="20"/>
                <w:szCs w:val="20"/>
              </w:rPr>
            </w:pPr>
            <w:r>
              <w:rPr>
                <w:rFonts w:hint="default" w:ascii="Arial" w:hAnsi="Arial" w:eastAsia="宋体" w:cs="Arial"/>
                <w:b/>
                <w:bCs/>
                <w:sz w:val="20"/>
                <w:szCs w:val="20"/>
              </w:rPr>
              <w:t>实际运营成本严重低估</w:t>
            </w:r>
          </w:p>
        </w:tc>
        <w:tc>
          <w:tcPr>
            <w:tcW w:w="128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rPr>
                <w:rFonts w:hint="default" w:ascii="Arial" w:hAnsi="Arial" w:cs="Arial"/>
                <w:sz w:val="20"/>
                <w:szCs w:val="20"/>
              </w:rPr>
            </w:pPr>
            <w:r>
              <w:rPr>
                <w:rFonts w:hint="default" w:ascii="Arial" w:hAnsi="Arial" w:eastAsia="宋体" w:cs="Arial"/>
                <w:sz w:val="20"/>
                <w:szCs w:val="20"/>
              </w:rPr>
              <w:t>高（50%）</w:t>
            </w:r>
          </w:p>
        </w:tc>
        <w:tc>
          <w:tcPr>
            <w:tcW w:w="1133"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rPr>
                <w:rFonts w:hint="default" w:ascii="Arial" w:hAnsi="Arial" w:cs="Arial"/>
                <w:sz w:val="20"/>
                <w:szCs w:val="20"/>
              </w:rPr>
            </w:pPr>
            <w:r>
              <w:rPr>
                <w:rFonts w:hint="default" w:ascii="Arial" w:hAnsi="Arial" w:eastAsia="Arial" w:cs="Arial"/>
                <w:color w:val="1A1A1A"/>
                <w:sz w:val="20"/>
                <w:szCs w:val="20"/>
              </w:rPr>
              <w:t>中</w:t>
            </w:r>
          </w:p>
        </w:tc>
        <w:tc>
          <w:tcPr>
            <w:tcW w:w="3059"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rPr>
                <w:rFonts w:hint="default" w:ascii="Arial" w:hAnsi="Arial" w:cs="Arial"/>
                <w:sz w:val="20"/>
                <w:szCs w:val="20"/>
              </w:rPr>
            </w:pPr>
            <w:r>
              <w:rPr>
                <w:rFonts w:hint="default" w:ascii="Arial" w:hAnsi="Arial" w:eastAsia="宋体" w:cs="Arial"/>
                <w:sz w:val="20"/>
                <w:szCs w:val="20"/>
              </w:rPr>
              <w:t>预留25%成本储备金（高于原估算的20%）；逐月对比实际与预算偏差，及时止损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5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rPr>
                <w:rFonts w:hint="default" w:ascii="Arial" w:hAnsi="Arial" w:eastAsia="宋体" w:cs="Arial"/>
                <w:color w:val="1A1A1A"/>
                <w:sz w:val="20"/>
                <w:szCs w:val="20"/>
                <w:lang w:val="en-US" w:eastAsia="zh-CN"/>
              </w:rPr>
            </w:pPr>
            <w:bookmarkStart w:id="66" w:name="_Toc1024"/>
            <w:r>
              <w:rPr>
                <w:rFonts w:hint="default" w:ascii="Arial" w:hAnsi="Arial" w:eastAsia="宋体" w:cs="Arial"/>
                <w:color w:val="1A1A1A"/>
                <w:sz w:val="20"/>
                <w:szCs w:val="20"/>
                <w:lang w:val="en-US" w:eastAsia="zh-CN"/>
              </w:rPr>
              <w:t>FR07</w:t>
            </w:r>
          </w:p>
        </w:tc>
        <w:tc>
          <w:tcPr>
            <w:tcW w:w="2084"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rPr>
                <w:rFonts w:hint="default" w:ascii="Arial" w:hAnsi="Arial" w:eastAsia="宋体" w:cs="Arial"/>
                <w:b/>
                <w:bCs/>
                <w:sz w:val="20"/>
                <w:szCs w:val="20"/>
              </w:rPr>
            </w:pPr>
            <w:r>
              <w:rPr>
                <w:rFonts w:hint="default" w:ascii="Arial" w:hAnsi="Arial" w:eastAsia="宋体" w:cs="Arial"/>
                <w:b/>
                <w:bCs/>
                <w:sz w:val="20"/>
                <w:szCs w:val="20"/>
              </w:rPr>
              <w:t>客户流失率（Churn）超预期</w:t>
            </w:r>
          </w:p>
        </w:tc>
        <w:tc>
          <w:tcPr>
            <w:tcW w:w="128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rPr>
                <w:rFonts w:hint="default" w:ascii="Arial" w:hAnsi="Arial" w:eastAsia="宋体" w:cs="Arial"/>
                <w:sz w:val="20"/>
                <w:szCs w:val="20"/>
              </w:rPr>
            </w:pPr>
            <w:r>
              <w:rPr>
                <w:rFonts w:hint="default" w:ascii="Arial" w:hAnsi="Arial" w:eastAsia="宋体" w:cs="Arial"/>
                <w:sz w:val="20"/>
                <w:szCs w:val="20"/>
              </w:rPr>
              <w:t>中（40%）</w:t>
            </w:r>
          </w:p>
        </w:tc>
        <w:tc>
          <w:tcPr>
            <w:tcW w:w="1133"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rPr>
                <w:rFonts w:hint="default" w:ascii="Arial" w:hAnsi="Arial" w:eastAsia="宋体" w:cs="Arial"/>
                <w:color w:val="1A1A1A"/>
                <w:sz w:val="20"/>
                <w:szCs w:val="20"/>
                <w:lang w:val="en-US" w:eastAsia="zh-CN"/>
              </w:rPr>
            </w:pPr>
            <w:r>
              <w:rPr>
                <w:rFonts w:hint="default" w:ascii="Arial" w:hAnsi="Arial" w:eastAsia="宋体" w:cs="Arial"/>
                <w:color w:val="1A1A1A"/>
                <w:sz w:val="20"/>
                <w:szCs w:val="20"/>
                <w:lang w:val="en-US" w:eastAsia="zh-CN"/>
              </w:rPr>
              <w:t>高</w:t>
            </w:r>
          </w:p>
        </w:tc>
        <w:tc>
          <w:tcPr>
            <w:tcW w:w="3059"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rPr>
                <w:rFonts w:hint="default" w:ascii="Arial" w:hAnsi="Arial" w:eastAsia="宋体" w:cs="Arial"/>
                <w:sz w:val="20"/>
                <w:szCs w:val="20"/>
              </w:rPr>
            </w:pPr>
            <w:r>
              <w:rPr>
                <w:rFonts w:hint="default" w:ascii="Arial" w:hAnsi="Arial" w:eastAsia="宋体" w:cs="Arial"/>
                <w:sz w:val="20"/>
                <w:szCs w:val="20"/>
              </w:rPr>
              <w:t>建立客户成功机制，定期回访；设置年付优惠锁定合同期；监控月度活跃使用率预警流失风险</w:t>
            </w:r>
          </w:p>
        </w:tc>
      </w:tr>
    </w:tbl>
    <w:p>
      <w:pPr>
        <w:pStyle w:val="3"/>
      </w:pPr>
      <w:r>
        <w:t>12.2 敏感性分析</w:t>
      </w:r>
      <w:bookmarkEnd w:id="66"/>
    </w:p>
    <w:p>
      <w:pPr>
        <w:spacing w:before="60" w:after="100" w:line="320" w:lineRule="auto"/>
        <w:ind w:firstLine="440"/>
        <w:jc w:val="both"/>
      </w:pPr>
      <w:r>
        <w:rPr>
          <w:rFonts w:eastAsia="Arial"/>
          <w:color w:val="1A1A1A"/>
        </w:rPr>
        <w:t>对影响项目财务结果的关键参数进行敏感性分析，评估其变化对NPV的影响程度：</w:t>
      </w:r>
    </w:p>
    <w:p>
      <w:pPr>
        <w:spacing w:before="80"/>
        <w:ind w:firstLine="440"/>
      </w:pPr>
    </w:p>
    <w:tbl>
      <w:tblPr>
        <w:tblStyle w:val="14"/>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85"/>
        <w:gridCol w:w="1417"/>
        <w:gridCol w:w="1560"/>
        <w:gridCol w:w="1559"/>
        <w:gridCol w:w="178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85"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关键参数</w:t>
            </w:r>
          </w:p>
        </w:tc>
        <w:tc>
          <w:tcPr>
            <w:tcW w:w="1417"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基准值</w:t>
            </w:r>
          </w:p>
        </w:tc>
        <w:tc>
          <w:tcPr>
            <w:tcW w:w="15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-20%情景</w:t>
            </w:r>
          </w:p>
        </w:tc>
        <w:tc>
          <w:tcPr>
            <w:tcW w:w="1559"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+20%情景</w:t>
            </w:r>
          </w:p>
        </w:tc>
        <w:tc>
          <w:tcPr>
            <w:tcW w:w="1785"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0" w:firstLineChars="0"/>
              <w:jc w:val="center"/>
            </w:pPr>
            <w:r>
              <w:rPr>
                <w:rFonts w:eastAsia="Arial"/>
                <w:b/>
                <w:bCs/>
                <w:color w:val="FFFFFF"/>
                <w:sz w:val="20"/>
                <w:szCs w:val="20"/>
              </w:rPr>
              <w:t>对NPV的影响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85"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0" w:firstLineChars="0"/>
              <w:jc w:val="center"/>
              <w:rPr>
                <w:rFonts w:hint="default" w:ascii="Arial" w:hAnsi="Arial" w:cs="Arial"/>
                <w:b/>
                <w:bCs/>
                <w:sz w:val="20"/>
                <w:szCs w:val="20"/>
              </w:rPr>
            </w:pPr>
            <w:r>
              <w:rPr>
                <w:rFonts w:hint="default" w:ascii="Arial" w:hAnsi="Arial" w:eastAsia="Arial" w:cs="Arial"/>
                <w:b/>
                <w:bCs/>
                <w:color w:val="1A1A1A"/>
                <w:sz w:val="20"/>
                <w:szCs w:val="20"/>
              </w:rPr>
              <w:t>月均ARPU（元）</w:t>
            </w:r>
          </w:p>
        </w:tc>
        <w:tc>
          <w:tcPr>
            <w:tcW w:w="1417"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rPr>
                <w:rFonts w:hint="default" w:ascii="Arial" w:hAnsi="Arial" w:cs="Arial"/>
                <w:sz w:val="20"/>
                <w:szCs w:val="20"/>
              </w:rPr>
            </w:pPr>
            <w:r>
              <w:rPr>
                <w:rFonts w:hint="default" w:ascii="Arial" w:hAnsi="Arial" w:eastAsia="宋体" w:cs="Arial"/>
                <w:color w:val="1A1A1A"/>
                <w:sz w:val="20"/>
                <w:szCs w:val="20"/>
                <w:lang w:val="en-US" w:eastAsia="zh-CN"/>
              </w:rPr>
              <w:t>5</w:t>
            </w:r>
            <w:r>
              <w:rPr>
                <w:rFonts w:hint="default" w:ascii="Arial" w:hAnsi="Arial" w:eastAsia="Arial" w:cs="Arial"/>
                <w:color w:val="1A1A1A"/>
                <w:sz w:val="20"/>
                <w:szCs w:val="20"/>
              </w:rPr>
              <w:t>00</w:t>
            </w:r>
          </w:p>
        </w:tc>
        <w:tc>
          <w:tcPr>
            <w:tcW w:w="156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rPr>
                <w:rFonts w:hint="default" w:ascii="Arial" w:hAnsi="Arial" w:cs="Arial"/>
                <w:sz w:val="20"/>
                <w:szCs w:val="20"/>
              </w:rPr>
            </w:pPr>
            <w:r>
              <w:rPr>
                <w:rFonts w:hint="default" w:ascii="Arial" w:hAnsi="Arial" w:eastAsia="宋体" w:cs="Arial"/>
                <w:sz w:val="20"/>
                <w:szCs w:val="20"/>
              </w:rPr>
              <w:t>400 → NPV↓约40%</w:t>
            </w:r>
          </w:p>
        </w:tc>
        <w:tc>
          <w:tcPr>
            <w:tcW w:w="1559"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rPr>
                <w:rFonts w:hint="default" w:ascii="Arial" w:hAnsi="Arial" w:cs="Arial"/>
                <w:sz w:val="20"/>
                <w:szCs w:val="20"/>
              </w:rPr>
            </w:pPr>
            <w:r>
              <w:rPr>
                <w:rFonts w:hint="default" w:ascii="Arial" w:hAnsi="Arial" w:eastAsia="宋体" w:cs="Arial"/>
                <w:sz w:val="20"/>
                <w:szCs w:val="20"/>
              </w:rPr>
              <w:t>600 → NPV↑约40%</w:t>
            </w:r>
          </w:p>
        </w:tc>
        <w:tc>
          <w:tcPr>
            <w:tcW w:w="1785"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rPr>
                <w:rFonts w:hint="default" w:ascii="Arial" w:hAnsi="Arial" w:cs="Arial"/>
                <w:sz w:val="20"/>
                <w:szCs w:val="20"/>
              </w:rPr>
            </w:pPr>
            <w:r>
              <w:rPr>
                <w:rFonts w:hint="default" w:ascii="Arial" w:hAnsi="Arial" w:eastAsia="Arial" w:cs="Arial"/>
                <w:color w:val="1A1A1A"/>
                <w:sz w:val="20"/>
                <w:szCs w:val="20"/>
              </w:rPr>
              <w:t>高度敏感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85"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rPr>
                <w:rFonts w:hint="default" w:ascii="Arial" w:hAnsi="Arial" w:cs="Arial"/>
                <w:b/>
                <w:bCs/>
                <w:sz w:val="20"/>
                <w:szCs w:val="20"/>
              </w:rPr>
            </w:pPr>
            <w:r>
              <w:rPr>
                <w:rFonts w:hint="default" w:ascii="Arial" w:hAnsi="Arial" w:eastAsia="Arial" w:cs="Arial"/>
                <w:b/>
                <w:bCs/>
                <w:color w:val="1A1A1A"/>
                <w:sz w:val="20"/>
                <w:szCs w:val="20"/>
              </w:rPr>
              <w:t>市场渗透率</w:t>
            </w:r>
          </w:p>
        </w:tc>
        <w:tc>
          <w:tcPr>
            <w:tcW w:w="1417"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rPr>
                <w:rFonts w:hint="default" w:ascii="Arial" w:hAnsi="Arial" w:cs="Arial"/>
                <w:sz w:val="20"/>
                <w:szCs w:val="20"/>
              </w:rPr>
            </w:pPr>
            <w:r>
              <w:rPr>
                <w:rFonts w:hint="default" w:ascii="Arial" w:hAnsi="Arial" w:eastAsia="Arial" w:cs="Arial"/>
                <w:color w:val="1A1A1A"/>
                <w:sz w:val="20"/>
                <w:szCs w:val="20"/>
              </w:rPr>
              <w:t>基准预测</w:t>
            </w:r>
          </w:p>
        </w:tc>
        <w:tc>
          <w:tcPr>
            <w:tcW w:w="156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rPr>
                <w:rFonts w:hint="default" w:ascii="Arial" w:hAnsi="Arial" w:cs="Arial"/>
                <w:sz w:val="20"/>
                <w:szCs w:val="20"/>
              </w:rPr>
            </w:pPr>
            <w:r>
              <w:rPr>
                <w:rFonts w:hint="default" w:ascii="Arial" w:hAnsi="Arial" w:eastAsia="宋体" w:cs="Arial"/>
                <w:sz w:val="20"/>
                <w:szCs w:val="20"/>
              </w:rPr>
              <w:t>→ NPV↓约50%，亏损加剧</w:t>
            </w:r>
          </w:p>
        </w:tc>
        <w:tc>
          <w:tcPr>
            <w:tcW w:w="1559"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rPr>
                <w:rFonts w:hint="default" w:ascii="Arial" w:hAnsi="Arial" w:cs="Arial"/>
                <w:sz w:val="20"/>
                <w:szCs w:val="20"/>
              </w:rPr>
            </w:pPr>
            <w:r>
              <w:rPr>
                <w:rFonts w:hint="default" w:ascii="Arial" w:hAnsi="Arial" w:eastAsia="宋体" w:cs="Arial"/>
                <w:sz w:val="20"/>
                <w:szCs w:val="20"/>
              </w:rPr>
              <w:t>→ NPV↑约50%</w:t>
            </w:r>
          </w:p>
        </w:tc>
        <w:tc>
          <w:tcPr>
            <w:tcW w:w="1785"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rPr>
                <w:rFonts w:hint="default" w:ascii="Arial" w:hAnsi="Arial" w:cs="Arial"/>
                <w:sz w:val="20"/>
                <w:szCs w:val="20"/>
              </w:rPr>
            </w:pPr>
            <w:r>
              <w:rPr>
                <w:rFonts w:hint="default" w:ascii="Arial" w:hAnsi="Arial" w:eastAsia="Arial" w:cs="Arial"/>
                <w:color w:val="1A1A1A"/>
                <w:sz w:val="20"/>
                <w:szCs w:val="20"/>
              </w:rPr>
              <w:t>最高敏感性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85"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0" w:firstLineChars="0"/>
              <w:jc w:val="center"/>
              <w:rPr>
                <w:rFonts w:hint="default" w:ascii="Arial" w:hAnsi="Arial" w:cs="Arial"/>
                <w:b/>
                <w:bCs/>
                <w:sz w:val="20"/>
                <w:szCs w:val="20"/>
              </w:rPr>
            </w:pPr>
            <w:r>
              <w:rPr>
                <w:rFonts w:hint="default" w:ascii="Arial" w:hAnsi="Arial" w:eastAsia="Arial" w:cs="Arial"/>
                <w:b/>
                <w:bCs/>
                <w:color w:val="1A1A1A"/>
                <w:sz w:val="20"/>
                <w:szCs w:val="20"/>
              </w:rPr>
              <w:t>运营成本</w:t>
            </w:r>
          </w:p>
        </w:tc>
        <w:tc>
          <w:tcPr>
            <w:tcW w:w="1417"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rPr>
                <w:rFonts w:hint="default" w:ascii="Arial" w:hAnsi="Arial" w:cs="Arial"/>
                <w:sz w:val="20"/>
                <w:szCs w:val="20"/>
              </w:rPr>
            </w:pPr>
            <w:r>
              <w:rPr>
                <w:rFonts w:hint="default" w:ascii="Arial" w:hAnsi="Arial" w:eastAsia="Arial" w:cs="Arial"/>
                <w:color w:val="1A1A1A"/>
                <w:sz w:val="20"/>
                <w:szCs w:val="20"/>
              </w:rPr>
              <w:t>基准预测</w:t>
            </w:r>
          </w:p>
        </w:tc>
        <w:tc>
          <w:tcPr>
            <w:tcW w:w="156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rPr>
                <w:rFonts w:hint="default" w:ascii="Arial" w:hAnsi="Arial" w:cs="Arial"/>
                <w:sz w:val="20"/>
                <w:szCs w:val="20"/>
              </w:rPr>
            </w:pPr>
            <w:r>
              <w:rPr>
                <w:rFonts w:hint="default" w:ascii="Arial" w:hAnsi="Arial" w:eastAsia="宋体" w:cs="Arial"/>
                <w:sz w:val="20"/>
                <w:szCs w:val="20"/>
              </w:rPr>
              <w:t>→ NPV↑约25%</w:t>
            </w:r>
          </w:p>
        </w:tc>
        <w:tc>
          <w:tcPr>
            <w:tcW w:w="1559"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rPr>
                <w:rFonts w:hint="default" w:ascii="Arial" w:hAnsi="Arial" w:cs="Arial"/>
                <w:sz w:val="20"/>
                <w:szCs w:val="20"/>
              </w:rPr>
            </w:pPr>
            <w:r>
              <w:rPr>
                <w:rFonts w:hint="default" w:ascii="Arial" w:hAnsi="Arial" w:eastAsia="宋体" w:cs="Arial"/>
                <w:sz w:val="20"/>
                <w:szCs w:val="20"/>
              </w:rPr>
              <w:t>→ NPV↓约25%</w:t>
            </w:r>
          </w:p>
        </w:tc>
        <w:tc>
          <w:tcPr>
            <w:tcW w:w="1785"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rPr>
                <w:rFonts w:hint="default" w:ascii="Arial" w:hAnsi="Arial" w:cs="Arial"/>
                <w:sz w:val="20"/>
                <w:szCs w:val="20"/>
              </w:rPr>
            </w:pPr>
            <w:r>
              <w:rPr>
                <w:rFonts w:hint="default" w:ascii="Arial" w:hAnsi="Arial" w:eastAsia="Arial" w:cs="Arial"/>
                <w:color w:val="1A1A1A"/>
                <w:sz w:val="20"/>
                <w:szCs w:val="20"/>
              </w:rPr>
              <w:t>中</w:t>
            </w:r>
            <w:r>
              <w:rPr>
                <w:rFonts w:hint="default" w:ascii="Arial" w:hAnsi="Arial" w:eastAsia="宋体" w:cs="Arial"/>
                <w:color w:val="1A1A1A"/>
                <w:sz w:val="20"/>
                <w:szCs w:val="20"/>
                <w:lang w:val="en-US" w:eastAsia="zh-CN"/>
              </w:rPr>
              <w:t>高</w:t>
            </w:r>
            <w:r>
              <w:rPr>
                <w:rFonts w:hint="default" w:ascii="Arial" w:hAnsi="Arial" w:eastAsia="Arial" w:cs="Arial"/>
                <w:color w:val="1A1A1A"/>
                <w:sz w:val="20"/>
                <w:szCs w:val="20"/>
              </w:rPr>
              <w:t>度敏感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85"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0" w:firstLineChars="0"/>
              <w:jc w:val="center"/>
              <w:rPr>
                <w:rFonts w:hint="default" w:ascii="Arial" w:hAnsi="Arial" w:eastAsia="Arial" w:cs="Arial"/>
                <w:b/>
                <w:bCs/>
                <w:color w:val="1A1A1A"/>
                <w:sz w:val="20"/>
                <w:szCs w:val="20"/>
              </w:rPr>
            </w:pPr>
            <w:r>
              <w:rPr>
                <w:rFonts w:hint="default" w:ascii="Arial" w:hAnsi="Arial" w:eastAsia="宋体" w:cs="Arial"/>
                <w:b/>
                <w:bCs/>
                <w:sz w:val="20"/>
                <w:szCs w:val="20"/>
              </w:rPr>
              <w:t>客户流失率（Churn）</w:t>
            </w:r>
          </w:p>
        </w:tc>
        <w:tc>
          <w:tcPr>
            <w:tcW w:w="1417"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rPr>
                <w:rFonts w:hint="default" w:ascii="Arial" w:hAnsi="Arial" w:eastAsia="Arial" w:cs="Arial"/>
                <w:color w:val="1A1A1A"/>
                <w:sz w:val="20"/>
                <w:szCs w:val="20"/>
              </w:rPr>
            </w:pPr>
            <w:r>
              <w:rPr>
                <w:rFonts w:hint="default" w:ascii="Arial" w:hAnsi="Arial" w:eastAsia="宋体" w:cs="Arial"/>
                <w:sz w:val="20"/>
                <w:szCs w:val="20"/>
              </w:rPr>
              <w:t>假设年流失率约10%</w:t>
            </w:r>
          </w:p>
        </w:tc>
        <w:tc>
          <w:tcPr>
            <w:tcW w:w="156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rPr>
                <w:rFonts w:hint="default" w:ascii="Arial" w:hAnsi="Arial" w:eastAsia="宋体" w:cs="Arial"/>
                <w:sz w:val="20"/>
                <w:szCs w:val="20"/>
              </w:rPr>
            </w:pPr>
            <w:r>
              <w:rPr>
                <w:rFonts w:hint="default" w:ascii="Arial" w:hAnsi="Arial" w:eastAsia="宋体" w:cs="Arial"/>
                <w:sz w:val="20"/>
                <w:szCs w:val="20"/>
              </w:rPr>
              <w:t>5% → NPV↑约15%</w:t>
            </w:r>
          </w:p>
        </w:tc>
        <w:tc>
          <w:tcPr>
            <w:tcW w:w="1559"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rPr>
                <w:rFonts w:hint="default" w:ascii="Arial" w:hAnsi="Arial" w:eastAsia="宋体" w:cs="Arial"/>
                <w:sz w:val="20"/>
                <w:szCs w:val="20"/>
              </w:rPr>
            </w:pPr>
            <w:r>
              <w:rPr>
                <w:rFonts w:hint="default" w:ascii="Arial" w:hAnsi="Arial" w:eastAsia="宋体" w:cs="Arial"/>
                <w:sz w:val="20"/>
                <w:szCs w:val="20"/>
              </w:rPr>
              <w:t>20% → NPV↓约30%</w:t>
            </w:r>
          </w:p>
        </w:tc>
        <w:tc>
          <w:tcPr>
            <w:tcW w:w="1785"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0" w:firstLineChars="0"/>
              <w:jc w:val="center"/>
              <w:rPr>
                <w:rFonts w:hint="default" w:ascii="Arial" w:hAnsi="Arial" w:eastAsia="Arial" w:cs="Arial"/>
                <w:color w:val="1A1A1A"/>
                <w:sz w:val="20"/>
                <w:szCs w:val="20"/>
              </w:rPr>
            </w:pPr>
            <w:r>
              <w:rPr>
                <w:rFonts w:hint="default" w:ascii="Arial" w:hAnsi="Arial" w:eastAsia="宋体" w:cs="Arial"/>
                <w:sz w:val="20"/>
                <w:szCs w:val="20"/>
              </w:rPr>
              <w:t>中度敏感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85"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rPr>
                <w:rFonts w:hint="default" w:ascii="Arial" w:hAnsi="Arial" w:cs="Arial"/>
                <w:b/>
                <w:bCs/>
                <w:sz w:val="20"/>
                <w:szCs w:val="20"/>
              </w:rPr>
            </w:pPr>
            <w:r>
              <w:rPr>
                <w:rFonts w:hint="default" w:ascii="Arial" w:hAnsi="Arial" w:eastAsia="Arial" w:cs="Arial"/>
                <w:b/>
                <w:bCs/>
                <w:color w:val="1A1A1A"/>
                <w:sz w:val="20"/>
                <w:szCs w:val="20"/>
              </w:rPr>
              <w:t>折现率</w:t>
            </w:r>
          </w:p>
        </w:tc>
        <w:tc>
          <w:tcPr>
            <w:tcW w:w="1417"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rPr>
                <w:rFonts w:hint="default" w:ascii="Arial" w:hAnsi="Arial" w:cs="Arial"/>
                <w:sz w:val="20"/>
                <w:szCs w:val="20"/>
              </w:rPr>
            </w:pPr>
            <w:r>
              <w:rPr>
                <w:rFonts w:hint="default" w:ascii="Arial" w:hAnsi="Arial" w:eastAsia="Arial" w:cs="Arial"/>
                <w:color w:val="1A1A1A"/>
                <w:sz w:val="20"/>
                <w:szCs w:val="20"/>
              </w:rPr>
              <w:t>1</w:t>
            </w:r>
            <w:r>
              <w:rPr>
                <w:rFonts w:hint="default" w:ascii="Arial" w:hAnsi="Arial" w:eastAsia="宋体" w:cs="Arial"/>
                <w:color w:val="1A1A1A"/>
                <w:sz w:val="20"/>
                <w:szCs w:val="20"/>
                <w:lang w:val="en-US" w:eastAsia="zh-CN"/>
              </w:rPr>
              <w:t>5</w:t>
            </w:r>
            <w:r>
              <w:rPr>
                <w:rFonts w:hint="default" w:ascii="Arial" w:hAnsi="Arial" w:eastAsia="Arial" w:cs="Arial"/>
                <w:color w:val="1A1A1A"/>
                <w:sz w:val="20"/>
                <w:szCs w:val="20"/>
              </w:rPr>
              <w:t>%</w:t>
            </w:r>
          </w:p>
        </w:tc>
        <w:tc>
          <w:tcPr>
            <w:tcW w:w="156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rPr>
                <w:rFonts w:hint="default" w:ascii="Arial" w:hAnsi="Arial" w:cs="Arial"/>
                <w:sz w:val="20"/>
                <w:szCs w:val="20"/>
              </w:rPr>
            </w:pPr>
            <w:r>
              <w:rPr>
                <w:rFonts w:hint="default" w:ascii="Arial" w:hAnsi="Arial" w:eastAsia="宋体" w:cs="Arial"/>
                <w:sz w:val="20"/>
                <w:szCs w:val="20"/>
              </w:rPr>
              <w:t>12% → NPV↑约8%</w:t>
            </w:r>
          </w:p>
        </w:tc>
        <w:tc>
          <w:tcPr>
            <w:tcW w:w="1559"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rPr>
                <w:rFonts w:hint="default" w:ascii="Arial" w:hAnsi="Arial" w:cs="Arial"/>
                <w:sz w:val="20"/>
                <w:szCs w:val="20"/>
              </w:rPr>
            </w:pPr>
            <w:r>
              <w:rPr>
                <w:rFonts w:hint="default" w:ascii="Arial" w:hAnsi="Arial" w:eastAsia="宋体" w:cs="Arial"/>
                <w:sz w:val="20"/>
                <w:szCs w:val="20"/>
              </w:rPr>
              <w:t>18% → NPV↓约7%</w:t>
            </w:r>
          </w:p>
        </w:tc>
        <w:tc>
          <w:tcPr>
            <w:tcW w:w="1785"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0" w:firstLineChars="0"/>
              <w:jc w:val="center"/>
              <w:rPr>
                <w:rFonts w:hint="default" w:ascii="Arial" w:hAnsi="Arial" w:cs="Arial"/>
                <w:sz w:val="20"/>
                <w:szCs w:val="20"/>
              </w:rPr>
            </w:pPr>
            <w:r>
              <w:rPr>
                <w:rFonts w:hint="default" w:ascii="Arial" w:hAnsi="Arial" w:eastAsia="Arial" w:cs="Arial"/>
                <w:color w:val="1A1A1A"/>
                <w:sz w:val="20"/>
                <w:szCs w:val="20"/>
              </w:rPr>
              <w:t>低度敏感</w:t>
            </w:r>
          </w:p>
        </w:tc>
      </w:tr>
    </w:tbl>
    <w:p>
      <w:pPr>
        <w:pStyle w:val="3"/>
        <w:keepNext w:val="0"/>
        <w:keepLines w:val="0"/>
        <w:pageBreakBefore w:val="0"/>
        <w:widowControl/>
        <w:kinsoku/>
        <w:wordWrap/>
        <w:overflowPunct/>
        <w:topLinePunct w:val="0"/>
        <w:autoSpaceDE/>
        <w:autoSpaceDN/>
        <w:bidi w:val="0"/>
        <w:adjustRightInd/>
        <w:snapToGrid/>
        <w:spacing w:line="320" w:lineRule="auto"/>
        <w:ind w:firstLine="440" w:firstLineChars="200"/>
        <w:textAlignment w:val="auto"/>
        <w:rPr>
          <w:rFonts w:hint="eastAsia" w:eastAsia="Arial"/>
          <w:b w:val="0"/>
          <w:bCs w:val="0"/>
          <w:color w:val="1A1A1A"/>
          <w:sz w:val="22"/>
          <w:szCs w:val="22"/>
        </w:rPr>
      </w:pPr>
      <w:bookmarkStart w:id="67" w:name="_Toc5456"/>
      <w:r>
        <w:rPr>
          <w:rFonts w:hint="eastAsia" w:eastAsia="Arial"/>
          <w:b w:val="0"/>
          <w:bCs w:val="0"/>
          <w:color w:val="1A1A1A"/>
          <w:sz w:val="22"/>
          <w:szCs w:val="22"/>
        </w:rPr>
        <w:t>敏感性分析表明，市场渗透率和月均ARPU仍是最关键的两个变量，但在5年内NPV本身已为负的背景下，运营成本和客户流失率的控制同样不可忽视——它们直接影响资金跑道能否撑过盈利拐点。商业化初期的核心任务是以尽可能低的获客成本锁定首批付费用户，并维持其持续订阅。</w:t>
      </w:r>
    </w:p>
    <w:p>
      <w:pPr>
        <w:pStyle w:val="3"/>
      </w:pPr>
      <w:r>
        <w:t>12.3 财务风险管理建议</w:t>
      </w:r>
      <w:bookmarkEnd w:id="67"/>
    </w:p>
    <w:p>
      <w:pPr>
        <w:pStyle w:val="20"/>
        <w:numPr>
          <w:ilvl w:val="0"/>
          <w:numId w:val="2"/>
        </w:numPr>
        <w:spacing w:before="40" w:after="40" w:line="300" w:lineRule="auto"/>
        <w:rPr>
          <w:rFonts w:hint="eastAsia" w:eastAsia="Arial"/>
          <w:color w:val="1A1A1A"/>
        </w:rPr>
      </w:pPr>
      <w:r>
        <w:rPr>
          <w:rFonts w:eastAsia="Arial"/>
          <w:color w:val="1A1A1A"/>
        </w:rPr>
        <w:t>建立成本预算储备金机制：在项目预算中预留2</w:t>
      </w:r>
      <w:r>
        <w:rPr>
          <w:rFonts w:hint="eastAsia" w:eastAsia="宋体"/>
          <w:color w:val="1A1A1A"/>
          <w:lang w:val="en-US" w:eastAsia="zh-CN"/>
        </w:rPr>
        <w:t>5</w:t>
      </w:r>
      <w:r>
        <w:rPr>
          <w:rFonts w:eastAsia="Arial"/>
          <w:color w:val="1A1A1A"/>
        </w:rPr>
        <w:t>%的成本储备，专门应对不可预见的开销（如GPU超时费用、紧急功能修复等）</w:t>
      </w:r>
    </w:p>
    <w:p>
      <w:pPr>
        <w:pStyle w:val="20"/>
        <w:numPr>
          <w:ilvl w:val="0"/>
          <w:numId w:val="2"/>
        </w:numPr>
        <w:spacing w:before="40" w:after="40" w:line="300" w:lineRule="auto"/>
        <w:rPr>
          <w:rFonts w:hint="eastAsia" w:eastAsia="Arial"/>
          <w:color w:val="1A1A1A"/>
        </w:rPr>
      </w:pPr>
      <w:r>
        <w:rPr>
          <w:rFonts w:hint="eastAsia" w:eastAsia="Arial"/>
          <w:color w:val="1A1A1A"/>
        </w:rPr>
        <w:t>以盈亏平衡点（25个用户）为核心管控目标：在达到该节点前，所有非核心支出（扩招、大规模市场推广、功能堆砌）均应延后，优先保证资金跑道超过12个月</w:t>
      </w:r>
    </w:p>
    <w:p>
      <w:pPr>
        <w:pStyle w:val="20"/>
        <w:numPr>
          <w:ilvl w:val="0"/>
          <w:numId w:val="2"/>
        </w:numPr>
        <w:spacing w:before="40" w:after="40" w:line="300" w:lineRule="auto"/>
        <w:rPr>
          <w:rFonts w:hint="eastAsia" w:eastAsia="Arial"/>
          <w:color w:val="1A1A1A"/>
        </w:rPr>
      </w:pPr>
      <w:r>
        <w:rPr>
          <w:rFonts w:hint="eastAsia" w:eastAsia="Arial"/>
          <w:color w:val="1A1A1A"/>
        </w:rPr>
        <w:t>建立月度财务健康看板：持续跟踪月度实际收入、烧钱率与预算的偏差；当烧钱率连续两个月超出预算20%，或客户增速连续两个月低于目标50%时，须触发策略审查</w:t>
      </w:r>
    </w:p>
    <w:p>
      <w:pPr>
        <w:pStyle w:val="20"/>
        <w:numPr>
          <w:ilvl w:val="0"/>
          <w:numId w:val="2"/>
        </w:numPr>
        <w:spacing w:before="40" w:after="40" w:line="300" w:lineRule="auto"/>
        <w:rPr>
          <w:rFonts w:hint="eastAsia" w:eastAsia="Arial"/>
          <w:color w:val="1A1A1A"/>
        </w:rPr>
      </w:pPr>
      <w:r>
        <w:rPr>
          <w:rFonts w:hint="eastAsia" w:eastAsia="Arial"/>
          <w:color w:val="1A1A1A"/>
        </w:rPr>
        <w:t>重视客户留存，将其与获客并列为核心指标：早期SaaS客户基数小，一个客户流失对收入的冲击比大型企业严重得多；建议设立季度NPS调查与客户健康评分机制</w:t>
      </w:r>
    </w:p>
    <w:p>
      <w:pPr>
        <w:pStyle w:val="20"/>
        <w:numPr>
          <w:ilvl w:val="0"/>
          <w:numId w:val="2"/>
        </w:numPr>
        <w:spacing w:before="40" w:after="40" w:line="300" w:lineRule="auto"/>
        <w:rPr>
          <w:rFonts w:hint="eastAsia"/>
        </w:rPr>
      </w:pPr>
      <w:r>
        <w:rPr>
          <w:rFonts w:hint="eastAsia" w:eastAsia="Arial"/>
          <w:color w:val="1A1A1A"/>
        </w:rPr>
        <w:t>多元化收入探索，但不分散主线精力：在主订阅模式稳定之前，辅助收入（模型授权、定制开发）仅作为机会性收入，不纳入核心预算依赖；避免过早多线作战</w:t>
      </w:r>
    </w:p>
    <w:p>
      <w:pPr>
        <w:pStyle w:val="20"/>
        <w:numPr>
          <w:ilvl w:val="0"/>
          <w:numId w:val="2"/>
        </w:numPr>
        <w:spacing w:before="40" w:after="40" w:line="300" w:lineRule="auto"/>
        <w:rPr>
          <w:rFonts w:hint="eastAsia"/>
        </w:rPr>
      </w:pPr>
      <w:r>
        <w:rPr>
          <w:rFonts w:hint="eastAsia" w:eastAsia="Arial"/>
          <w:color w:val="1A1A1A"/>
        </w:rPr>
        <w:t>法律与保险保障：为服务中断、数据丢失等高概率场景购置适当的商业保险；在SaaS服务协议中明确约定数据安全责任边界与赔偿上限，降低法律纠纷带来的额外财务损耗</w:t>
      </w:r>
      <w:bookmarkStart w:id="82" w:name="_GoBack"/>
      <w:bookmarkEnd w:id="82"/>
    </w:p>
    <w:p>
      <w:pPr>
        <w:pStyle w:val="2"/>
        <w:pBdr>
          <w:bottom w:val="single" w:color="2E75B6" w:sz="8" w:space="6"/>
        </w:pBdr>
      </w:pPr>
      <w:bookmarkStart w:id="68" w:name="_Toc19733"/>
      <w:r>
        <w:rPr>
          <w:rFonts w:hint="eastAsia" w:ascii="宋体" w:hAnsi="宋体" w:eastAsia="宋体" w:cs="宋体"/>
        </w:rPr>
        <w:t>附</w:t>
      </w:r>
      <w:r>
        <w:t>录：文档参考与数据来源</w:t>
      </w:r>
      <w:bookmarkEnd w:id="68"/>
    </w:p>
    <w:p>
      <w:pPr>
        <w:pStyle w:val="3"/>
      </w:pPr>
      <w:bookmarkStart w:id="69" w:name="_Toc17685"/>
      <w:r>
        <w:t>A. 项目文档清单</w:t>
      </w:r>
      <w:bookmarkEnd w:id="69"/>
    </w:p>
    <w:p>
      <w:pPr>
        <w:pStyle w:val="20"/>
        <w:numPr>
          <w:ilvl w:val="0"/>
          <w:numId w:val="1"/>
        </w:numPr>
        <w:spacing w:before="40" w:after="40" w:line="300" w:lineRule="auto"/>
      </w:pPr>
      <w:r>
        <w:rPr>
          <w:rFonts w:eastAsia="Arial"/>
          <w:color w:val="1A1A1A"/>
        </w:rPr>
        <w:t>项目定义说明（POS）：石材幕墙污渍检测系统，撰写人：周慧星、于广淳，日期：2026/03/14</w:t>
      </w:r>
    </w:p>
    <w:p>
      <w:pPr>
        <w:pStyle w:val="20"/>
        <w:numPr>
          <w:ilvl w:val="0"/>
          <w:numId w:val="1"/>
        </w:numPr>
        <w:spacing w:before="40" w:after="40" w:line="300" w:lineRule="auto"/>
      </w:pPr>
      <w:r>
        <w:rPr>
          <w:rFonts w:eastAsia="Arial"/>
          <w:color w:val="1A1A1A"/>
        </w:rPr>
        <w:t>项目章程：石材幕墙污渍检测系统，撰写人：于广淳，日期：2026年3月</w:t>
      </w:r>
    </w:p>
    <w:p>
      <w:pPr>
        <w:pStyle w:val="20"/>
        <w:numPr>
          <w:ilvl w:val="0"/>
          <w:numId w:val="1"/>
        </w:numPr>
        <w:spacing w:before="40" w:after="40" w:line="300" w:lineRule="auto"/>
      </w:pPr>
      <w:r>
        <w:rPr>
          <w:rFonts w:eastAsia="Arial"/>
          <w:color w:val="1A1A1A"/>
        </w:rPr>
        <w:t>软件需求规格说明（SRS）：石材幕墙污渍检测系统 v1.4，于广淳、周慧星，2026年6月</w:t>
      </w:r>
    </w:p>
    <w:p>
      <w:pPr>
        <w:pStyle w:val="20"/>
        <w:numPr>
          <w:ilvl w:val="0"/>
          <w:numId w:val="1"/>
        </w:numPr>
        <w:spacing w:before="40" w:after="40" w:line="300" w:lineRule="auto"/>
      </w:pPr>
      <w:r>
        <w:rPr>
          <w:rFonts w:eastAsia="Arial"/>
          <w:color w:val="1A1A1A"/>
        </w:rPr>
        <w:t>软件设计规格说明（SDS）：石材幕墙污渍检测系统，于广淳、周慧星，2026年6月</w:t>
      </w:r>
    </w:p>
    <w:p>
      <w:pPr>
        <w:pStyle w:val="20"/>
        <w:numPr>
          <w:ilvl w:val="0"/>
          <w:numId w:val="1"/>
        </w:numPr>
        <w:spacing w:before="40" w:after="40" w:line="300" w:lineRule="auto"/>
      </w:pPr>
      <w:r>
        <w:rPr>
          <w:rFonts w:eastAsia="Arial"/>
          <w:color w:val="1A1A1A"/>
        </w:rPr>
        <w:t>软件规模度量实验报告：2353740于广淳-2351289周慧星，2026年4月27日</w:t>
      </w:r>
    </w:p>
    <w:p>
      <w:pPr>
        <w:pStyle w:val="20"/>
        <w:numPr>
          <w:ilvl w:val="0"/>
          <w:numId w:val="1"/>
        </w:numPr>
        <w:spacing w:before="40" w:after="40" w:line="300" w:lineRule="auto"/>
      </w:pPr>
      <w:r>
        <w:rPr>
          <w:rFonts w:eastAsia="Arial"/>
          <w:color w:val="1A1A1A"/>
        </w:rPr>
        <w:t>软件成本估算实验报告：2353740于广淳-2351289周慧星，2026年5月16日</w:t>
      </w:r>
    </w:p>
    <w:p>
      <w:pPr>
        <w:pStyle w:val="3"/>
      </w:pPr>
      <w:bookmarkStart w:id="70" w:name="_Toc6106"/>
      <w:r>
        <w:t>B. 标准与数据来源</w:t>
      </w:r>
      <w:bookmarkEnd w:id="70"/>
    </w:p>
    <w:p>
      <w:pPr>
        <w:pStyle w:val="20"/>
        <w:numPr>
          <w:ilvl w:val="0"/>
          <w:numId w:val="1"/>
        </w:numPr>
        <w:spacing w:before="40" w:after="40" w:line="300" w:lineRule="auto"/>
      </w:pPr>
      <w:r>
        <w:rPr>
          <w:rFonts w:eastAsia="Arial"/>
          <w:color w:val="1A1A1A"/>
        </w:rPr>
        <w:t>GB/T 36964《软件工程 软件开发成本度量规范》，中国标准出版社</w:t>
      </w:r>
    </w:p>
    <w:p>
      <w:pPr>
        <w:pStyle w:val="20"/>
        <w:numPr>
          <w:ilvl w:val="0"/>
          <w:numId w:val="1"/>
        </w:numPr>
        <w:spacing w:before="40" w:after="40" w:line="300" w:lineRule="auto"/>
      </w:pPr>
      <w:r>
        <w:rPr>
          <w:rFonts w:eastAsia="Arial"/>
          <w:color w:val="1A1A1A"/>
        </w:rPr>
        <w:t>IFPUG《功能点计数实践手册》（CPM 4.3.1版本）</w:t>
      </w:r>
    </w:p>
    <w:p>
      <w:pPr>
        <w:pStyle w:val="20"/>
        <w:numPr>
          <w:ilvl w:val="0"/>
          <w:numId w:val="1"/>
        </w:numPr>
        <w:spacing w:before="40" w:after="40" w:line="300" w:lineRule="auto"/>
      </w:pPr>
      <w:r>
        <w:rPr>
          <w:rFonts w:eastAsia="Arial"/>
          <w:color w:val="1A1A1A"/>
        </w:rPr>
        <w:t>北京软件造价评估技术创新联盟（BSCEA）：《2025年中国软件行业基准数据（CSBMK®-202510）》</w:t>
      </w:r>
    </w:p>
    <w:p>
      <w:pPr>
        <w:pStyle w:val="20"/>
        <w:numPr>
          <w:ilvl w:val="0"/>
          <w:numId w:val="1"/>
        </w:numPr>
        <w:spacing w:before="40" w:after="40" w:line="300" w:lineRule="auto"/>
      </w:pPr>
      <w:r>
        <w:rPr>
          <w:rFonts w:eastAsia="Arial"/>
          <w:color w:val="1A1A1A"/>
        </w:rPr>
        <w:t>COCOMO II模型参数来源：USC软件工程中心，Boehm等著《Software Cost Estimation with COCOMO II》</w:t>
      </w:r>
    </w:p>
    <w:p>
      <w:pPr>
        <w:pStyle w:val="20"/>
        <w:numPr>
          <w:ilvl w:val="0"/>
          <w:numId w:val="1"/>
        </w:numPr>
        <w:spacing w:before="40" w:after="40" w:line="300" w:lineRule="auto"/>
      </w:pPr>
      <w:r>
        <w:rPr>
          <w:rFonts w:eastAsia="Arial"/>
          <w:color w:val="1A1A1A"/>
        </w:rPr>
        <w:t>IEEE 830-1998软件需求规格说明标准；IEEE 1016-2009软件设计规格说明标准</w:t>
      </w:r>
    </w:p>
    <w:p>
      <w:pPr>
        <w:pStyle w:val="3"/>
      </w:pPr>
      <w:bookmarkStart w:id="71" w:name="_Toc25902"/>
      <w:r>
        <w:t>C. 缩略语表</w:t>
      </w:r>
      <w:bookmarkEnd w:id="71"/>
    </w:p>
    <w:p>
      <w:pPr>
        <w:spacing w:before="80"/>
        <w:ind w:firstLine="440"/>
      </w:pPr>
    </w:p>
    <w:tbl>
      <w:tblPr>
        <w:tblStyle w:val="14"/>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60"/>
        <w:gridCol w:w="3240"/>
        <w:gridCol w:w="35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缩略语</w:t>
            </w:r>
          </w:p>
        </w:tc>
        <w:tc>
          <w:tcPr>
            <w:tcW w:w="3240"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全称</w:t>
            </w:r>
          </w:p>
        </w:tc>
        <w:tc>
          <w:tcPr>
            <w:tcW w:w="3506" w:type="dxa"/>
            <w:tcBorders>
              <w:top w:val="single" w:color="BFBFBF" w:sz="0" w:space="0"/>
              <w:left w:val="single" w:color="BFBFBF" w:sz="0" w:space="0"/>
              <w:bottom w:val="single" w:color="BFBFBF" w:sz="0" w:space="0"/>
              <w:right w:val="single" w:color="BFBFBF" w:sz="0" w:space="0"/>
            </w:tcBorders>
            <w:shd w:val="clear" w:color="auto" w:fill="1F4E79"/>
            <w:tcMar>
              <w:top w:w="80" w:type="dxa"/>
              <w:left w:w="120" w:type="dxa"/>
              <w:bottom w:w="80" w:type="dxa"/>
              <w:right w:w="120" w:type="dxa"/>
            </w:tcMar>
            <w:vAlign w:val="center"/>
          </w:tcPr>
          <w:p>
            <w:pPr>
              <w:ind w:firstLine="18" w:firstLineChars="9"/>
              <w:jc w:val="center"/>
            </w:pPr>
            <w:r>
              <w:rPr>
                <w:rFonts w:eastAsia="Arial"/>
                <w:b/>
                <w:bCs/>
                <w:color w:val="FFFFFF"/>
                <w:sz w:val="20"/>
                <w:szCs w:val="20"/>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FPA</w:t>
            </w:r>
          </w:p>
        </w:tc>
        <w:tc>
          <w:tcPr>
            <w:tcW w:w="324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Function Point Analysis</w:t>
            </w:r>
          </w:p>
        </w:tc>
        <w:tc>
          <w:tcPr>
            <w:tcW w:w="350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功能点分析法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UFP</w:t>
            </w:r>
          </w:p>
        </w:tc>
        <w:tc>
          <w:tcPr>
            <w:tcW w:w="324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Unadjusted Function Points</w:t>
            </w:r>
          </w:p>
        </w:tc>
        <w:tc>
          <w:tcPr>
            <w:tcW w:w="350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未调整功能点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AFP</w:t>
            </w:r>
          </w:p>
        </w:tc>
        <w:tc>
          <w:tcPr>
            <w:tcW w:w="324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Adjusted Function Points</w:t>
            </w:r>
          </w:p>
        </w:tc>
        <w:tc>
          <w:tcPr>
            <w:tcW w:w="350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调整后功能点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VAF</w:t>
            </w:r>
          </w:p>
        </w:tc>
        <w:tc>
          <w:tcPr>
            <w:tcW w:w="324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Value Adjustment Factor</w:t>
            </w:r>
          </w:p>
        </w:tc>
        <w:tc>
          <w:tcPr>
            <w:tcW w:w="350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值调整因子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TDI</w:t>
            </w:r>
          </w:p>
        </w:tc>
        <w:tc>
          <w:tcPr>
            <w:tcW w:w="324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Total Degree of Influence</w:t>
            </w:r>
          </w:p>
        </w:tc>
        <w:tc>
          <w:tcPr>
            <w:tcW w:w="350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影响度总和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IFPUG</w:t>
            </w:r>
          </w:p>
        </w:tc>
        <w:tc>
          <w:tcPr>
            <w:tcW w:w="324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International Function Point Users Group</w:t>
            </w:r>
          </w:p>
        </w:tc>
        <w:tc>
          <w:tcPr>
            <w:tcW w:w="350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国际功能点用户组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NESMA</w:t>
            </w:r>
          </w:p>
        </w:tc>
        <w:tc>
          <w:tcPr>
            <w:tcW w:w="324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Netherlands Software Metrics Association</w:t>
            </w:r>
          </w:p>
        </w:tc>
        <w:tc>
          <w:tcPr>
            <w:tcW w:w="350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荷兰软件度量协会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COCOMO II</w:t>
            </w:r>
          </w:p>
        </w:tc>
        <w:tc>
          <w:tcPr>
            <w:tcW w:w="324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Constructive Cost Model II</w:t>
            </w:r>
          </w:p>
        </w:tc>
        <w:tc>
          <w:tcPr>
            <w:tcW w:w="350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构造性成本模型第二版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KSLOC</w:t>
            </w:r>
          </w:p>
        </w:tc>
        <w:tc>
          <w:tcPr>
            <w:tcW w:w="324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Kilo Source Lines of Code</w:t>
            </w:r>
          </w:p>
        </w:tc>
        <w:tc>
          <w:tcPr>
            <w:tcW w:w="350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源代码千行数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NPV</w:t>
            </w:r>
          </w:p>
        </w:tc>
        <w:tc>
          <w:tcPr>
            <w:tcW w:w="324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Net Present Value</w:t>
            </w:r>
          </w:p>
        </w:tc>
        <w:tc>
          <w:tcPr>
            <w:tcW w:w="350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净现值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IRR</w:t>
            </w:r>
          </w:p>
        </w:tc>
        <w:tc>
          <w:tcPr>
            <w:tcW w:w="324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Internal Rate of Return</w:t>
            </w:r>
          </w:p>
        </w:tc>
        <w:tc>
          <w:tcPr>
            <w:tcW w:w="350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内部收益率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ARPU</w:t>
            </w:r>
          </w:p>
        </w:tc>
        <w:tc>
          <w:tcPr>
            <w:tcW w:w="324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Average Revenue Per User</w:t>
            </w:r>
          </w:p>
        </w:tc>
        <w:tc>
          <w:tcPr>
            <w:tcW w:w="350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每用户平均收入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SaaS</w:t>
            </w:r>
          </w:p>
        </w:tc>
        <w:tc>
          <w:tcPr>
            <w:tcW w:w="324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Software as a Service</w:t>
            </w:r>
          </w:p>
        </w:tc>
        <w:tc>
          <w:tcPr>
            <w:tcW w:w="350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软件即服务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WBS</w:t>
            </w:r>
          </w:p>
        </w:tc>
        <w:tc>
          <w:tcPr>
            <w:tcW w:w="324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Work Breakdown Structure</w:t>
            </w:r>
          </w:p>
        </w:tc>
        <w:tc>
          <w:tcPr>
            <w:tcW w:w="350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工作分解结构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BFBFBF" w:sz="0" w:space="0"/>
              <w:left w:val="single" w:color="BFBFBF" w:sz="0" w:space="0"/>
              <w:bottom w:val="single" w:color="BFBFBF" w:sz="0" w:space="0"/>
              <w:right w:val="single" w:color="BFBFBF" w:sz="0" w:space="0"/>
            </w:tcBorders>
            <w:shd w:val="clear" w:color="auto" w:fill="F2F2F2"/>
            <w:tcMar>
              <w:top w:w="70" w:type="dxa"/>
              <w:left w:w="120" w:type="dxa"/>
              <w:bottom w:w="70" w:type="dxa"/>
              <w:right w:w="120" w:type="dxa"/>
            </w:tcMar>
            <w:vAlign w:val="center"/>
          </w:tcPr>
          <w:p>
            <w:pPr>
              <w:ind w:firstLine="18" w:firstLineChars="9"/>
              <w:jc w:val="center"/>
            </w:pPr>
            <w:r>
              <w:rPr>
                <w:rFonts w:eastAsia="Arial"/>
                <w:b/>
                <w:bCs/>
                <w:color w:val="1A1A1A"/>
                <w:sz w:val="20"/>
                <w:szCs w:val="20"/>
              </w:rPr>
              <w:t>YOLO</w:t>
            </w:r>
          </w:p>
        </w:tc>
        <w:tc>
          <w:tcPr>
            <w:tcW w:w="3240"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You Only Look Once</w:t>
            </w:r>
          </w:p>
        </w:tc>
        <w:tc>
          <w:tcPr>
            <w:tcW w:w="3506" w:type="dxa"/>
            <w:tcBorders>
              <w:top w:val="single" w:color="BFBFBF" w:sz="0" w:space="0"/>
              <w:left w:val="single" w:color="BFBFBF" w:sz="0" w:space="0"/>
              <w:bottom w:val="single" w:color="BFBFBF" w:sz="0" w:space="0"/>
              <w:right w:val="single" w:color="BFBFBF" w:sz="0" w:space="0"/>
            </w:tcBorders>
            <w:shd w:val="clear" w:color="auto" w:fill="EBF3FB"/>
            <w:tcMar>
              <w:top w:w="70" w:type="dxa"/>
              <w:left w:w="120" w:type="dxa"/>
              <w:bottom w:w="70" w:type="dxa"/>
              <w:right w:w="120" w:type="dxa"/>
            </w:tcMar>
            <w:vAlign w:val="center"/>
          </w:tcPr>
          <w:p>
            <w:pPr>
              <w:ind w:firstLine="18" w:firstLineChars="9"/>
              <w:jc w:val="center"/>
            </w:pPr>
            <w:r>
              <w:rPr>
                <w:rFonts w:eastAsia="Arial"/>
                <w:color w:val="1A1A1A"/>
                <w:sz w:val="20"/>
                <w:szCs w:val="20"/>
              </w:rPr>
              <w:t>一种实时目标检测算法系列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b/>
                <w:bCs/>
                <w:color w:val="1A1A1A"/>
                <w:sz w:val="20"/>
                <w:szCs w:val="20"/>
              </w:rPr>
              <w:t>OSS</w:t>
            </w:r>
          </w:p>
        </w:tc>
        <w:tc>
          <w:tcPr>
            <w:tcW w:w="3240"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Object Storage Service</w:t>
            </w:r>
          </w:p>
        </w:tc>
        <w:tc>
          <w:tcPr>
            <w:tcW w:w="3506" w:type="dxa"/>
            <w:tcBorders>
              <w:top w:val="single" w:color="BFBFBF" w:sz="0" w:space="0"/>
              <w:left w:val="single" w:color="BFBFBF" w:sz="0" w:space="0"/>
              <w:bottom w:val="single" w:color="BFBFBF" w:sz="0" w:space="0"/>
              <w:right w:val="single" w:color="BFBFBF" w:sz="0" w:space="0"/>
            </w:tcBorders>
            <w:shd w:val="clear" w:color="auto" w:fill="FFFFFF"/>
            <w:tcMar>
              <w:top w:w="70" w:type="dxa"/>
              <w:left w:w="120" w:type="dxa"/>
              <w:bottom w:w="70" w:type="dxa"/>
              <w:right w:w="120" w:type="dxa"/>
            </w:tcMar>
            <w:vAlign w:val="center"/>
          </w:tcPr>
          <w:p>
            <w:pPr>
              <w:ind w:firstLine="18" w:firstLineChars="9"/>
              <w:jc w:val="center"/>
            </w:pPr>
            <w:r>
              <w:rPr>
                <w:rFonts w:eastAsia="Arial"/>
                <w:color w:val="1A1A1A"/>
                <w:sz w:val="20"/>
                <w:szCs w:val="20"/>
              </w:rPr>
              <w:t>对象存储服务</w:t>
            </w:r>
          </w:p>
        </w:tc>
      </w:tr>
    </w:tbl>
    <w:p>
      <w:pPr>
        <w:pBdr>
          <w:top w:val="single" w:color="2E75B6" w:sz="6" w:space="8"/>
        </w:pBdr>
        <w:spacing w:before="400" w:after="200"/>
        <w:ind w:firstLine="0" w:firstLineChars="0"/>
        <w:rPr>
          <w:rFonts w:hint="eastAsia"/>
        </w:rPr>
      </w:pPr>
    </w:p>
    <w:p>
      <w:pPr>
        <w:ind w:firstLine="0" w:firstLineChars="0"/>
        <w:rPr>
          <w:rFonts w:hint="eastAsia"/>
        </w:rPr>
      </w:pPr>
    </w:p>
    <w:p>
      <w:pPr>
        <w:pStyle w:val="3"/>
        <w:rPr>
          <w:color w:val="4472C4" w:themeColor="accent1"/>
          <w14:textFill>
            <w14:solidFill>
              <w14:schemeClr w14:val="accent1"/>
            </w14:solidFill>
          </w14:textFill>
        </w:rPr>
      </w:pPr>
      <w:bookmarkStart w:id="72" w:name="_Toc2684"/>
      <w:r>
        <w:rPr>
          <w:color w:val="4472C4" w:themeColor="accent1"/>
          <w14:textFill>
            <w14:solidFill>
              <w14:schemeClr w14:val="accent1"/>
            </w14:solidFill>
          </w14:textFill>
        </w:rPr>
        <w:t xml:space="preserve">D </w:t>
      </w:r>
      <w:r>
        <w:rPr>
          <w:rFonts w:hint="eastAsia" w:eastAsia="宋体"/>
          <w:color w:val="4472C4" w:themeColor="accent1"/>
          <w14:textFill>
            <w14:solidFill>
              <w14:schemeClr w14:val="accent1"/>
            </w14:solidFill>
          </w14:textFill>
        </w:rPr>
        <w:t>.</w:t>
      </w:r>
      <w:r>
        <w:rPr>
          <w:color w:val="4472C4" w:themeColor="accent1"/>
          <w14:textFill>
            <w14:solidFill>
              <w14:schemeClr w14:val="accent1"/>
            </w14:solidFill>
          </w14:textFill>
        </w:rPr>
        <w:t>甘特图</w:t>
      </w:r>
      <w:bookmarkEnd w:id="72"/>
    </w:p>
    <w:p>
      <w:pPr>
        <w:spacing w:after="120" w:line="360" w:lineRule="auto"/>
        <w:ind w:firstLine="440"/>
        <w:jc w:val="both"/>
      </w:pPr>
      <w:r>
        <w:rPr>
          <w:rFonts w:eastAsia="宋体"/>
          <w:color w:val="1A1A1A"/>
        </w:rPr>
        <w:t>以下为本项目的甘特图，展示了各阶段的时间安排与任务分配。</w:t>
      </w:r>
    </w:p>
    <w:p>
      <w:pPr>
        <w:spacing w:before="240" w:after="240"/>
        <w:ind w:firstLine="0" w:firstLineChars="0"/>
        <w:jc w:val="center"/>
      </w:pPr>
      <w:r>
        <w:drawing>
          <wp:inline distT="0" distB="0" distL="114300" distR="114300">
            <wp:extent cx="5398770" cy="2806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408808" cy="2811704"/>
                    </a:xfrm>
                    <a:prstGeom prst="rect">
                      <a:avLst/>
                    </a:prstGeom>
                  </pic:spPr>
                </pic:pic>
              </a:graphicData>
            </a:graphic>
          </wp:inline>
        </w:drawing>
      </w:r>
    </w:p>
    <w:p>
      <w:pPr>
        <w:ind w:firstLine="0" w:firstLineChars="0"/>
      </w:pPr>
      <w:r>
        <w:br w:type="page"/>
      </w:r>
    </w:p>
    <w:p>
      <w:pPr>
        <w:pStyle w:val="3"/>
        <w:rPr>
          <w:color w:val="4472C4" w:themeColor="accent1"/>
          <w14:textFill>
            <w14:solidFill>
              <w14:schemeClr w14:val="accent1"/>
            </w14:solidFill>
          </w14:textFill>
        </w:rPr>
      </w:pPr>
      <w:bookmarkStart w:id="73" w:name="_Toc6178"/>
      <w:r>
        <w:rPr>
          <w:color w:val="4472C4" w:themeColor="accent1"/>
          <w14:textFill>
            <w14:solidFill>
              <w14:schemeClr w14:val="accent1"/>
            </w14:solidFill>
          </w14:textFill>
        </w:rPr>
        <w:t xml:space="preserve">E </w:t>
      </w:r>
      <w:r>
        <w:rPr>
          <w:rFonts w:hint="eastAsia" w:eastAsia="宋体"/>
          <w:color w:val="4472C4" w:themeColor="accent1"/>
          <w14:textFill>
            <w14:solidFill>
              <w14:schemeClr w14:val="accent1"/>
            </w14:solidFill>
          </w14:textFill>
        </w:rPr>
        <w:t>.</w:t>
      </w:r>
      <w:r>
        <w:rPr>
          <w:color w:val="4472C4" w:themeColor="accent1"/>
          <w14:textFill>
            <w14:solidFill>
              <w14:schemeClr w14:val="accent1"/>
            </w14:solidFill>
          </w14:textFill>
        </w:rPr>
        <w:t>人时统计</w:t>
      </w:r>
      <w:bookmarkEnd w:id="73"/>
    </w:p>
    <w:p>
      <w:pPr>
        <w:spacing w:after="120" w:line="360" w:lineRule="auto"/>
        <w:ind w:firstLine="420"/>
        <w:jc w:val="both"/>
      </w:pPr>
      <w:r>
        <w:rPr>
          <w:rFonts w:ascii="宋体" w:hAnsi="宋体" w:eastAsia="宋体"/>
          <w:color w:val="1A1A1A"/>
          <w:sz w:val="21"/>
        </w:rPr>
        <w:t>以下为本项目的人时统计数据，来源于项目开发过程中的工时记录。</w:t>
      </w:r>
    </w:p>
    <w:p>
      <w:pPr>
        <w:spacing w:after="120" w:line="360" w:lineRule="auto"/>
        <w:ind w:firstLine="420"/>
        <w:jc w:val="center"/>
      </w:pPr>
      <w:r>
        <w:rPr>
          <w:rFonts w:ascii="宋体" w:hAnsi="宋体" w:eastAsia="宋体"/>
          <w:color w:val="1A1A1A"/>
          <w:sz w:val="21"/>
        </w:rPr>
        <w:t>石材幕墙污渍检测系统 — 人时统计表</w:t>
      </w:r>
    </w:p>
    <w:p>
      <w:pPr>
        <w:spacing w:after="120" w:line="360" w:lineRule="auto"/>
        <w:ind w:firstLine="420"/>
        <w:jc w:val="center"/>
      </w:pPr>
      <w:r>
        <w:rPr>
          <w:rFonts w:ascii="宋体" w:hAnsi="宋体" w:eastAsia="宋体"/>
          <w:color w:val="1A1A1A"/>
          <w:sz w:val="21"/>
        </w:rPr>
        <w:t>统计周期：2025年3月12日 — 2025年5月17日</w:t>
      </w:r>
    </w:p>
    <w:tbl>
      <w:tblPr>
        <w:tblStyle w:val="14"/>
        <w:tblW w:w="9438" w:type="dxa"/>
        <w:jc w:val="center"/>
        <w:tblLayout w:type="fixed"/>
        <w:tblCellMar>
          <w:top w:w="0" w:type="dxa"/>
          <w:left w:w="108" w:type="dxa"/>
          <w:bottom w:w="0" w:type="dxa"/>
          <w:right w:w="108" w:type="dxa"/>
        </w:tblCellMar>
      </w:tblPr>
      <w:tblGrid>
        <w:gridCol w:w="1271"/>
        <w:gridCol w:w="1418"/>
        <w:gridCol w:w="4394"/>
        <w:gridCol w:w="1276"/>
        <w:gridCol w:w="1079"/>
      </w:tblGrid>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shd w:val="clear" w:color="auto" w:fill="2E75B6"/>
          </w:tcPr>
          <w:p>
            <w:pPr>
              <w:ind w:firstLine="30" w:firstLineChars="15"/>
              <w:jc w:val="center"/>
            </w:pPr>
            <w:r>
              <w:rPr>
                <w:rFonts w:ascii="宋体" w:hAnsi="宋体" w:eastAsia="宋体"/>
                <w:b/>
                <w:color w:val="FFFFFF"/>
                <w:sz w:val="20"/>
              </w:rPr>
              <w:t>日期</w:t>
            </w:r>
          </w:p>
        </w:tc>
        <w:tc>
          <w:tcPr>
            <w:tcW w:w="1418" w:type="dxa"/>
            <w:tcBorders>
              <w:top w:val="single" w:color="BFBFBF" w:sz="4" w:space="0"/>
              <w:left w:val="single" w:color="BFBFBF" w:sz="4" w:space="0"/>
              <w:bottom w:val="single" w:color="BFBFBF" w:sz="4" w:space="0"/>
              <w:right w:val="single" w:color="BFBFBF" w:sz="4" w:space="0"/>
            </w:tcBorders>
            <w:shd w:val="clear" w:color="auto" w:fill="2E75B6"/>
          </w:tcPr>
          <w:p>
            <w:pPr>
              <w:ind w:firstLine="30" w:firstLineChars="15"/>
              <w:jc w:val="center"/>
            </w:pPr>
            <w:r>
              <w:rPr>
                <w:rFonts w:ascii="宋体" w:hAnsi="宋体" w:eastAsia="宋体"/>
                <w:b/>
                <w:color w:val="FFFFFF"/>
                <w:sz w:val="20"/>
              </w:rPr>
              <w:t>工作类型</w:t>
            </w:r>
          </w:p>
        </w:tc>
        <w:tc>
          <w:tcPr>
            <w:tcW w:w="4394" w:type="dxa"/>
            <w:tcBorders>
              <w:top w:val="single" w:color="BFBFBF" w:sz="4" w:space="0"/>
              <w:left w:val="single" w:color="BFBFBF" w:sz="4" w:space="0"/>
              <w:bottom w:val="single" w:color="BFBFBF" w:sz="4" w:space="0"/>
              <w:right w:val="single" w:color="BFBFBF" w:sz="4" w:space="0"/>
            </w:tcBorders>
            <w:shd w:val="clear" w:color="auto" w:fill="2E75B6"/>
          </w:tcPr>
          <w:p>
            <w:pPr>
              <w:ind w:firstLine="30" w:firstLineChars="15"/>
              <w:jc w:val="center"/>
            </w:pPr>
            <w:r>
              <w:rPr>
                <w:rFonts w:ascii="宋体" w:hAnsi="宋体" w:eastAsia="宋体"/>
                <w:b/>
                <w:color w:val="FFFFFF"/>
                <w:sz w:val="20"/>
              </w:rPr>
              <w:t>工作内容</w:t>
            </w:r>
          </w:p>
        </w:tc>
        <w:tc>
          <w:tcPr>
            <w:tcW w:w="1276" w:type="dxa"/>
            <w:tcBorders>
              <w:top w:val="single" w:color="BFBFBF" w:sz="4" w:space="0"/>
              <w:left w:val="single" w:color="BFBFBF" w:sz="4" w:space="0"/>
              <w:bottom w:val="single" w:color="BFBFBF" w:sz="4" w:space="0"/>
              <w:right w:val="single" w:color="BFBFBF" w:sz="4" w:space="0"/>
            </w:tcBorders>
            <w:shd w:val="clear" w:color="auto" w:fill="2E75B6"/>
          </w:tcPr>
          <w:p>
            <w:pPr>
              <w:ind w:firstLine="30" w:firstLineChars="15"/>
              <w:jc w:val="center"/>
              <w:rPr>
                <w:rFonts w:eastAsia="宋体"/>
              </w:rPr>
            </w:pPr>
            <w:r>
              <w:rPr>
                <w:rFonts w:ascii="宋体" w:hAnsi="宋体" w:eastAsia="宋体"/>
                <w:b/>
                <w:color w:val="FFFFFF"/>
                <w:sz w:val="20"/>
              </w:rPr>
              <w:t>负责</w:t>
            </w:r>
            <w:r>
              <w:rPr>
                <w:rFonts w:hint="eastAsia" w:ascii="宋体" w:hAnsi="宋体" w:eastAsia="宋体"/>
                <w:b/>
                <w:color w:val="FFFFFF"/>
                <w:sz w:val="20"/>
              </w:rPr>
              <w:t>人</w:t>
            </w:r>
          </w:p>
        </w:tc>
        <w:tc>
          <w:tcPr>
            <w:tcW w:w="1079" w:type="dxa"/>
            <w:tcBorders>
              <w:top w:val="single" w:color="BFBFBF" w:sz="4" w:space="0"/>
              <w:left w:val="single" w:color="BFBFBF" w:sz="4" w:space="0"/>
              <w:bottom w:val="single" w:color="BFBFBF" w:sz="4" w:space="0"/>
              <w:right w:val="single" w:color="BFBFBF" w:sz="4" w:space="0"/>
            </w:tcBorders>
            <w:shd w:val="clear" w:color="auto" w:fill="2E75B6"/>
          </w:tcPr>
          <w:p>
            <w:pPr>
              <w:ind w:firstLine="30" w:firstLineChars="15"/>
              <w:jc w:val="center"/>
            </w:pPr>
            <w:r>
              <w:rPr>
                <w:rFonts w:ascii="宋体" w:hAnsi="宋体" w:eastAsia="宋体"/>
                <w:b/>
                <w:color w:val="FFFFFF"/>
                <w:sz w:val="20"/>
              </w:rPr>
              <w:t>人时记录(h)</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2025/3/12</w:t>
            </w:r>
          </w:p>
        </w:tc>
        <w:tc>
          <w:tcPr>
            <w:tcW w:w="1418"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项目启动</w:t>
            </w:r>
          </w:p>
        </w:tc>
        <w:tc>
          <w:tcPr>
            <w:tcW w:w="4394"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参加项目启动会议，了解项目背景：石材幕墙污渍检测系统，目标将识别成功率从50%提升到70%以上</w:t>
            </w:r>
          </w:p>
        </w:tc>
        <w:tc>
          <w:tcPr>
            <w:tcW w:w="1276"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周慧星、于广淳</w:t>
            </w:r>
          </w:p>
        </w:tc>
        <w:tc>
          <w:tcPr>
            <w:tcW w:w="1079"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1</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2025/3/12</w:t>
            </w:r>
          </w:p>
        </w:tc>
        <w:tc>
          <w:tcPr>
            <w:tcW w:w="1418"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项目启动</w:t>
            </w:r>
          </w:p>
        </w:tc>
        <w:tc>
          <w:tcPr>
            <w:tcW w:w="4394"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确认技术方案：了解现有系统架构，确认后端使用FastAPI，初步决定使用platform.ultralytics.com平台进行数据集训练</w:t>
            </w:r>
          </w:p>
        </w:tc>
        <w:tc>
          <w:tcPr>
            <w:tcW w:w="1276"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周慧星、于广淳</w:t>
            </w:r>
          </w:p>
        </w:tc>
        <w:tc>
          <w:tcPr>
            <w:tcW w:w="1079"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2</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2025/3/13-3/20</w:t>
            </w:r>
          </w:p>
        </w:tc>
        <w:tc>
          <w:tcPr>
            <w:tcW w:w="1418"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数据收集与标注</w:t>
            </w:r>
          </w:p>
        </w:tc>
        <w:tc>
          <w:tcPr>
            <w:tcW w:w="4394"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收集石材幕墙污渍图片数据集（原有数据集 + 公开平台Kaggle/Roboflow收集）</w:t>
            </w:r>
          </w:p>
        </w:tc>
        <w:tc>
          <w:tcPr>
            <w:tcW w:w="1276"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周慧星</w:t>
            </w:r>
          </w:p>
        </w:tc>
        <w:tc>
          <w:tcPr>
            <w:tcW w:w="1079"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2</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2025/3/13-3/20</w:t>
            </w:r>
          </w:p>
        </w:tc>
        <w:tc>
          <w:tcPr>
            <w:tcW w:w="1418"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数据收集与标注</w:t>
            </w:r>
          </w:p>
        </w:tc>
        <w:tc>
          <w:tcPr>
            <w:tcW w:w="4394"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开始对数据集进行人工标注（污渍位置、类型）</w:t>
            </w:r>
          </w:p>
        </w:tc>
        <w:tc>
          <w:tcPr>
            <w:tcW w:w="1276"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于广淳</w:t>
            </w:r>
          </w:p>
        </w:tc>
        <w:tc>
          <w:tcPr>
            <w:tcW w:w="1079"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4</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2025/3/13-3/20</w:t>
            </w:r>
          </w:p>
        </w:tc>
        <w:tc>
          <w:tcPr>
            <w:tcW w:w="1418"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模型训练</w:t>
            </w:r>
          </w:p>
        </w:tc>
        <w:tc>
          <w:tcPr>
            <w:tcW w:w="4394"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使用现有数据进行初步模型训练，测试基础效果</w:t>
            </w:r>
          </w:p>
        </w:tc>
        <w:tc>
          <w:tcPr>
            <w:tcW w:w="1276"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周慧星</w:t>
            </w:r>
          </w:p>
        </w:tc>
        <w:tc>
          <w:tcPr>
            <w:tcW w:w="1079"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2</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2025/4/1-4/14</w:t>
            </w:r>
          </w:p>
        </w:tc>
        <w:tc>
          <w:tcPr>
            <w:tcW w:w="1418"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数据收集与标注</w:t>
            </w:r>
          </w:p>
        </w:tc>
        <w:tc>
          <w:tcPr>
            <w:tcW w:w="4394"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持续标注数据集</w:t>
            </w:r>
          </w:p>
        </w:tc>
        <w:tc>
          <w:tcPr>
            <w:tcW w:w="1276"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于广淳</w:t>
            </w:r>
          </w:p>
        </w:tc>
        <w:tc>
          <w:tcPr>
            <w:tcW w:w="1079"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2</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2025/4/1-4/14</w:t>
            </w:r>
          </w:p>
        </w:tc>
        <w:tc>
          <w:tcPr>
            <w:tcW w:w="1418"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前后端开发</w:t>
            </w:r>
          </w:p>
        </w:tc>
        <w:tc>
          <w:tcPr>
            <w:tcW w:w="4394"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搭建独立前后端系统用于展示效果（因原系统无法运行）</w:t>
            </w:r>
          </w:p>
        </w:tc>
        <w:tc>
          <w:tcPr>
            <w:tcW w:w="1276"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周慧星</w:t>
            </w:r>
          </w:p>
        </w:tc>
        <w:tc>
          <w:tcPr>
            <w:tcW w:w="1079"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8</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2025/4/15</w:t>
            </w:r>
          </w:p>
        </w:tc>
        <w:tc>
          <w:tcPr>
            <w:tcW w:w="1418"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阶段会议</w:t>
            </w:r>
          </w:p>
        </w:tc>
        <w:tc>
          <w:tcPr>
            <w:tcW w:w="4394"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展示当前数据集标注进度和初步训练模型。修正甘特图，加快进度</w:t>
            </w:r>
          </w:p>
        </w:tc>
        <w:tc>
          <w:tcPr>
            <w:tcW w:w="1276"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周慧星、于广淳</w:t>
            </w:r>
          </w:p>
        </w:tc>
        <w:tc>
          <w:tcPr>
            <w:tcW w:w="1079"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2</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2025/4/16-4/21</w:t>
            </w:r>
          </w:p>
        </w:tc>
        <w:tc>
          <w:tcPr>
            <w:tcW w:w="1418"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数据收集与标注</w:t>
            </w:r>
          </w:p>
        </w:tc>
        <w:tc>
          <w:tcPr>
            <w:tcW w:w="4394"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在校园内实地拍摄石材幕墙污渍照片</w:t>
            </w:r>
          </w:p>
        </w:tc>
        <w:tc>
          <w:tcPr>
            <w:tcW w:w="1276"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周慧星、于广淳</w:t>
            </w:r>
          </w:p>
        </w:tc>
        <w:tc>
          <w:tcPr>
            <w:tcW w:w="1079"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16</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2025/4/16-4/21</w:t>
            </w:r>
          </w:p>
        </w:tc>
        <w:tc>
          <w:tcPr>
            <w:tcW w:w="1418"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数据收集与标注</w:t>
            </w:r>
          </w:p>
        </w:tc>
        <w:tc>
          <w:tcPr>
            <w:tcW w:w="4394"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按"light-moderate-severe"三级重新标注图片</w:t>
            </w:r>
          </w:p>
        </w:tc>
        <w:tc>
          <w:tcPr>
            <w:tcW w:w="1276"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于广淳</w:t>
            </w:r>
          </w:p>
        </w:tc>
        <w:tc>
          <w:tcPr>
            <w:tcW w:w="1079"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4</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2025/4/16-4/21</w:t>
            </w:r>
          </w:p>
        </w:tc>
        <w:tc>
          <w:tcPr>
            <w:tcW w:w="1418"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模型训练</w:t>
            </w:r>
          </w:p>
        </w:tc>
        <w:tc>
          <w:tcPr>
            <w:tcW w:w="4394"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分析原有模型（yolov8n-seg训练），发现数据集质量差导致泛化能力弱</w:t>
            </w:r>
          </w:p>
        </w:tc>
        <w:tc>
          <w:tcPr>
            <w:tcW w:w="1276"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周慧星</w:t>
            </w:r>
          </w:p>
        </w:tc>
        <w:tc>
          <w:tcPr>
            <w:tcW w:w="1079"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2</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2025/4/22</w:t>
            </w:r>
          </w:p>
        </w:tc>
        <w:tc>
          <w:tcPr>
            <w:tcW w:w="1418"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阶段会议</w:t>
            </w:r>
          </w:p>
        </w:tc>
        <w:tc>
          <w:tcPr>
            <w:tcW w:w="4394"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展示甘特图修正、原有模型分析结果、前端对接情况。确定后续方案：不修改原前后端，专注训练好模型，最后交付模型</w:t>
            </w:r>
          </w:p>
        </w:tc>
        <w:tc>
          <w:tcPr>
            <w:tcW w:w="1276"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周慧星、于广淳</w:t>
            </w:r>
          </w:p>
        </w:tc>
        <w:tc>
          <w:tcPr>
            <w:tcW w:w="1079"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1</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2025/4/23-4/28</w:t>
            </w:r>
          </w:p>
        </w:tc>
        <w:tc>
          <w:tcPr>
            <w:tcW w:w="1418"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数据收集与标注</w:t>
            </w:r>
          </w:p>
        </w:tc>
        <w:tc>
          <w:tcPr>
            <w:tcW w:w="4394"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继续标注剩余图片</w:t>
            </w:r>
          </w:p>
        </w:tc>
        <w:tc>
          <w:tcPr>
            <w:tcW w:w="1276"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于广淳</w:t>
            </w:r>
          </w:p>
        </w:tc>
        <w:tc>
          <w:tcPr>
            <w:tcW w:w="1079"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4</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2025/4/23-4/28</w:t>
            </w:r>
          </w:p>
        </w:tc>
        <w:tc>
          <w:tcPr>
            <w:tcW w:w="1418"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算法研究</w:t>
            </w:r>
          </w:p>
        </w:tc>
        <w:tc>
          <w:tcPr>
            <w:tcW w:w="4394"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查阅论文，研究UNet算法和SAM3模型用于污渍检测的可行性</w:t>
            </w:r>
          </w:p>
        </w:tc>
        <w:tc>
          <w:tcPr>
            <w:tcW w:w="1276"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周慧星、于广淳</w:t>
            </w:r>
          </w:p>
        </w:tc>
        <w:tc>
          <w:tcPr>
            <w:tcW w:w="1079"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8</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2025/4/23-4/28</w:t>
            </w:r>
          </w:p>
        </w:tc>
        <w:tc>
          <w:tcPr>
            <w:tcW w:w="1418"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前后端开发</w:t>
            </w:r>
          </w:p>
        </w:tc>
        <w:tc>
          <w:tcPr>
            <w:tcW w:w="4394"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与项目前后端接通人员取得联系，获取前端部署文档</w:t>
            </w:r>
          </w:p>
        </w:tc>
        <w:tc>
          <w:tcPr>
            <w:tcW w:w="1276"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周慧星</w:t>
            </w:r>
          </w:p>
        </w:tc>
        <w:tc>
          <w:tcPr>
            <w:tcW w:w="1079"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2</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2025/4/29</w:t>
            </w:r>
          </w:p>
        </w:tc>
        <w:tc>
          <w:tcPr>
            <w:tcW w:w="1418"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阶段会议</w:t>
            </w:r>
          </w:p>
        </w:tc>
        <w:tc>
          <w:tcPr>
            <w:tcW w:w="4394"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展示标注进度(300+张)、、新算法调研情况。确定数据集增强方案：扩展到3000张，70%训练/20%验证/10%测试</w:t>
            </w:r>
          </w:p>
        </w:tc>
        <w:tc>
          <w:tcPr>
            <w:tcW w:w="1276"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周慧星、于广淳</w:t>
            </w:r>
          </w:p>
        </w:tc>
        <w:tc>
          <w:tcPr>
            <w:tcW w:w="1079"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1</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2026/4/30-5/6</w:t>
            </w:r>
          </w:p>
        </w:tc>
        <w:tc>
          <w:tcPr>
            <w:tcW w:w="1418"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数据收集与标注</w:t>
            </w:r>
          </w:p>
        </w:tc>
        <w:tc>
          <w:tcPr>
            <w:tcW w:w="4394"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继续标注剩余图片</w:t>
            </w:r>
          </w:p>
        </w:tc>
        <w:tc>
          <w:tcPr>
            <w:tcW w:w="1276"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于广淳</w:t>
            </w:r>
          </w:p>
        </w:tc>
        <w:tc>
          <w:tcPr>
            <w:tcW w:w="1079"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8</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2025/4/30-5/6</w:t>
            </w:r>
          </w:p>
        </w:tc>
        <w:tc>
          <w:tcPr>
            <w:tcW w:w="1418"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数据收集与标注</w:t>
            </w:r>
          </w:p>
        </w:tc>
        <w:tc>
          <w:tcPr>
            <w:tcW w:w="4394"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筛选整理最终600+张原始图片，编写Python脚本进行数据增强。数据增强后获得2700+张训练数据</w:t>
            </w:r>
          </w:p>
        </w:tc>
        <w:tc>
          <w:tcPr>
            <w:tcW w:w="1276"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于广淳</w:t>
            </w:r>
          </w:p>
        </w:tc>
        <w:tc>
          <w:tcPr>
            <w:tcW w:w="1079"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6</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2025/4/30-5/6</w:t>
            </w:r>
          </w:p>
        </w:tc>
        <w:tc>
          <w:tcPr>
            <w:tcW w:w="1418"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模型训练</w:t>
            </w:r>
          </w:p>
        </w:tc>
        <w:tc>
          <w:tcPr>
            <w:tcW w:w="4394"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在Ultralytics平台上使用YOLO系列多版本训练(26/11/8)。重点训练26x、11x、8x三个大模型，对比精度与速度</w:t>
            </w:r>
          </w:p>
        </w:tc>
        <w:tc>
          <w:tcPr>
            <w:tcW w:w="1276"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周慧星、于广淳</w:t>
            </w:r>
          </w:p>
        </w:tc>
        <w:tc>
          <w:tcPr>
            <w:tcW w:w="1079"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32</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2025/4/30-5/6</w:t>
            </w:r>
          </w:p>
        </w:tc>
        <w:tc>
          <w:tcPr>
            <w:tcW w:w="1418"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模型训练</w:t>
            </w:r>
          </w:p>
        </w:tc>
        <w:tc>
          <w:tcPr>
            <w:tcW w:w="4394"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尝试UNet算法训练，发现单epoch耗时数小时，暂且搁置</w:t>
            </w:r>
          </w:p>
        </w:tc>
        <w:tc>
          <w:tcPr>
            <w:tcW w:w="1276"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周慧星</w:t>
            </w:r>
          </w:p>
        </w:tc>
        <w:tc>
          <w:tcPr>
            <w:tcW w:w="1079"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6</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2025/4/30-5/6</w:t>
            </w:r>
          </w:p>
        </w:tc>
        <w:tc>
          <w:tcPr>
            <w:tcW w:w="1418"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前后端开发</w:t>
            </w:r>
          </w:p>
        </w:tc>
        <w:tc>
          <w:tcPr>
            <w:tcW w:w="4394"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连通已有数据库，准备后端接入总项目前端</w:t>
            </w:r>
          </w:p>
        </w:tc>
        <w:tc>
          <w:tcPr>
            <w:tcW w:w="1276"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周慧星</w:t>
            </w:r>
          </w:p>
        </w:tc>
        <w:tc>
          <w:tcPr>
            <w:tcW w:w="1079"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12</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2025/5/7</w:t>
            </w:r>
          </w:p>
        </w:tc>
        <w:tc>
          <w:tcPr>
            <w:tcW w:w="1418"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阶段会议</w:t>
            </w:r>
          </w:p>
        </w:tc>
        <w:tc>
          <w:tcPr>
            <w:tcW w:w="4394"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展示数据集增强结果(2700+张)、多版本YOLO训练对比结果。明确项目属性（功能增强改进项目），确定准确率评估方法</w:t>
            </w:r>
          </w:p>
        </w:tc>
        <w:tc>
          <w:tcPr>
            <w:tcW w:w="1276"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周慧星、于广淳</w:t>
            </w:r>
          </w:p>
        </w:tc>
        <w:tc>
          <w:tcPr>
            <w:tcW w:w="1079"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1</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2025/5/8-5/10</w:t>
            </w:r>
          </w:p>
        </w:tc>
        <w:tc>
          <w:tcPr>
            <w:tcW w:w="1418"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数据收集与标注</w:t>
            </w:r>
          </w:p>
        </w:tc>
        <w:tc>
          <w:tcPr>
            <w:tcW w:w="4394"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重新划分数据集，提高test测试集占比</w:t>
            </w:r>
          </w:p>
        </w:tc>
        <w:tc>
          <w:tcPr>
            <w:tcW w:w="1276"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于广淳</w:t>
            </w:r>
          </w:p>
        </w:tc>
        <w:tc>
          <w:tcPr>
            <w:tcW w:w="1079"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1</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2025/5/8-5/10</w:t>
            </w:r>
          </w:p>
        </w:tc>
        <w:tc>
          <w:tcPr>
            <w:tcW w:w="1418"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模型训练</w:t>
            </w:r>
          </w:p>
        </w:tc>
        <w:tc>
          <w:tcPr>
            <w:tcW w:w="4394"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添加test集后重新训练，对比11x模型不同训练比例的效果</w:t>
            </w:r>
          </w:p>
        </w:tc>
        <w:tc>
          <w:tcPr>
            <w:tcW w:w="1276"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周慧星</w:t>
            </w:r>
          </w:p>
        </w:tc>
        <w:tc>
          <w:tcPr>
            <w:tcW w:w="1079"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4</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2025/5/8-5/10</w:t>
            </w:r>
          </w:p>
        </w:tc>
        <w:tc>
          <w:tcPr>
            <w:tcW w:w="1418"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部署</w:t>
            </w:r>
          </w:p>
        </w:tc>
        <w:tc>
          <w:tcPr>
            <w:tcW w:w="4394"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连接数据库，将后端代码接入原系统，并在前端做出一定的调整，尝试Docker部署</w:t>
            </w:r>
          </w:p>
        </w:tc>
        <w:tc>
          <w:tcPr>
            <w:tcW w:w="1276"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周慧星</w:t>
            </w:r>
          </w:p>
        </w:tc>
        <w:tc>
          <w:tcPr>
            <w:tcW w:w="1079"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12</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2025/5/11</w:t>
            </w:r>
          </w:p>
        </w:tc>
        <w:tc>
          <w:tcPr>
            <w:tcW w:w="1418"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阶段会议</w:t>
            </w:r>
          </w:p>
        </w:tc>
        <w:tc>
          <w:tcPr>
            <w:tcW w:w="4394"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展示test集训练结果(11x模型最佳效果)、后端接入进展。确定部署方案：必须修复Docker部署问题，准备展示图片</w:t>
            </w:r>
          </w:p>
        </w:tc>
        <w:tc>
          <w:tcPr>
            <w:tcW w:w="1276"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周慧星、于广淳</w:t>
            </w:r>
          </w:p>
        </w:tc>
        <w:tc>
          <w:tcPr>
            <w:tcW w:w="1079"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1</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2025/5/12-5/13</w:t>
            </w:r>
          </w:p>
        </w:tc>
        <w:tc>
          <w:tcPr>
            <w:tcW w:w="1418"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部署</w:t>
            </w:r>
          </w:p>
        </w:tc>
        <w:tc>
          <w:tcPr>
            <w:tcW w:w="4394"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排查Docker部署失败原因并修复，成功使用Docker重新部署。在前端展示系统使用效果，调试模型推理接口</w:t>
            </w:r>
          </w:p>
        </w:tc>
        <w:tc>
          <w:tcPr>
            <w:tcW w:w="1276"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周慧星</w:t>
            </w:r>
          </w:p>
        </w:tc>
        <w:tc>
          <w:tcPr>
            <w:tcW w:w="1079"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12</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2025/5/12-5/13</w:t>
            </w:r>
          </w:p>
        </w:tc>
        <w:tc>
          <w:tcPr>
            <w:tcW w:w="1418"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测试</w:t>
            </w:r>
          </w:p>
        </w:tc>
        <w:tc>
          <w:tcPr>
            <w:tcW w:w="4394"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准备期末演示用测试图片，验证系统功能</w:t>
            </w:r>
          </w:p>
        </w:tc>
        <w:tc>
          <w:tcPr>
            <w:tcW w:w="1276"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于广淳</w:t>
            </w:r>
          </w:p>
        </w:tc>
        <w:tc>
          <w:tcPr>
            <w:tcW w:w="1079"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3</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2025/5/14</w:t>
            </w:r>
          </w:p>
        </w:tc>
        <w:tc>
          <w:tcPr>
            <w:tcW w:w="1418"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阶段会议</w:t>
            </w:r>
          </w:p>
        </w:tc>
        <w:tc>
          <w:tcPr>
            <w:tcW w:w="4394"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展示Docker部署成果、前端系统使用效果。确定后续工作：解决模型处理速度慢导致前端超时的问题</w:t>
            </w:r>
          </w:p>
        </w:tc>
        <w:tc>
          <w:tcPr>
            <w:tcW w:w="1276"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周慧星、于广淳</w:t>
            </w:r>
          </w:p>
        </w:tc>
        <w:tc>
          <w:tcPr>
            <w:tcW w:w="1079"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1</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2025/5/15-5/17</w:t>
            </w:r>
          </w:p>
        </w:tc>
        <w:tc>
          <w:tcPr>
            <w:tcW w:w="1418"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前后端开发</w:t>
            </w:r>
          </w:p>
        </w:tc>
        <w:tc>
          <w:tcPr>
            <w:tcW w:w="4394"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解决模型处理速度慢导致前端超时的问题</w:t>
            </w:r>
          </w:p>
        </w:tc>
        <w:tc>
          <w:tcPr>
            <w:tcW w:w="1276"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周慧星</w:t>
            </w:r>
          </w:p>
        </w:tc>
        <w:tc>
          <w:tcPr>
            <w:tcW w:w="1079"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2</w:t>
            </w: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p>
        </w:tc>
        <w:tc>
          <w:tcPr>
            <w:tcW w:w="1418"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p>
        </w:tc>
        <w:tc>
          <w:tcPr>
            <w:tcW w:w="4394"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p>
        </w:tc>
        <w:tc>
          <w:tcPr>
            <w:tcW w:w="1276"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p>
        </w:tc>
        <w:tc>
          <w:tcPr>
            <w:tcW w:w="1079"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shd w:val="clear" w:color="auto" w:fill="0070C0"/>
          </w:tcPr>
          <w:p>
            <w:pPr>
              <w:ind w:firstLine="33" w:firstLineChars="15"/>
              <w:jc w:val="center"/>
              <w:rPr>
                <w:color w:val="FFFFFF" w:themeColor="background1"/>
                <w14:textFill>
                  <w14:solidFill>
                    <w14:schemeClr w14:val="bg1"/>
                  </w14:solidFill>
                </w14:textFill>
              </w:rPr>
            </w:pPr>
            <w:r>
              <w:rPr>
                <w:rFonts w:ascii="宋体" w:hAnsi="宋体" w:eastAsia="宋体"/>
                <w:color w:val="FFFFFF" w:themeColor="background1"/>
                <w14:textFill>
                  <w14:solidFill>
                    <w14:schemeClr w14:val="bg1"/>
                  </w14:solidFill>
                </w14:textFill>
              </w:rPr>
              <w:t>工作类型</w:t>
            </w:r>
          </w:p>
        </w:tc>
        <w:tc>
          <w:tcPr>
            <w:tcW w:w="1418" w:type="dxa"/>
            <w:tcBorders>
              <w:top w:val="single" w:color="BFBFBF" w:sz="4" w:space="0"/>
              <w:left w:val="single" w:color="BFBFBF" w:sz="4" w:space="0"/>
              <w:bottom w:val="single" w:color="BFBFBF" w:sz="4" w:space="0"/>
              <w:right w:val="single" w:color="BFBFBF" w:sz="4" w:space="0"/>
            </w:tcBorders>
            <w:shd w:val="clear" w:color="auto" w:fill="0070C0"/>
          </w:tcPr>
          <w:p>
            <w:pPr>
              <w:ind w:firstLine="33" w:firstLineChars="15"/>
              <w:jc w:val="center"/>
              <w:rPr>
                <w:color w:val="FFFFFF" w:themeColor="background1"/>
                <w14:textFill>
                  <w14:solidFill>
                    <w14:schemeClr w14:val="bg1"/>
                  </w14:solidFill>
                </w14:textFill>
              </w:rPr>
            </w:pPr>
            <w:r>
              <w:rPr>
                <w:rFonts w:ascii="宋体" w:hAnsi="宋体" w:eastAsia="宋体"/>
                <w:color w:val="FFFFFF" w:themeColor="background1"/>
                <w14:textFill>
                  <w14:solidFill>
                    <w14:schemeClr w14:val="bg1"/>
                  </w14:solidFill>
                </w14:textFill>
              </w:rPr>
              <w:t>工时合计(h)</w:t>
            </w:r>
          </w:p>
        </w:tc>
        <w:tc>
          <w:tcPr>
            <w:tcW w:w="4394" w:type="dxa"/>
            <w:tcBorders>
              <w:top w:val="single" w:color="BFBFBF" w:sz="4" w:space="0"/>
              <w:left w:val="single" w:color="BFBFBF" w:sz="4" w:space="0"/>
              <w:bottom w:val="single" w:color="BFBFBF" w:sz="4" w:space="0"/>
              <w:right w:val="single" w:color="BFBFBF" w:sz="4" w:space="0"/>
            </w:tcBorders>
            <w:shd w:val="clear" w:color="auto" w:fill="0070C0"/>
          </w:tcPr>
          <w:p>
            <w:pPr>
              <w:ind w:firstLine="33" w:firstLineChars="15"/>
              <w:jc w:val="center"/>
              <w:rPr>
                <w:rFonts w:eastAsia="宋体"/>
                <w:color w:val="FFFFFF" w:themeColor="background1"/>
                <w14:textFill>
                  <w14:solidFill>
                    <w14:schemeClr w14:val="bg1"/>
                  </w14:solidFill>
                </w14:textFill>
              </w:rPr>
            </w:pPr>
            <w:r>
              <w:rPr>
                <w:rFonts w:ascii="宋体" w:hAnsi="宋体" w:eastAsia="宋体"/>
                <w:color w:val="FFFFFF" w:themeColor="background1"/>
                <w14:textFill>
                  <w14:solidFill>
                    <w14:schemeClr w14:val="bg1"/>
                  </w14:solidFill>
                </w14:textFill>
              </w:rPr>
              <w:t>占比</w:t>
            </w:r>
          </w:p>
        </w:tc>
        <w:tc>
          <w:tcPr>
            <w:tcW w:w="1276" w:type="dxa"/>
            <w:tcBorders>
              <w:top w:val="single" w:color="BFBFBF" w:sz="4" w:space="0"/>
              <w:left w:val="single" w:color="BFBFBF" w:sz="4" w:space="0"/>
              <w:bottom w:val="single" w:color="BFBFBF" w:sz="4" w:space="0"/>
              <w:right w:val="single" w:color="BFBFBF" w:sz="4" w:space="0"/>
            </w:tcBorders>
            <w:shd w:val="clear" w:color="auto" w:fill="0070C0"/>
          </w:tcPr>
          <w:p>
            <w:pPr>
              <w:ind w:firstLine="33" w:firstLineChars="15"/>
              <w:jc w:val="center"/>
            </w:pPr>
          </w:p>
        </w:tc>
        <w:tc>
          <w:tcPr>
            <w:tcW w:w="1079" w:type="dxa"/>
            <w:tcBorders>
              <w:top w:val="single" w:color="BFBFBF" w:sz="4" w:space="0"/>
              <w:left w:val="single" w:color="BFBFBF" w:sz="4" w:space="0"/>
              <w:bottom w:val="single" w:color="BFBFBF" w:sz="4" w:space="0"/>
              <w:right w:val="single" w:color="BFBFBF" w:sz="4" w:space="0"/>
            </w:tcBorders>
            <w:shd w:val="clear" w:color="auto" w:fill="0070C0"/>
          </w:tcPr>
          <w:p>
            <w:pPr>
              <w:ind w:firstLine="33" w:firstLineChars="15"/>
              <w:jc w:val="center"/>
            </w:pP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项目启动</w:t>
            </w:r>
          </w:p>
        </w:tc>
        <w:tc>
          <w:tcPr>
            <w:tcW w:w="1418"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3</w:t>
            </w:r>
          </w:p>
        </w:tc>
        <w:tc>
          <w:tcPr>
            <w:tcW w:w="4394"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rPr>
                <w:rFonts w:eastAsia="宋体"/>
              </w:rPr>
            </w:pPr>
            <w:r>
              <w:rPr>
                <w:rFonts w:ascii="宋体" w:hAnsi="宋体" w:eastAsia="宋体"/>
                <w:color w:val="1A1A1A"/>
              </w:rPr>
              <w:t>1</w:t>
            </w:r>
            <w:r>
              <w:rPr>
                <w:rFonts w:hint="eastAsia" w:ascii="宋体" w:hAnsi="宋体" w:eastAsia="宋体"/>
                <w:color w:val="1A1A1A"/>
              </w:rPr>
              <w:t>.</w:t>
            </w:r>
            <w:r>
              <w:rPr>
                <w:rFonts w:ascii="宋体" w:hAnsi="宋体" w:eastAsia="宋体"/>
                <w:color w:val="1A1A1A"/>
              </w:rPr>
              <w:t>96</w:t>
            </w:r>
            <w:r>
              <w:rPr>
                <w:rFonts w:hint="eastAsia" w:ascii="宋体" w:hAnsi="宋体" w:eastAsia="宋体"/>
                <w:color w:val="1A1A1A"/>
              </w:rPr>
              <w:t>%</w:t>
            </w:r>
          </w:p>
        </w:tc>
        <w:tc>
          <w:tcPr>
            <w:tcW w:w="1276"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p>
        </w:tc>
        <w:tc>
          <w:tcPr>
            <w:tcW w:w="1079"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数据收集与标注</w:t>
            </w:r>
          </w:p>
        </w:tc>
        <w:tc>
          <w:tcPr>
            <w:tcW w:w="1418"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47</w:t>
            </w:r>
          </w:p>
        </w:tc>
        <w:tc>
          <w:tcPr>
            <w:tcW w:w="4394" w:type="dxa"/>
            <w:tcBorders>
              <w:top w:val="single" w:color="BFBFBF" w:sz="4" w:space="0"/>
              <w:left w:val="single" w:color="BFBFBF" w:sz="4" w:space="0"/>
              <w:bottom w:val="single" w:color="BFBFBF" w:sz="4" w:space="0"/>
              <w:right w:val="single" w:color="BFBFBF" w:sz="4" w:space="0"/>
            </w:tcBorders>
          </w:tcPr>
          <w:p>
            <w:pPr>
              <w:ind w:firstLine="33" w:firstLineChars="15"/>
              <w:jc w:val="center"/>
              <w:rPr>
                <w:rFonts w:eastAsia="宋体"/>
              </w:rPr>
            </w:pPr>
            <w:r>
              <w:rPr>
                <w:rFonts w:ascii="宋体" w:hAnsi="宋体" w:eastAsia="宋体"/>
                <w:color w:val="1A1A1A"/>
              </w:rPr>
              <w:t>30</w:t>
            </w:r>
            <w:r>
              <w:rPr>
                <w:rFonts w:hint="eastAsia" w:ascii="宋体" w:hAnsi="宋体" w:eastAsia="宋体"/>
                <w:color w:val="1A1A1A"/>
              </w:rPr>
              <w:t>.</w:t>
            </w:r>
            <w:r>
              <w:rPr>
                <w:rFonts w:ascii="宋体" w:hAnsi="宋体" w:eastAsia="宋体"/>
                <w:color w:val="1A1A1A"/>
              </w:rPr>
              <w:t>72</w:t>
            </w:r>
            <w:r>
              <w:rPr>
                <w:rFonts w:hint="eastAsia" w:ascii="宋体" w:hAnsi="宋体" w:eastAsia="宋体"/>
                <w:color w:val="1A1A1A"/>
              </w:rPr>
              <w:t>%</w:t>
            </w:r>
          </w:p>
        </w:tc>
        <w:tc>
          <w:tcPr>
            <w:tcW w:w="1276" w:type="dxa"/>
            <w:tcBorders>
              <w:top w:val="single" w:color="BFBFBF" w:sz="4" w:space="0"/>
              <w:left w:val="single" w:color="BFBFBF" w:sz="4" w:space="0"/>
              <w:bottom w:val="single" w:color="BFBFBF" w:sz="4" w:space="0"/>
              <w:right w:val="single" w:color="BFBFBF" w:sz="4" w:space="0"/>
            </w:tcBorders>
          </w:tcPr>
          <w:p>
            <w:pPr>
              <w:ind w:firstLine="33" w:firstLineChars="15"/>
              <w:jc w:val="center"/>
            </w:pPr>
          </w:p>
        </w:tc>
        <w:tc>
          <w:tcPr>
            <w:tcW w:w="1079" w:type="dxa"/>
            <w:tcBorders>
              <w:top w:val="single" w:color="BFBFBF" w:sz="4" w:space="0"/>
              <w:left w:val="single" w:color="BFBFBF" w:sz="4" w:space="0"/>
              <w:bottom w:val="single" w:color="BFBFBF" w:sz="4" w:space="0"/>
              <w:right w:val="single" w:color="BFBFBF" w:sz="4" w:space="0"/>
            </w:tcBorders>
          </w:tcPr>
          <w:p>
            <w:pPr>
              <w:ind w:firstLine="33" w:firstLineChars="15"/>
              <w:jc w:val="center"/>
            </w:pP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模型训练</w:t>
            </w:r>
          </w:p>
        </w:tc>
        <w:tc>
          <w:tcPr>
            <w:tcW w:w="1418"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46</w:t>
            </w:r>
          </w:p>
        </w:tc>
        <w:tc>
          <w:tcPr>
            <w:tcW w:w="4394"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rPr>
                <w:rFonts w:eastAsia="宋体"/>
              </w:rPr>
            </w:pPr>
            <w:r>
              <w:rPr>
                <w:rFonts w:ascii="宋体" w:hAnsi="宋体" w:eastAsia="宋体"/>
                <w:color w:val="1A1A1A"/>
              </w:rPr>
              <w:t>30</w:t>
            </w:r>
            <w:r>
              <w:rPr>
                <w:rFonts w:hint="eastAsia" w:ascii="宋体" w:hAnsi="宋体" w:eastAsia="宋体"/>
                <w:color w:val="1A1A1A"/>
              </w:rPr>
              <w:t>.</w:t>
            </w:r>
            <w:r>
              <w:rPr>
                <w:rFonts w:ascii="宋体" w:hAnsi="宋体" w:eastAsia="宋体"/>
                <w:color w:val="1A1A1A"/>
              </w:rPr>
              <w:t>07</w:t>
            </w:r>
            <w:r>
              <w:rPr>
                <w:rFonts w:hint="eastAsia" w:ascii="宋体" w:hAnsi="宋体" w:eastAsia="宋体"/>
                <w:color w:val="1A1A1A"/>
              </w:rPr>
              <w:t>%</w:t>
            </w:r>
          </w:p>
        </w:tc>
        <w:tc>
          <w:tcPr>
            <w:tcW w:w="1276"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p>
        </w:tc>
        <w:tc>
          <w:tcPr>
            <w:tcW w:w="1079"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前后端开发</w:t>
            </w:r>
          </w:p>
        </w:tc>
        <w:tc>
          <w:tcPr>
            <w:tcW w:w="1418"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24</w:t>
            </w:r>
          </w:p>
        </w:tc>
        <w:tc>
          <w:tcPr>
            <w:tcW w:w="4394" w:type="dxa"/>
            <w:tcBorders>
              <w:top w:val="single" w:color="BFBFBF" w:sz="4" w:space="0"/>
              <w:left w:val="single" w:color="BFBFBF" w:sz="4" w:space="0"/>
              <w:bottom w:val="single" w:color="BFBFBF" w:sz="4" w:space="0"/>
              <w:right w:val="single" w:color="BFBFBF" w:sz="4" w:space="0"/>
            </w:tcBorders>
          </w:tcPr>
          <w:p>
            <w:pPr>
              <w:ind w:firstLine="33" w:firstLineChars="15"/>
              <w:jc w:val="center"/>
              <w:rPr>
                <w:rFonts w:eastAsia="宋体"/>
              </w:rPr>
            </w:pPr>
            <w:r>
              <w:rPr>
                <w:rFonts w:ascii="宋体" w:hAnsi="宋体" w:eastAsia="宋体"/>
                <w:color w:val="1A1A1A"/>
              </w:rPr>
              <w:t>15</w:t>
            </w:r>
            <w:r>
              <w:rPr>
                <w:rFonts w:hint="eastAsia" w:ascii="宋体" w:hAnsi="宋体" w:eastAsia="宋体"/>
                <w:color w:val="1A1A1A"/>
              </w:rPr>
              <w:t>.</w:t>
            </w:r>
            <w:r>
              <w:rPr>
                <w:rFonts w:ascii="宋体" w:hAnsi="宋体" w:eastAsia="宋体"/>
                <w:color w:val="1A1A1A"/>
              </w:rPr>
              <w:t>69</w:t>
            </w:r>
            <w:r>
              <w:rPr>
                <w:rFonts w:hint="eastAsia" w:ascii="宋体" w:hAnsi="宋体" w:eastAsia="宋体"/>
                <w:color w:val="1A1A1A"/>
              </w:rPr>
              <w:t>%</w:t>
            </w:r>
          </w:p>
        </w:tc>
        <w:tc>
          <w:tcPr>
            <w:tcW w:w="1276" w:type="dxa"/>
            <w:tcBorders>
              <w:top w:val="single" w:color="BFBFBF" w:sz="4" w:space="0"/>
              <w:left w:val="single" w:color="BFBFBF" w:sz="4" w:space="0"/>
              <w:bottom w:val="single" w:color="BFBFBF" w:sz="4" w:space="0"/>
              <w:right w:val="single" w:color="BFBFBF" w:sz="4" w:space="0"/>
            </w:tcBorders>
          </w:tcPr>
          <w:p>
            <w:pPr>
              <w:ind w:firstLine="33" w:firstLineChars="15"/>
              <w:jc w:val="center"/>
            </w:pPr>
          </w:p>
        </w:tc>
        <w:tc>
          <w:tcPr>
            <w:tcW w:w="1079" w:type="dxa"/>
            <w:tcBorders>
              <w:top w:val="single" w:color="BFBFBF" w:sz="4" w:space="0"/>
              <w:left w:val="single" w:color="BFBFBF" w:sz="4" w:space="0"/>
              <w:bottom w:val="single" w:color="BFBFBF" w:sz="4" w:space="0"/>
              <w:right w:val="single" w:color="BFBFBF" w:sz="4" w:space="0"/>
            </w:tcBorders>
          </w:tcPr>
          <w:p>
            <w:pPr>
              <w:ind w:firstLine="33" w:firstLineChars="15"/>
              <w:jc w:val="center"/>
            </w:pP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部署</w:t>
            </w:r>
          </w:p>
        </w:tc>
        <w:tc>
          <w:tcPr>
            <w:tcW w:w="1418"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24</w:t>
            </w:r>
          </w:p>
        </w:tc>
        <w:tc>
          <w:tcPr>
            <w:tcW w:w="4394"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rPr>
                <w:rFonts w:eastAsia="宋体"/>
              </w:rPr>
            </w:pPr>
            <w:r>
              <w:rPr>
                <w:rFonts w:ascii="宋体" w:hAnsi="宋体" w:eastAsia="宋体"/>
                <w:color w:val="1A1A1A"/>
              </w:rPr>
              <w:t>15</w:t>
            </w:r>
            <w:r>
              <w:rPr>
                <w:rFonts w:hint="eastAsia" w:ascii="宋体" w:hAnsi="宋体" w:eastAsia="宋体"/>
                <w:color w:val="1A1A1A"/>
              </w:rPr>
              <w:t>.</w:t>
            </w:r>
            <w:r>
              <w:rPr>
                <w:rFonts w:ascii="宋体" w:hAnsi="宋体" w:eastAsia="宋体"/>
                <w:color w:val="1A1A1A"/>
              </w:rPr>
              <w:t>69</w:t>
            </w:r>
            <w:r>
              <w:rPr>
                <w:rFonts w:hint="eastAsia" w:ascii="宋体" w:hAnsi="宋体" w:eastAsia="宋体"/>
                <w:color w:val="1A1A1A"/>
              </w:rPr>
              <w:t>%</w:t>
            </w:r>
          </w:p>
        </w:tc>
        <w:tc>
          <w:tcPr>
            <w:tcW w:w="1276"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p>
        </w:tc>
        <w:tc>
          <w:tcPr>
            <w:tcW w:w="1079"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阶段会议</w:t>
            </w:r>
          </w:p>
        </w:tc>
        <w:tc>
          <w:tcPr>
            <w:tcW w:w="1418"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6</w:t>
            </w:r>
          </w:p>
        </w:tc>
        <w:tc>
          <w:tcPr>
            <w:tcW w:w="4394" w:type="dxa"/>
            <w:tcBorders>
              <w:top w:val="single" w:color="BFBFBF" w:sz="4" w:space="0"/>
              <w:left w:val="single" w:color="BFBFBF" w:sz="4" w:space="0"/>
              <w:bottom w:val="single" w:color="BFBFBF" w:sz="4" w:space="0"/>
              <w:right w:val="single" w:color="BFBFBF" w:sz="4" w:space="0"/>
            </w:tcBorders>
          </w:tcPr>
          <w:p>
            <w:pPr>
              <w:ind w:firstLine="33" w:firstLineChars="15"/>
              <w:jc w:val="center"/>
              <w:rPr>
                <w:rFonts w:eastAsia="宋体"/>
              </w:rPr>
            </w:pPr>
            <w:r>
              <w:rPr>
                <w:rFonts w:ascii="宋体" w:hAnsi="宋体" w:eastAsia="宋体"/>
                <w:color w:val="1A1A1A"/>
              </w:rPr>
              <w:t>3</w:t>
            </w:r>
            <w:r>
              <w:rPr>
                <w:rFonts w:hint="eastAsia" w:ascii="宋体" w:hAnsi="宋体" w:eastAsia="宋体"/>
                <w:color w:val="1A1A1A"/>
              </w:rPr>
              <w:t>.</w:t>
            </w:r>
            <w:r>
              <w:rPr>
                <w:rFonts w:ascii="宋体" w:hAnsi="宋体" w:eastAsia="宋体"/>
                <w:color w:val="1A1A1A"/>
              </w:rPr>
              <w:t>92</w:t>
            </w:r>
            <w:r>
              <w:rPr>
                <w:rFonts w:hint="eastAsia" w:ascii="宋体" w:hAnsi="宋体" w:eastAsia="宋体"/>
                <w:color w:val="1A1A1A"/>
              </w:rPr>
              <w:t>%</w:t>
            </w:r>
          </w:p>
        </w:tc>
        <w:tc>
          <w:tcPr>
            <w:tcW w:w="1276" w:type="dxa"/>
            <w:tcBorders>
              <w:top w:val="single" w:color="BFBFBF" w:sz="4" w:space="0"/>
              <w:left w:val="single" w:color="BFBFBF" w:sz="4" w:space="0"/>
              <w:bottom w:val="single" w:color="BFBFBF" w:sz="4" w:space="0"/>
              <w:right w:val="single" w:color="BFBFBF" w:sz="4" w:space="0"/>
            </w:tcBorders>
          </w:tcPr>
          <w:p>
            <w:pPr>
              <w:ind w:firstLine="33" w:firstLineChars="15"/>
              <w:jc w:val="center"/>
            </w:pPr>
          </w:p>
        </w:tc>
        <w:tc>
          <w:tcPr>
            <w:tcW w:w="1079" w:type="dxa"/>
            <w:tcBorders>
              <w:top w:val="single" w:color="BFBFBF" w:sz="4" w:space="0"/>
              <w:left w:val="single" w:color="BFBFBF" w:sz="4" w:space="0"/>
              <w:bottom w:val="single" w:color="BFBFBF" w:sz="4" w:space="0"/>
              <w:right w:val="single" w:color="BFBFBF" w:sz="4" w:space="0"/>
            </w:tcBorders>
          </w:tcPr>
          <w:p>
            <w:pPr>
              <w:ind w:firstLine="33" w:firstLineChars="15"/>
              <w:jc w:val="center"/>
            </w:pP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测试</w:t>
            </w:r>
          </w:p>
        </w:tc>
        <w:tc>
          <w:tcPr>
            <w:tcW w:w="1418"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r>
              <w:rPr>
                <w:rFonts w:ascii="宋体" w:hAnsi="宋体" w:eastAsia="宋体"/>
                <w:color w:val="1A1A1A"/>
              </w:rPr>
              <w:t>3</w:t>
            </w:r>
          </w:p>
        </w:tc>
        <w:tc>
          <w:tcPr>
            <w:tcW w:w="4394"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rPr>
                <w:rFonts w:eastAsia="宋体"/>
              </w:rPr>
            </w:pPr>
            <w:r>
              <w:rPr>
                <w:rFonts w:ascii="宋体" w:hAnsi="宋体" w:eastAsia="宋体"/>
                <w:color w:val="1A1A1A"/>
              </w:rPr>
              <w:t>1</w:t>
            </w:r>
            <w:r>
              <w:rPr>
                <w:rFonts w:hint="eastAsia" w:ascii="宋体" w:hAnsi="宋体" w:eastAsia="宋体"/>
                <w:color w:val="1A1A1A"/>
              </w:rPr>
              <w:t>.</w:t>
            </w:r>
            <w:r>
              <w:rPr>
                <w:rFonts w:ascii="宋体" w:hAnsi="宋体" w:eastAsia="宋体"/>
                <w:color w:val="1A1A1A"/>
              </w:rPr>
              <w:t>96</w:t>
            </w:r>
            <w:r>
              <w:rPr>
                <w:rFonts w:hint="eastAsia" w:ascii="宋体" w:hAnsi="宋体" w:eastAsia="宋体"/>
                <w:color w:val="1A1A1A"/>
              </w:rPr>
              <w:t>%</w:t>
            </w:r>
          </w:p>
        </w:tc>
        <w:tc>
          <w:tcPr>
            <w:tcW w:w="1276"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p>
        </w:tc>
        <w:tc>
          <w:tcPr>
            <w:tcW w:w="1079" w:type="dxa"/>
            <w:tcBorders>
              <w:top w:val="single" w:color="BFBFBF" w:sz="4" w:space="0"/>
              <w:left w:val="single" w:color="BFBFBF" w:sz="4" w:space="0"/>
              <w:bottom w:val="single" w:color="BFBFBF" w:sz="4" w:space="0"/>
              <w:right w:val="single" w:color="BFBFBF" w:sz="4" w:space="0"/>
            </w:tcBorders>
            <w:shd w:val="clear" w:color="auto" w:fill="F2F7FB"/>
          </w:tcPr>
          <w:p>
            <w:pPr>
              <w:ind w:firstLine="33" w:firstLineChars="15"/>
              <w:jc w:val="center"/>
            </w:pPr>
          </w:p>
        </w:tc>
      </w:tr>
      <w:tr>
        <w:tblPrEx>
          <w:tblCellMar>
            <w:top w:w="0" w:type="dxa"/>
            <w:left w:w="108" w:type="dxa"/>
            <w:bottom w:w="0" w:type="dxa"/>
            <w:right w:w="108" w:type="dxa"/>
          </w:tblCellMar>
        </w:tblPrEx>
        <w:trPr>
          <w:jc w:val="center"/>
        </w:trPr>
        <w:tc>
          <w:tcPr>
            <w:tcW w:w="1271"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合计</w:t>
            </w:r>
          </w:p>
        </w:tc>
        <w:tc>
          <w:tcPr>
            <w:tcW w:w="1418" w:type="dxa"/>
            <w:tcBorders>
              <w:top w:val="single" w:color="BFBFBF" w:sz="4" w:space="0"/>
              <w:left w:val="single" w:color="BFBFBF" w:sz="4" w:space="0"/>
              <w:bottom w:val="single" w:color="BFBFBF" w:sz="4" w:space="0"/>
              <w:right w:val="single" w:color="BFBFBF" w:sz="4" w:space="0"/>
            </w:tcBorders>
          </w:tcPr>
          <w:p>
            <w:pPr>
              <w:ind w:firstLine="33" w:firstLineChars="15"/>
              <w:jc w:val="center"/>
            </w:pPr>
            <w:r>
              <w:rPr>
                <w:rFonts w:ascii="宋体" w:hAnsi="宋体" w:eastAsia="宋体"/>
                <w:color w:val="1A1A1A"/>
              </w:rPr>
              <w:t>153</w:t>
            </w:r>
          </w:p>
        </w:tc>
        <w:tc>
          <w:tcPr>
            <w:tcW w:w="4394" w:type="dxa"/>
            <w:tcBorders>
              <w:top w:val="single" w:color="BFBFBF" w:sz="4" w:space="0"/>
              <w:left w:val="single" w:color="BFBFBF" w:sz="4" w:space="0"/>
              <w:bottom w:val="single" w:color="BFBFBF" w:sz="4" w:space="0"/>
              <w:right w:val="single" w:color="BFBFBF" w:sz="4" w:space="0"/>
            </w:tcBorders>
          </w:tcPr>
          <w:p>
            <w:pPr>
              <w:ind w:firstLine="33" w:firstLineChars="15"/>
              <w:jc w:val="center"/>
              <w:rPr>
                <w:rFonts w:eastAsia="宋体"/>
              </w:rPr>
            </w:pPr>
            <w:r>
              <w:rPr>
                <w:rFonts w:ascii="宋体" w:hAnsi="宋体" w:eastAsia="宋体"/>
                <w:color w:val="1A1A1A"/>
              </w:rPr>
              <w:t>1</w:t>
            </w:r>
            <w:r>
              <w:rPr>
                <w:rFonts w:hint="eastAsia" w:ascii="宋体" w:hAnsi="宋体" w:eastAsia="宋体"/>
                <w:color w:val="1A1A1A"/>
              </w:rPr>
              <w:t>00%</w:t>
            </w:r>
          </w:p>
        </w:tc>
        <w:tc>
          <w:tcPr>
            <w:tcW w:w="1276" w:type="dxa"/>
            <w:tcBorders>
              <w:top w:val="single" w:color="BFBFBF" w:sz="4" w:space="0"/>
              <w:left w:val="single" w:color="BFBFBF" w:sz="4" w:space="0"/>
              <w:bottom w:val="single" w:color="BFBFBF" w:sz="4" w:space="0"/>
              <w:right w:val="single" w:color="BFBFBF" w:sz="4" w:space="0"/>
            </w:tcBorders>
          </w:tcPr>
          <w:p>
            <w:pPr>
              <w:ind w:firstLine="33" w:firstLineChars="15"/>
              <w:jc w:val="center"/>
            </w:pPr>
          </w:p>
        </w:tc>
        <w:tc>
          <w:tcPr>
            <w:tcW w:w="1079" w:type="dxa"/>
            <w:tcBorders>
              <w:top w:val="single" w:color="BFBFBF" w:sz="4" w:space="0"/>
              <w:left w:val="single" w:color="BFBFBF" w:sz="4" w:space="0"/>
              <w:bottom w:val="single" w:color="BFBFBF" w:sz="4" w:space="0"/>
              <w:right w:val="single" w:color="BFBFBF" w:sz="4" w:space="0"/>
            </w:tcBorders>
          </w:tcPr>
          <w:p>
            <w:pPr>
              <w:ind w:firstLine="33" w:firstLineChars="15"/>
              <w:jc w:val="center"/>
            </w:pPr>
          </w:p>
        </w:tc>
      </w:tr>
    </w:tbl>
    <w:p>
      <w:pPr>
        <w:ind w:firstLine="0" w:firstLineChars="0"/>
      </w:pPr>
    </w:p>
    <w:p>
      <w:pPr>
        <w:ind w:firstLine="0" w:firstLineChars="0"/>
      </w:pPr>
    </w:p>
    <w:p>
      <w:pPr>
        <w:pStyle w:val="3"/>
        <w:rPr>
          <w:color w:val="4472C4" w:themeColor="accent1"/>
          <w14:textFill>
            <w14:solidFill>
              <w14:schemeClr w14:val="accent1"/>
            </w14:solidFill>
          </w14:textFill>
        </w:rPr>
      </w:pPr>
      <w:bookmarkStart w:id="74" w:name="_Toc17967"/>
      <w:r>
        <w:rPr>
          <w:color w:val="4472C4" w:themeColor="accent1"/>
          <w14:textFill>
            <w14:solidFill>
              <w14:schemeClr w14:val="accent1"/>
            </w14:solidFill>
          </w14:textFill>
        </w:rPr>
        <w:t xml:space="preserve">F </w:t>
      </w:r>
      <w:r>
        <w:rPr>
          <w:rFonts w:hint="eastAsia" w:eastAsia="宋体"/>
          <w:color w:val="4472C4" w:themeColor="accent1"/>
          <w14:textFill>
            <w14:solidFill>
              <w14:schemeClr w14:val="accent1"/>
            </w14:solidFill>
          </w14:textFill>
        </w:rPr>
        <w:t>.</w:t>
      </w:r>
      <w:r>
        <w:rPr>
          <w:color w:val="4472C4" w:themeColor="accent1"/>
          <w14:textFill>
            <w14:solidFill>
              <w14:schemeClr w14:val="accent1"/>
            </w14:solidFill>
          </w14:textFill>
        </w:rPr>
        <w:t>会议纪要</w:t>
      </w:r>
      <w:bookmarkEnd w:id="74"/>
    </w:p>
    <w:p>
      <w:pPr>
        <w:spacing w:after="120" w:line="360" w:lineRule="auto"/>
        <w:ind w:firstLine="440"/>
        <w:jc w:val="both"/>
        <w:outlineLvl w:val="0"/>
      </w:pPr>
      <w:bookmarkStart w:id="75" w:name="_Toc2043"/>
      <w:r>
        <w:rPr>
          <w:rFonts w:eastAsia="宋体"/>
          <w:color w:val="1A1A1A"/>
        </w:rPr>
        <w:t>以下为本项目开发过程中的全部会议纪要，记录了各次会议的讨论内容与决议事项。</w:t>
      </w:r>
      <w:bookmarkEnd w:id="75"/>
    </w:p>
    <w:p>
      <w:pPr>
        <w:spacing w:after="80" w:line="360" w:lineRule="auto"/>
        <w:ind w:firstLine="0" w:firstLineChars="0"/>
        <w:jc w:val="both"/>
        <w:rPr>
          <w:sz w:val="28"/>
          <w:szCs w:val="28"/>
        </w:rPr>
      </w:pPr>
      <w:r>
        <w:rPr>
          <w:rFonts w:eastAsia="宋体"/>
          <w:b/>
          <w:color w:val="1A1A1A"/>
          <w:sz w:val="28"/>
          <w:szCs w:val="28"/>
        </w:rPr>
        <w:t>3/12会议</w:t>
      </w:r>
    </w:p>
    <w:p>
      <w:pPr>
        <w:spacing w:after="80" w:line="360" w:lineRule="auto"/>
        <w:ind w:firstLine="440"/>
        <w:jc w:val="both"/>
      </w:pPr>
      <w:r>
        <w:rPr>
          <w:rFonts w:eastAsia="宋体"/>
          <w:color w:val="1A1A1A"/>
        </w:rPr>
        <w:t>本次会议主要是了解项目情况和相关要求。</w:t>
      </w:r>
    </w:p>
    <w:p>
      <w:pPr>
        <w:spacing w:after="80" w:line="360" w:lineRule="auto"/>
        <w:ind w:firstLine="0" w:firstLineChars="0"/>
        <w:jc w:val="both"/>
      </w:pPr>
      <w:r>
        <w:rPr>
          <w:rFonts w:eastAsia="宋体"/>
          <w:b/>
          <w:color w:val="1A1A1A"/>
        </w:rPr>
        <w:t>项目情况：</w:t>
      </w:r>
    </w:p>
    <w:p>
      <w:pPr>
        <w:spacing w:after="80" w:line="360" w:lineRule="auto"/>
        <w:ind w:firstLine="440"/>
        <w:jc w:val="both"/>
      </w:pPr>
      <w:r>
        <w:rPr>
          <w:rFonts w:eastAsia="宋体"/>
          <w:color w:val="1A1A1A"/>
        </w:rPr>
        <w:t>1.名称：石材幕墙污渍检测软件系统</w:t>
      </w:r>
    </w:p>
    <w:p>
      <w:pPr>
        <w:spacing w:after="80" w:line="360" w:lineRule="auto"/>
        <w:ind w:firstLine="440"/>
        <w:jc w:val="both"/>
      </w:pPr>
      <w:r>
        <w:rPr>
          <w:rFonts w:eastAsia="宋体"/>
          <w:color w:val="1A1A1A"/>
        </w:rPr>
        <w:t>2.目前已有该项目，但是识别成功率不高。</w:t>
      </w:r>
    </w:p>
    <w:p>
      <w:pPr>
        <w:spacing w:after="80" w:line="360" w:lineRule="auto"/>
        <w:ind w:firstLine="440"/>
        <w:jc w:val="both"/>
      </w:pPr>
      <w:r>
        <w:rPr>
          <w:rFonts w:eastAsia="宋体"/>
          <w:color w:val="1A1A1A"/>
        </w:rPr>
        <w:t>3.目的是把成功率从50％提升到70％以上。</w:t>
      </w:r>
    </w:p>
    <w:p>
      <w:pPr>
        <w:spacing w:after="80" w:line="360" w:lineRule="auto"/>
        <w:ind w:firstLine="440"/>
        <w:jc w:val="both"/>
      </w:pPr>
      <w:r>
        <w:rPr>
          <w:rFonts w:eastAsia="宋体"/>
          <w:color w:val="1A1A1A"/>
        </w:rPr>
        <w:t>4.污渍深浅问题：可以通过分级来解决</w:t>
      </w:r>
    </w:p>
    <w:p>
      <w:pPr>
        <w:spacing w:after="80" w:line="360" w:lineRule="auto"/>
        <w:ind w:firstLine="0" w:firstLineChars="0"/>
        <w:jc w:val="both"/>
      </w:pPr>
      <w:r>
        <w:rPr>
          <w:rFonts w:eastAsia="宋体"/>
          <w:b/>
          <w:color w:val="1A1A1A"/>
        </w:rPr>
        <w:t>项目要求：</w:t>
      </w:r>
    </w:p>
    <w:p>
      <w:pPr>
        <w:spacing w:after="80" w:line="360" w:lineRule="auto"/>
        <w:ind w:firstLine="440"/>
        <w:jc w:val="both"/>
      </w:pPr>
      <w:r>
        <w:rPr>
          <w:rFonts w:eastAsia="宋体"/>
          <w:color w:val="1A1A1A"/>
        </w:rPr>
        <w:t>1.工作时要统计工作量，人时</w:t>
      </w:r>
    </w:p>
    <w:p>
      <w:pPr>
        <w:spacing w:after="80" w:line="360" w:lineRule="auto"/>
        <w:ind w:firstLine="440"/>
        <w:jc w:val="both"/>
      </w:pPr>
      <w:r>
        <w:rPr>
          <w:rFonts w:eastAsia="宋体"/>
          <w:color w:val="1A1A1A"/>
        </w:rPr>
        <w:t>2.每两周开一次会，得会议纪要：目标，问题，解决方案（是否解决，下一步做法）</w:t>
      </w:r>
    </w:p>
    <w:p>
      <w:pPr>
        <w:spacing w:after="80" w:line="360" w:lineRule="auto"/>
        <w:ind w:firstLine="440"/>
        <w:jc w:val="both"/>
      </w:pPr>
      <w:r>
        <w:rPr>
          <w:rFonts w:eastAsia="宋体"/>
          <w:color w:val="1A1A1A"/>
        </w:rPr>
        <w:t>3.按照现有的前端页面和后端框架来（vue+mysql）</w:t>
      </w:r>
    </w:p>
    <w:p>
      <w:pPr>
        <w:spacing w:after="80" w:line="360" w:lineRule="auto"/>
        <w:ind w:firstLine="440"/>
        <w:jc w:val="both"/>
      </w:pPr>
      <w:r>
        <w:rPr>
          <w:rFonts w:eastAsia="宋体"/>
          <w:color w:val="1A1A1A"/>
        </w:rPr>
        <w:t>4.数据集一部分会提供，另一部分自己拍</w:t>
      </w:r>
    </w:p>
    <w:p>
      <w:pPr>
        <w:spacing w:after="80" w:line="360" w:lineRule="auto"/>
        <w:ind w:firstLine="0" w:firstLineChars="0"/>
        <w:jc w:val="both"/>
        <w:rPr>
          <w:sz w:val="28"/>
          <w:szCs w:val="28"/>
        </w:rPr>
      </w:pPr>
      <w:r>
        <w:rPr>
          <w:rFonts w:eastAsia="宋体"/>
          <w:b/>
          <w:color w:val="1A1A1A"/>
          <w:sz w:val="28"/>
          <w:szCs w:val="28"/>
        </w:rPr>
        <w:t>4/15会议</w:t>
      </w:r>
    </w:p>
    <w:p>
      <w:pPr>
        <w:spacing w:after="80" w:line="360" w:lineRule="auto"/>
        <w:ind w:firstLine="0" w:firstLineChars="0"/>
        <w:jc w:val="both"/>
      </w:pPr>
      <w:r>
        <w:rPr>
          <w:rFonts w:eastAsia="宋体"/>
          <w:b/>
          <w:color w:val="1A1A1A"/>
        </w:rPr>
        <w:t>会议展示：</w:t>
      </w:r>
    </w:p>
    <w:p>
      <w:pPr>
        <w:spacing w:after="80" w:line="360" w:lineRule="auto"/>
        <w:ind w:firstLine="440"/>
        <w:jc w:val="both"/>
      </w:pPr>
      <w:r>
        <w:rPr>
          <w:rFonts w:eastAsia="宋体"/>
          <w:color w:val="1A1A1A"/>
        </w:rPr>
        <w:t>1.正在标注的数据集</w:t>
      </w:r>
    </w:p>
    <w:p>
      <w:pPr>
        <w:spacing w:after="80" w:line="360" w:lineRule="auto"/>
        <w:ind w:firstLine="440"/>
        <w:jc w:val="both"/>
      </w:pPr>
      <w:r>
        <w:rPr>
          <w:rFonts w:eastAsia="宋体"/>
          <w:color w:val="1A1A1A"/>
        </w:rPr>
        <w:t>2.初步训练的模型</w:t>
      </w:r>
    </w:p>
    <w:p>
      <w:pPr>
        <w:spacing w:after="80" w:line="360" w:lineRule="auto"/>
        <w:ind w:firstLine="0" w:firstLineChars="0"/>
        <w:jc w:val="both"/>
      </w:pPr>
      <w:r>
        <w:rPr>
          <w:rFonts w:eastAsia="宋体"/>
          <w:b/>
          <w:color w:val="1A1A1A"/>
        </w:rPr>
        <w:t>问题：</w:t>
      </w:r>
    </w:p>
    <w:p>
      <w:pPr>
        <w:spacing w:after="80" w:line="360" w:lineRule="auto"/>
        <w:ind w:firstLine="440"/>
        <w:jc w:val="both"/>
      </w:pPr>
      <w:r>
        <w:rPr>
          <w:rFonts w:eastAsia="宋体"/>
          <w:color w:val="1A1A1A"/>
        </w:rPr>
        <w:t>1.沟通太少，以至于很多问题无法及时解决</w:t>
      </w:r>
    </w:p>
    <w:p>
      <w:pPr>
        <w:spacing w:after="80" w:line="360" w:lineRule="auto"/>
        <w:ind w:firstLine="440"/>
        <w:jc w:val="both"/>
      </w:pPr>
      <w:r>
        <w:rPr>
          <w:rFonts w:eastAsia="宋体"/>
          <w:color w:val="1A1A1A"/>
        </w:rPr>
        <w:t>2.自己标注图片时，标注的主观性是否影响最终结果？</w:t>
      </w:r>
    </w:p>
    <w:p>
      <w:pPr>
        <w:spacing w:after="80" w:line="360" w:lineRule="auto"/>
        <w:ind w:firstLine="440"/>
        <w:jc w:val="both"/>
      </w:pPr>
      <w:r>
        <w:rPr>
          <w:rFonts w:eastAsia="宋体"/>
          <w:color w:val="1A1A1A"/>
        </w:rPr>
        <w:t>3.是否需负责前端页面的制作？</w:t>
      </w:r>
    </w:p>
    <w:p>
      <w:pPr>
        <w:spacing w:after="80" w:line="360" w:lineRule="auto"/>
        <w:ind w:firstLine="0" w:firstLineChars="0"/>
        <w:jc w:val="both"/>
      </w:pPr>
      <w:r>
        <w:rPr>
          <w:rFonts w:eastAsia="宋体"/>
          <w:b/>
          <w:color w:val="1A1A1A"/>
        </w:rPr>
        <w:t>解决方案：</w:t>
      </w:r>
    </w:p>
    <w:p>
      <w:pPr>
        <w:spacing w:after="80" w:line="360" w:lineRule="auto"/>
        <w:ind w:firstLine="440"/>
        <w:jc w:val="both"/>
      </w:pPr>
      <w:r>
        <w:rPr>
          <w:rFonts w:eastAsia="宋体"/>
          <w:color w:val="1A1A1A"/>
        </w:rPr>
        <w:t>1.截止日期经老师提醒改到5月20日</w:t>
      </w:r>
    </w:p>
    <w:p>
      <w:pPr>
        <w:spacing w:after="80" w:line="360" w:lineRule="auto"/>
        <w:ind w:firstLine="440"/>
        <w:jc w:val="both"/>
      </w:pPr>
      <w:r>
        <w:rPr>
          <w:rFonts w:eastAsia="宋体"/>
          <w:color w:val="1A1A1A"/>
        </w:rPr>
        <w:t>2.自己标注图片的方式是对的</w:t>
      </w:r>
    </w:p>
    <w:p>
      <w:pPr>
        <w:spacing w:after="80" w:line="360" w:lineRule="auto"/>
        <w:ind w:firstLine="440"/>
        <w:jc w:val="both"/>
      </w:pPr>
      <w:r>
        <w:rPr>
          <w:rFonts w:eastAsia="宋体"/>
          <w:color w:val="1A1A1A"/>
        </w:rPr>
        <w:t>3.要分析往届的算法，找出其中的不足，以此改进自己的</w:t>
      </w:r>
    </w:p>
    <w:p>
      <w:pPr>
        <w:spacing w:after="80" w:line="360" w:lineRule="auto"/>
        <w:ind w:firstLine="440"/>
        <w:jc w:val="both"/>
      </w:pPr>
      <w:r>
        <w:rPr>
          <w:rFonts w:eastAsia="宋体"/>
          <w:color w:val="1A1A1A"/>
        </w:rPr>
        <w:t>4.前端页面直接复用已有的</w:t>
      </w:r>
    </w:p>
    <w:p>
      <w:pPr>
        <w:spacing w:after="80" w:line="360" w:lineRule="auto"/>
        <w:ind w:firstLine="440"/>
        <w:jc w:val="both"/>
      </w:pPr>
      <w:r>
        <w:rPr>
          <w:rFonts w:eastAsia="宋体"/>
          <w:color w:val="1A1A1A"/>
        </w:rPr>
        <w:t>5.学校服务器不再支持，训练需借助自己设备(笔记本电脑游戏本即可)</w:t>
      </w:r>
    </w:p>
    <w:p>
      <w:pPr>
        <w:spacing w:after="80" w:line="360" w:lineRule="auto"/>
        <w:ind w:firstLine="440"/>
        <w:jc w:val="both"/>
      </w:pPr>
      <w:r>
        <w:rPr>
          <w:rFonts w:eastAsia="宋体"/>
          <w:color w:val="1A1A1A"/>
        </w:rPr>
        <w:t>6.要多沟通，以后每周都有直面老师的沟通交流</w:t>
      </w:r>
    </w:p>
    <w:p>
      <w:pPr>
        <w:spacing w:after="80" w:line="360" w:lineRule="auto"/>
        <w:ind w:firstLine="0" w:firstLineChars="0"/>
        <w:jc w:val="both"/>
        <w:rPr>
          <w:sz w:val="28"/>
          <w:szCs w:val="28"/>
        </w:rPr>
      </w:pPr>
      <w:r>
        <w:rPr>
          <w:rFonts w:eastAsia="宋体"/>
          <w:b/>
          <w:color w:val="1A1A1A"/>
          <w:sz w:val="28"/>
          <w:szCs w:val="28"/>
        </w:rPr>
        <w:t>4/22会议</w:t>
      </w:r>
    </w:p>
    <w:p>
      <w:pPr>
        <w:pStyle w:val="4"/>
        <w:rPr>
          <w:color w:val="000000" w:themeColor="text1"/>
          <w:sz w:val="22"/>
          <w:szCs w:val="22"/>
          <w14:textFill>
            <w14:solidFill>
              <w14:schemeClr w14:val="tx1"/>
            </w14:solidFill>
          </w14:textFill>
        </w:rPr>
      </w:pPr>
      <w:bookmarkStart w:id="76" w:name="_Toc11249"/>
      <w:r>
        <w:rPr>
          <w:color w:val="000000" w:themeColor="text1"/>
          <w:sz w:val="22"/>
          <w:szCs w:val="22"/>
          <w14:textFill>
            <w14:solidFill>
              <w14:schemeClr w14:val="tx1"/>
            </w14:solidFill>
          </w14:textFill>
        </w:rPr>
        <w:t>会议展示：</w:t>
      </w:r>
      <w:bookmarkEnd w:id="76"/>
    </w:p>
    <w:p>
      <w:pPr>
        <w:pStyle w:val="4"/>
        <w:rPr>
          <w:color w:val="000000" w:themeColor="text1"/>
          <w:sz w:val="22"/>
          <w:szCs w:val="22"/>
          <w14:textFill>
            <w14:solidFill>
              <w14:schemeClr w14:val="tx1"/>
            </w14:solidFill>
          </w14:textFill>
        </w:rPr>
      </w:pPr>
      <w:bookmarkStart w:id="77" w:name="_Toc23662"/>
      <w:r>
        <w:rPr>
          <w:color w:val="000000" w:themeColor="text1"/>
          <w:sz w:val="22"/>
          <w:szCs w:val="22"/>
          <w14:textFill>
            <w14:solidFill>
              <w14:schemeClr w14:val="tx1"/>
            </w14:solidFill>
          </w14:textFill>
        </w:rPr>
        <w:t>1.甘特图修正</w:t>
      </w:r>
      <w:bookmarkEnd w:id="77"/>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对时间进度安排进行调整，加快项目进程</w:t>
      </w:r>
    </w:p>
    <w:p>
      <w:pPr>
        <w:spacing w:after="80" w:line="360" w:lineRule="auto"/>
        <w:ind w:firstLine="440"/>
        <w:jc w:val="both"/>
        <w:rPr>
          <w:rFonts w:eastAsia="宋体"/>
          <w:color w:val="000000" w:themeColor="text1"/>
          <w14:textFill>
            <w14:solidFill>
              <w14:schemeClr w14:val="tx1"/>
            </w14:solidFill>
          </w14:textFill>
        </w:rPr>
      </w:pPr>
      <w:r>
        <w:rPr>
          <w:rFonts w:eastAsia="宋体"/>
          <w:color w:val="000000" w:themeColor="text1"/>
          <w14:textFill>
            <w14:solidFill>
              <w14:schemeClr w14:val="tx1"/>
            </w14:solidFill>
          </w14:textFill>
        </w:rPr>
        <w:t>调整一些活动项</w:t>
      </w:r>
    </w:p>
    <w:p>
      <w:pPr>
        <w:spacing w:after="80" w:line="360" w:lineRule="auto"/>
        <w:ind w:firstLine="440"/>
        <w:jc w:val="both"/>
        <w:rPr>
          <w:rFonts w:eastAsia="宋体"/>
          <w:color w:val="000000" w:themeColor="text1"/>
          <w14:textFill>
            <w14:solidFill>
              <w14:schemeClr w14:val="tx1"/>
            </w14:solidFill>
          </w14:textFill>
        </w:rPr>
      </w:pPr>
      <w:r>
        <w:drawing>
          <wp:inline distT="0" distB="0" distL="114300" distR="114300">
            <wp:extent cx="5006340" cy="4118610"/>
            <wp:effectExtent l="0" t="0" r="7620" b="11430"/>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11"/>
                    <a:stretch>
                      <a:fillRect/>
                    </a:stretch>
                  </pic:blipFill>
                  <pic:spPr>
                    <a:xfrm>
                      <a:off x="0" y="0"/>
                      <a:ext cx="5006340" cy="4118610"/>
                    </a:xfrm>
                    <a:prstGeom prst="rect">
                      <a:avLst/>
                    </a:prstGeom>
                    <a:noFill/>
                    <a:ln w="9525">
                      <a:noFill/>
                    </a:ln>
                  </pic:spPr>
                </pic:pic>
              </a:graphicData>
            </a:graphic>
          </wp:inline>
        </w:drawing>
      </w:r>
    </w:p>
    <w:p>
      <w:pPr>
        <w:pStyle w:val="4"/>
        <w:rPr>
          <w:color w:val="000000" w:themeColor="text1"/>
          <w:sz w:val="22"/>
          <w:szCs w:val="22"/>
          <w14:textFill>
            <w14:solidFill>
              <w14:schemeClr w14:val="tx1"/>
            </w14:solidFill>
          </w14:textFill>
        </w:rPr>
      </w:pPr>
      <w:bookmarkStart w:id="78" w:name="_Toc11406"/>
      <w:r>
        <w:rPr>
          <w:color w:val="000000" w:themeColor="text1"/>
          <w:sz w:val="22"/>
          <w:szCs w:val="22"/>
          <w14:textFill>
            <w14:solidFill>
              <w14:schemeClr w14:val="tx1"/>
            </w14:solidFill>
          </w14:textFill>
        </w:rPr>
        <w:t>2.原来模型分析</w:t>
      </w:r>
      <w:bookmarkEnd w:id="78"/>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我们只拿到后端代码和1个best.py（由yolov8n-seg训练而来）模型</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通过分析原来的模型，它的各项指标（准确率、召回率、map)都很高，但实际检测效果并不好，猜测原因就是数据集质量差，数据少、标签简单</w:t>
      </w:r>
    </w:p>
    <w:p>
      <w:pPr>
        <w:spacing w:after="80" w:line="360" w:lineRule="auto"/>
        <w:ind w:firstLine="440"/>
        <w:jc w:val="both"/>
        <w:rPr>
          <w:rFonts w:eastAsia="宋体"/>
          <w:color w:val="000000" w:themeColor="text1"/>
          <w14:textFill>
            <w14:solidFill>
              <w14:schemeClr w14:val="tx1"/>
            </w14:solidFill>
          </w14:textFill>
        </w:rPr>
      </w:pPr>
      <w:r>
        <w:rPr>
          <w:rFonts w:eastAsia="宋体"/>
          <w:color w:val="000000" w:themeColor="text1"/>
          <w14:textFill>
            <w14:solidFill>
              <w14:schemeClr w14:val="tx1"/>
            </w14:solidFill>
          </w14:textFill>
        </w:rPr>
        <w:t>模型泛化能力弱 -&gt; 实际检测效果差</w:t>
      </w:r>
    </w:p>
    <w:p>
      <w:pPr>
        <w:spacing w:after="80" w:line="360" w:lineRule="auto"/>
        <w:ind w:firstLine="440"/>
        <w:jc w:val="both"/>
        <w:rPr>
          <w:rFonts w:eastAsia="宋体"/>
          <w:color w:val="000000" w:themeColor="text1"/>
          <w14:textFill>
            <w14:solidFill>
              <w14:schemeClr w14:val="tx1"/>
            </w14:solidFill>
          </w14:textFill>
        </w:rPr>
      </w:pPr>
      <w:r>
        <w:drawing>
          <wp:inline distT="0" distB="0" distL="114300" distR="114300">
            <wp:extent cx="6010910" cy="2910840"/>
            <wp:effectExtent l="0" t="0" r="8890" b="0"/>
            <wp:docPr id="5" name="图片 5"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IMG_257"/>
                    <pic:cNvPicPr>
                      <a:picLocks noChangeAspect="1"/>
                    </pic:cNvPicPr>
                  </pic:nvPicPr>
                  <pic:blipFill>
                    <a:blip r:embed="rId12"/>
                    <a:stretch>
                      <a:fillRect/>
                    </a:stretch>
                  </pic:blipFill>
                  <pic:spPr>
                    <a:xfrm>
                      <a:off x="0" y="0"/>
                      <a:ext cx="6010910" cy="2910840"/>
                    </a:xfrm>
                    <a:prstGeom prst="rect">
                      <a:avLst/>
                    </a:prstGeom>
                    <a:noFill/>
                    <a:ln w="9525">
                      <a:noFill/>
                    </a:ln>
                  </pic:spPr>
                </pic:pic>
              </a:graphicData>
            </a:graphic>
          </wp:inline>
        </w:drawing>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解决方法：优化数据集质量，对污渍进行程度划分，提高标签质量，采用最新yolo26-seg模型,并进行算法改进</w:t>
      </w:r>
    </w:p>
    <w:p>
      <w:pPr>
        <w:spacing w:after="80" w:line="360" w:lineRule="auto"/>
        <w:ind w:firstLine="440"/>
        <w:jc w:val="both"/>
        <w:rPr>
          <w:rFonts w:eastAsia="宋体"/>
          <w:color w:val="000000" w:themeColor="text1"/>
          <w14:textFill>
            <w14:solidFill>
              <w14:schemeClr w14:val="tx1"/>
            </w14:solidFill>
          </w14:textFill>
        </w:rPr>
      </w:pPr>
      <w:r>
        <w:rPr>
          <w:rFonts w:eastAsia="宋体"/>
          <w:color w:val="000000" w:themeColor="text1"/>
          <w14:textFill>
            <w14:solidFill>
              <w14:schemeClr w14:val="tx1"/>
            </w14:solidFill>
          </w14:textFill>
        </w:rPr>
        <w:t>进度：目前数据集已收集到720张，包含部分原来的数据集、公开数据集平台(kaggle/roboflow)收集、自己拍摄的照片</w:t>
      </w:r>
    </w:p>
    <w:p>
      <w:pPr>
        <w:spacing w:after="80" w:line="360" w:lineRule="auto"/>
        <w:ind w:firstLine="440"/>
        <w:jc w:val="both"/>
        <w:rPr>
          <w:rFonts w:eastAsia="宋体"/>
          <w:color w:val="000000" w:themeColor="text1"/>
          <w14:textFill>
            <w14:solidFill>
              <w14:schemeClr w14:val="tx1"/>
            </w14:solidFill>
          </w14:textFill>
        </w:rPr>
      </w:pPr>
    </w:p>
    <w:p>
      <w:pPr>
        <w:pStyle w:val="4"/>
        <w:rPr>
          <w:color w:val="000000" w:themeColor="text1"/>
          <w:sz w:val="22"/>
          <w:szCs w:val="22"/>
          <w14:textFill>
            <w14:solidFill>
              <w14:schemeClr w14:val="tx1"/>
            </w14:solidFill>
          </w14:textFill>
        </w:rPr>
      </w:pPr>
      <w:bookmarkStart w:id="79" w:name="_Toc13146"/>
      <w:r>
        <w:rPr>
          <w:color w:val="000000" w:themeColor="text1"/>
          <w:sz w:val="22"/>
          <w:szCs w:val="22"/>
          <w14:textFill>
            <w14:solidFill>
              <w14:schemeClr w14:val="tx1"/>
            </w14:solidFill>
          </w14:textFill>
        </w:rPr>
        <w:t>3.前端代码</w:t>
      </w:r>
      <w:bookmarkEnd w:id="79"/>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前端代码是个总系统，而后端又是子系统，就各种api接口也接不上，数据库sql没有，压根运行不了。</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自己也早就完成了前后端，并完成相应功能</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把原来前端的石材污渍检测界面复制移植到了我们的前端</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所以我们目的：不修改原来项目的前后端，我们的任务只要是训练出好模型，我们自己做的前后端只是方便我们展示效果（原来的实在运行不来），最后把模型交给项目组</w:t>
      </w:r>
    </w:p>
    <w:p>
      <w:pPr>
        <w:spacing w:after="80" w:line="360" w:lineRule="auto"/>
        <w:ind w:firstLine="0" w:firstLineChars="0"/>
        <w:jc w:val="both"/>
        <w:rPr>
          <w:color w:val="000000" w:themeColor="text1"/>
          <w14:textFill>
            <w14:solidFill>
              <w14:schemeClr w14:val="tx1"/>
            </w14:solidFill>
          </w14:textFill>
        </w:rPr>
      </w:pPr>
      <w:r>
        <w:rPr>
          <w:rFonts w:eastAsia="宋体"/>
          <w:b/>
          <w:color w:val="000000" w:themeColor="text1"/>
          <w14:textFill>
            <w14:solidFill>
              <w14:schemeClr w14:val="tx1"/>
            </w14:solidFill>
          </w14:textFill>
        </w:rPr>
        <w:t>问题：</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1.污渍目前分级是否合理？</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2.前端在直接接入困难的情况下，上述的前端移植方案是否合理？</w:t>
      </w:r>
    </w:p>
    <w:p>
      <w:pPr>
        <w:spacing w:after="80" w:line="360" w:lineRule="auto"/>
        <w:ind w:firstLine="0" w:firstLineChars="0"/>
        <w:jc w:val="both"/>
        <w:rPr>
          <w:color w:val="000000" w:themeColor="text1"/>
          <w14:textFill>
            <w14:solidFill>
              <w14:schemeClr w14:val="tx1"/>
            </w14:solidFill>
          </w14:textFill>
        </w:rPr>
      </w:pPr>
      <w:r>
        <w:rPr>
          <w:rFonts w:eastAsia="宋体"/>
          <w:b/>
          <w:color w:val="000000" w:themeColor="text1"/>
          <w14:textFill>
            <w14:solidFill>
              <w14:schemeClr w14:val="tx1"/>
            </w14:solidFill>
          </w14:textFill>
        </w:rPr>
        <w:t>解决方案：</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1.前端不要自己做，还是和之前的前端想办法对接</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2.在校园里可以实地拍一些污渍照片</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3.先不管前端后端，目前主要注重于算法的选择和模型的训练</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4.污渍分三个等级就够了</w:t>
      </w:r>
    </w:p>
    <w:p>
      <w:pPr>
        <w:spacing w:after="80" w:line="360" w:lineRule="auto"/>
        <w:ind w:firstLine="0" w:firstLineChars="0"/>
        <w:jc w:val="both"/>
        <w:rPr>
          <w:color w:val="000000" w:themeColor="text1"/>
          <w:sz w:val="28"/>
          <w:szCs w:val="28"/>
          <w14:textFill>
            <w14:solidFill>
              <w14:schemeClr w14:val="tx1"/>
            </w14:solidFill>
          </w14:textFill>
        </w:rPr>
      </w:pPr>
      <w:r>
        <w:rPr>
          <w:rFonts w:eastAsia="宋体"/>
          <w:b/>
          <w:color w:val="000000" w:themeColor="text1"/>
          <w:sz w:val="28"/>
          <w:szCs w:val="28"/>
          <w14:textFill>
            <w14:solidFill>
              <w14:schemeClr w14:val="tx1"/>
            </w14:solidFill>
          </w14:textFill>
        </w:rPr>
        <w:t>4/29会议</w:t>
      </w:r>
    </w:p>
    <w:p>
      <w:pPr>
        <w:spacing w:after="80" w:line="360" w:lineRule="auto"/>
        <w:ind w:firstLine="0" w:firstLineChars="0"/>
        <w:jc w:val="both"/>
        <w:rPr>
          <w:color w:val="000000" w:themeColor="text1"/>
          <w14:textFill>
            <w14:solidFill>
              <w14:schemeClr w14:val="tx1"/>
            </w14:solidFill>
          </w14:textFill>
        </w:rPr>
      </w:pPr>
      <w:r>
        <w:rPr>
          <w:rFonts w:eastAsia="宋体"/>
          <w:b/>
          <w:color w:val="000000" w:themeColor="text1"/>
          <w14:textFill>
            <w14:solidFill>
              <w14:schemeClr w14:val="tx1"/>
            </w14:solidFill>
          </w14:textFill>
        </w:rPr>
        <w:t>会议展示：</w:t>
      </w:r>
    </w:p>
    <w:p>
      <w:pPr>
        <w:numPr>
          <w:ilvl w:val="0"/>
          <w:numId w:val="3"/>
        </w:numPr>
        <w:spacing w:after="80" w:line="360" w:lineRule="auto"/>
        <w:ind w:firstLine="440"/>
        <w:jc w:val="both"/>
        <w:rPr>
          <w:rFonts w:eastAsia="宋体"/>
          <w:color w:val="000000" w:themeColor="text1"/>
          <w14:textFill>
            <w14:solidFill>
              <w14:schemeClr w14:val="tx1"/>
            </w14:solidFill>
          </w14:textFill>
        </w:rPr>
      </w:pPr>
      <w:r>
        <w:rPr>
          <w:rFonts w:eastAsia="宋体"/>
          <w:color w:val="000000" w:themeColor="text1"/>
          <w14:textFill>
            <w14:solidFill>
              <w14:schemeClr w14:val="tx1"/>
            </w14:solidFill>
          </w14:textFill>
        </w:rPr>
        <w:t>在校园转了一整圈，拍摄了一些实际的污渍图片，并结合之前有的图片，在“light-moderate-severe”三个等级下重新进行了标注，目前已经标注了300多张图片。预期在下次会议前可将剩下的400张全部标注完</w:t>
      </w:r>
    </w:p>
    <w:p>
      <w:pPr>
        <w:spacing w:after="80" w:line="360" w:lineRule="auto"/>
        <w:ind w:firstLine="0" w:firstLineChars="0"/>
        <w:jc w:val="both"/>
        <w:rPr>
          <w:rFonts w:eastAsia="宋体"/>
          <w:color w:val="000000" w:themeColor="text1"/>
          <w14:textFill>
            <w14:solidFill>
              <w14:schemeClr w14:val="tx1"/>
            </w14:solidFill>
          </w14:textFill>
        </w:rPr>
      </w:pPr>
      <w:r>
        <w:drawing>
          <wp:inline distT="0" distB="0" distL="114300" distR="114300">
            <wp:extent cx="5763895" cy="3239135"/>
            <wp:effectExtent l="0" t="0" r="12065" b="6985"/>
            <wp:docPr id="6"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IMG_256"/>
                    <pic:cNvPicPr>
                      <a:picLocks noChangeAspect="1"/>
                    </pic:cNvPicPr>
                  </pic:nvPicPr>
                  <pic:blipFill>
                    <a:blip r:embed="rId13"/>
                    <a:stretch>
                      <a:fillRect/>
                    </a:stretch>
                  </pic:blipFill>
                  <pic:spPr>
                    <a:xfrm>
                      <a:off x="0" y="0"/>
                      <a:ext cx="5763895" cy="3239135"/>
                    </a:xfrm>
                    <a:prstGeom prst="rect">
                      <a:avLst/>
                    </a:prstGeom>
                    <a:noFill/>
                    <a:ln w="9525">
                      <a:noFill/>
                    </a:ln>
                  </pic:spPr>
                </pic:pic>
              </a:graphicData>
            </a:graphic>
          </wp:inline>
        </w:drawing>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2.之前已经用现有的yolo26v模型进行过初步训练(100张左右小数据集)，但由于之前用的四层分级"very light-light-moderate-severe"太繁琐，以及数据集太少，导致效果不好</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之后准备1)在这个yolo26v上用新数据集再试试</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2)新的算法尝试:</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a.</w:t>
      </w:r>
      <w:r>
        <w:rPr>
          <w:rFonts w:hint="eastAsia" w:eastAsia="宋体"/>
          <w:color w:val="000000" w:themeColor="text1"/>
          <w14:textFill>
            <w14:solidFill>
              <w14:schemeClr w14:val="tx1"/>
            </w14:solidFill>
          </w14:textFill>
        </w:rPr>
        <w:t>一篇</w:t>
      </w:r>
      <w:r>
        <w:rPr>
          <w:rFonts w:eastAsia="宋体"/>
          <w:color w:val="000000" w:themeColor="text1"/>
          <w14:textFill>
            <w14:solidFill>
              <w14:schemeClr w14:val="tx1"/>
            </w14:solidFill>
          </w14:textFill>
        </w:rPr>
        <w:t>论文</w:t>
      </w:r>
      <w:r>
        <w:rPr>
          <w:rFonts w:hint="eastAsia" w:eastAsia="宋体"/>
          <w:color w:val="000000" w:themeColor="text1"/>
          <w14:textFill>
            <w14:solidFill>
              <w14:schemeClr w14:val="tx1"/>
            </w14:solidFill>
          </w14:textFill>
        </w:rPr>
        <w:t>中</w:t>
      </w:r>
      <w:r>
        <w:rPr>
          <w:rFonts w:eastAsia="宋体"/>
          <w:color w:val="000000" w:themeColor="text1"/>
          <w14:textFill>
            <w14:solidFill>
              <w14:schemeClr w14:val="tx1"/>
            </w14:solidFill>
          </w14:textFill>
        </w:rPr>
        <w:t>提到的unet算法</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b.用新数据集在SAM3模型基础上训练</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3.与项目前后端接通人员取得联系,获取到前端部署文档</w:t>
      </w:r>
    </w:p>
    <w:p>
      <w:pPr>
        <w:spacing w:after="80" w:line="360" w:lineRule="auto"/>
        <w:ind w:firstLine="0" w:firstLineChars="0"/>
        <w:jc w:val="both"/>
        <w:rPr>
          <w:color w:val="000000" w:themeColor="text1"/>
          <w14:textFill>
            <w14:solidFill>
              <w14:schemeClr w14:val="tx1"/>
            </w14:solidFill>
          </w14:textFill>
        </w:rPr>
      </w:pPr>
      <w:r>
        <w:rPr>
          <w:rFonts w:eastAsia="宋体"/>
          <w:b/>
          <w:color w:val="000000" w:themeColor="text1"/>
          <w14:textFill>
            <w14:solidFill>
              <w14:schemeClr w14:val="tx1"/>
            </w14:solidFill>
          </w14:textFill>
        </w:rPr>
        <w:t>问题：</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1.目前数据集不够，划分不合理。</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2.目前模型算法太单一</w:t>
      </w:r>
    </w:p>
    <w:p>
      <w:pPr>
        <w:spacing w:after="80" w:line="360" w:lineRule="auto"/>
        <w:ind w:firstLine="0" w:firstLineChars="0"/>
        <w:jc w:val="both"/>
        <w:rPr>
          <w:color w:val="000000" w:themeColor="text1"/>
          <w14:textFill>
            <w14:solidFill>
              <w14:schemeClr w14:val="tx1"/>
            </w14:solidFill>
          </w14:textFill>
        </w:rPr>
      </w:pPr>
      <w:r>
        <w:rPr>
          <w:rFonts w:eastAsia="宋体"/>
          <w:b/>
          <w:color w:val="000000" w:themeColor="text1"/>
          <w14:textFill>
            <w14:solidFill>
              <w14:schemeClr w14:val="tx1"/>
            </w14:solidFill>
          </w14:textFill>
        </w:rPr>
        <w:t>解决方案：</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1.图片数据集由原本的七百多张经翻转等操作扩展到3000张，大概70%训练集，20%验证集，10%测试集</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2.除了yolo26之外，yolo11,yolo12也可以用着试一试，效果未必哪个更好</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3.要用多种(3)算法试一试</w:t>
      </w:r>
    </w:p>
    <w:p>
      <w:pPr>
        <w:spacing w:after="80" w:line="360" w:lineRule="auto"/>
        <w:ind w:firstLine="0" w:firstLineChars="0"/>
        <w:jc w:val="both"/>
        <w:rPr>
          <w:color w:val="000000" w:themeColor="text1"/>
          <w:sz w:val="28"/>
          <w:szCs w:val="28"/>
          <w14:textFill>
            <w14:solidFill>
              <w14:schemeClr w14:val="tx1"/>
            </w14:solidFill>
          </w14:textFill>
        </w:rPr>
      </w:pPr>
      <w:r>
        <w:rPr>
          <w:rFonts w:eastAsia="宋体"/>
          <w:b/>
          <w:color w:val="000000" w:themeColor="text1"/>
          <w:sz w:val="28"/>
          <w:szCs w:val="28"/>
          <w14:textFill>
            <w14:solidFill>
              <w14:schemeClr w14:val="tx1"/>
            </w14:solidFill>
          </w14:textFill>
        </w:rPr>
        <w:t>5/7会议</w:t>
      </w:r>
    </w:p>
    <w:p>
      <w:pPr>
        <w:spacing w:after="80" w:line="360" w:lineRule="auto"/>
        <w:ind w:firstLine="0" w:firstLineChars="0"/>
        <w:jc w:val="both"/>
        <w:rPr>
          <w:color w:val="000000" w:themeColor="text1"/>
          <w14:textFill>
            <w14:solidFill>
              <w14:schemeClr w14:val="tx1"/>
            </w14:solidFill>
          </w14:textFill>
        </w:rPr>
      </w:pPr>
      <w:r>
        <w:rPr>
          <w:rFonts w:eastAsia="宋体"/>
          <w:b/>
          <w:color w:val="000000" w:themeColor="text1"/>
          <w14:textFill>
            <w14:solidFill>
              <w14:schemeClr w14:val="tx1"/>
            </w14:solidFill>
          </w14:textFill>
        </w:rPr>
        <w:t>会议展示：</w:t>
      </w:r>
    </w:p>
    <w:p>
      <w:pPr>
        <w:pStyle w:val="4"/>
        <w:rPr>
          <w:color w:val="000000" w:themeColor="text1"/>
          <w:sz w:val="22"/>
          <w:szCs w:val="22"/>
          <w14:textFill>
            <w14:solidFill>
              <w14:schemeClr w14:val="tx1"/>
            </w14:solidFill>
          </w14:textFill>
        </w:rPr>
      </w:pPr>
      <w:bookmarkStart w:id="80" w:name="_Toc9630"/>
      <w:r>
        <w:rPr>
          <w:color w:val="000000" w:themeColor="text1"/>
          <w:sz w:val="22"/>
          <w:szCs w:val="22"/>
          <w14:textFill>
            <w14:solidFill>
              <w14:schemeClr w14:val="tx1"/>
            </w14:solidFill>
          </w14:textFill>
        </w:rPr>
        <w:t>1.数据集</w:t>
      </w:r>
      <w:bookmarkEnd w:id="80"/>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经过标注、筛选最终整理出600多张图片</w:t>
      </w:r>
    </w:p>
    <w:p>
      <w:pPr>
        <w:spacing w:after="80" w:line="360" w:lineRule="auto"/>
        <w:ind w:firstLine="440"/>
        <w:jc w:val="both"/>
        <w:rPr>
          <w:rFonts w:eastAsia="宋体"/>
          <w:color w:val="000000" w:themeColor="text1"/>
          <w14:textFill>
            <w14:solidFill>
              <w14:schemeClr w14:val="tx1"/>
            </w14:solidFill>
          </w14:textFill>
        </w:rPr>
      </w:pPr>
      <w:r>
        <w:rPr>
          <w:rFonts w:eastAsia="宋体"/>
          <w:color w:val="000000" w:themeColor="text1"/>
          <w14:textFill>
            <w14:solidFill>
              <w14:schemeClr w14:val="tx1"/>
            </w14:solidFill>
          </w14:textFill>
        </w:rPr>
        <w:t>利用python脚本对数据进行增强(颜色增强、几何变换、局部模糊等)，最终得到2700多张数据</w:t>
      </w:r>
    </w:p>
    <w:p>
      <w:pPr>
        <w:spacing w:after="80" w:line="360" w:lineRule="auto"/>
        <w:ind w:firstLine="0" w:firstLineChars="0"/>
        <w:jc w:val="both"/>
        <w:rPr>
          <w:rFonts w:eastAsia="宋体"/>
          <w:color w:val="000000" w:themeColor="text1"/>
          <w14:textFill>
            <w14:solidFill>
              <w14:schemeClr w14:val="tx1"/>
            </w14:solidFill>
          </w14:textFill>
        </w:rPr>
      </w:pPr>
      <w:r>
        <w:drawing>
          <wp:inline distT="0" distB="0" distL="114300" distR="114300">
            <wp:extent cx="6002020" cy="3322955"/>
            <wp:effectExtent l="0" t="0" r="2540" b="14605"/>
            <wp:docPr id="7"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descr="IMG_256"/>
                    <pic:cNvPicPr>
                      <a:picLocks noChangeAspect="1"/>
                    </pic:cNvPicPr>
                  </pic:nvPicPr>
                  <pic:blipFill>
                    <a:blip r:embed="rId14"/>
                    <a:stretch>
                      <a:fillRect/>
                    </a:stretch>
                  </pic:blipFill>
                  <pic:spPr>
                    <a:xfrm>
                      <a:off x="0" y="0"/>
                      <a:ext cx="6002020" cy="3322955"/>
                    </a:xfrm>
                    <a:prstGeom prst="rect">
                      <a:avLst/>
                    </a:prstGeom>
                    <a:noFill/>
                    <a:ln w="9525">
                      <a:noFill/>
                    </a:ln>
                  </pic:spPr>
                </pic:pic>
              </a:graphicData>
            </a:graphic>
          </wp:inline>
        </w:drawing>
      </w:r>
    </w:p>
    <w:p>
      <w:pPr>
        <w:pStyle w:val="4"/>
        <w:rPr>
          <w:color w:val="000000" w:themeColor="text1"/>
          <w:sz w:val="22"/>
          <w:szCs w:val="22"/>
          <w14:textFill>
            <w14:solidFill>
              <w14:schemeClr w14:val="tx1"/>
            </w14:solidFill>
          </w14:textFill>
        </w:rPr>
      </w:pPr>
      <w:bookmarkStart w:id="81" w:name="_Toc13897"/>
      <w:r>
        <w:rPr>
          <w:color w:val="000000" w:themeColor="text1"/>
          <w:sz w:val="22"/>
          <w:szCs w:val="22"/>
          <w14:textFill>
            <w14:solidFill>
              <w14:schemeClr w14:val="tx1"/>
            </w14:solidFill>
          </w14:textFill>
        </w:rPr>
        <w:t>2.在ultralytics平台上使用yolo系列多个模型进行训练</w:t>
      </w:r>
      <w:bookmarkEnd w:id="81"/>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训练试了26、11、8等版本</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分n、s、m、l、x种，模型参数量增大，速度更慢，但精度更高</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目前为了准确率，先训练了3个版本的x</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看起来效果不错，但</w:t>
      </w:r>
      <w:r>
        <w:rPr>
          <w:rFonts w:hint="eastAsia" w:eastAsia="宋体"/>
          <w:color w:val="000000" w:themeColor="text1"/>
          <w14:textFill>
            <w14:solidFill>
              <w14:schemeClr w14:val="tx1"/>
            </w14:solidFill>
          </w14:textFill>
        </w:rPr>
        <w:t>只是用</w:t>
      </w:r>
      <w:r>
        <w:rPr>
          <w:rFonts w:eastAsia="宋体"/>
          <w:color w:val="000000" w:themeColor="text1"/>
          <w14:textFill>
            <w14:solidFill>
              <w14:schemeClr w14:val="tx1"/>
            </w14:solidFill>
          </w14:textFill>
        </w:rPr>
        <w:t>训练集和验证集得出的结果，真实准确率还待用之外的数据进行测试。</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其他算法：之前提到的unet算法，训练实在太慢了，一个epoch就要几小时，所以暂且没用</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3.下一步：</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连通已有的数据库</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将我们现在后端代码接入到总项目前端</w:t>
      </w:r>
    </w:p>
    <w:p>
      <w:pPr>
        <w:spacing w:after="80" w:line="360" w:lineRule="auto"/>
        <w:ind w:firstLine="0" w:firstLineChars="0"/>
        <w:jc w:val="both"/>
        <w:rPr>
          <w:color w:val="000000" w:themeColor="text1"/>
          <w14:textFill>
            <w14:solidFill>
              <w14:schemeClr w14:val="tx1"/>
            </w14:solidFill>
          </w14:textFill>
        </w:rPr>
      </w:pPr>
      <w:r>
        <w:rPr>
          <w:rFonts w:eastAsia="宋体"/>
          <w:b/>
          <w:color w:val="000000" w:themeColor="text1"/>
          <w14:textFill>
            <w14:solidFill>
              <w14:schemeClr w14:val="tx1"/>
            </w14:solidFill>
          </w14:textFill>
        </w:rPr>
        <w:t>问题：</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1.我们的项目属于“新开发项目”还是“功能增强改进项目”？</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2.后续准确率应如何来估算</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3.train、val、test三个图集的划分有问题</w:t>
      </w:r>
    </w:p>
    <w:p>
      <w:pPr>
        <w:spacing w:after="80" w:line="360" w:lineRule="auto"/>
        <w:ind w:firstLine="0" w:firstLineChars="0"/>
        <w:jc w:val="both"/>
        <w:rPr>
          <w:color w:val="000000" w:themeColor="text1"/>
          <w14:textFill>
            <w14:solidFill>
              <w14:schemeClr w14:val="tx1"/>
            </w14:solidFill>
          </w14:textFill>
        </w:rPr>
      </w:pPr>
      <w:r>
        <w:rPr>
          <w:rFonts w:eastAsia="宋体"/>
          <w:b/>
          <w:color w:val="000000" w:themeColor="text1"/>
          <w14:textFill>
            <w14:solidFill>
              <w14:schemeClr w14:val="tx1"/>
            </w14:solidFill>
          </w14:textFill>
        </w:rPr>
        <w:t>解决方案：</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1.就用当前数据集划分train、val、test然后训练，得出的准确率即为该模型的准确率。</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2.注意记录人时。</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3.重新划分数据集，提高test测试集的占比。</w:t>
      </w:r>
    </w:p>
    <w:p>
      <w:pPr>
        <w:spacing w:after="80" w:line="360" w:lineRule="auto"/>
        <w:ind w:firstLine="0" w:firstLineChars="0"/>
        <w:jc w:val="both"/>
        <w:rPr>
          <w:color w:val="000000" w:themeColor="text1"/>
          <w:sz w:val="28"/>
          <w:szCs w:val="28"/>
          <w14:textFill>
            <w14:solidFill>
              <w14:schemeClr w14:val="tx1"/>
            </w14:solidFill>
          </w14:textFill>
        </w:rPr>
      </w:pPr>
      <w:r>
        <w:rPr>
          <w:rFonts w:eastAsia="宋体"/>
          <w:b/>
          <w:color w:val="000000" w:themeColor="text1"/>
          <w:sz w:val="28"/>
          <w:szCs w:val="28"/>
          <w14:textFill>
            <w14:solidFill>
              <w14:schemeClr w14:val="tx1"/>
            </w14:solidFill>
          </w14:textFill>
        </w:rPr>
        <w:t>5/11会议</w:t>
      </w:r>
    </w:p>
    <w:p>
      <w:pPr>
        <w:spacing w:after="80" w:line="360" w:lineRule="auto"/>
        <w:ind w:firstLine="0" w:firstLineChars="0"/>
        <w:jc w:val="both"/>
        <w:rPr>
          <w:color w:val="000000" w:themeColor="text1"/>
          <w14:textFill>
            <w14:solidFill>
              <w14:schemeClr w14:val="tx1"/>
            </w14:solidFill>
          </w14:textFill>
        </w:rPr>
      </w:pPr>
      <w:r>
        <w:rPr>
          <w:rFonts w:eastAsia="宋体"/>
          <w:b/>
          <w:color w:val="000000" w:themeColor="text1"/>
          <w14:textFill>
            <w14:solidFill>
              <w14:schemeClr w14:val="tx1"/>
            </w14:solidFill>
          </w14:textFill>
        </w:rPr>
        <w:t>会议展示：</w:t>
      </w:r>
    </w:p>
    <w:p>
      <w:pPr>
        <w:numPr>
          <w:ilvl w:val="0"/>
          <w:numId w:val="4"/>
        </w:numPr>
        <w:spacing w:after="80" w:line="360" w:lineRule="auto"/>
        <w:ind w:firstLine="440"/>
        <w:jc w:val="both"/>
        <w:rPr>
          <w:rFonts w:eastAsia="宋体"/>
          <w:color w:val="000000" w:themeColor="text1"/>
          <w14:textFill>
            <w14:solidFill>
              <w14:schemeClr w14:val="tx1"/>
            </w14:solidFill>
          </w14:textFill>
        </w:rPr>
      </w:pPr>
      <w:r>
        <w:rPr>
          <w:rFonts w:eastAsia="宋体"/>
          <w:color w:val="000000" w:themeColor="text1"/>
          <w14:textFill>
            <w14:solidFill>
              <w14:schemeClr w14:val="tx1"/>
            </w14:solidFill>
          </w14:textFill>
        </w:rPr>
        <w:t>添加test集后进行训练，经比较，使用11x模型，以以下比例进行训练，效果最好：</w:t>
      </w:r>
    </w:p>
    <w:p>
      <w:pPr>
        <w:spacing w:after="80" w:line="360" w:lineRule="auto"/>
        <w:ind w:firstLine="0" w:firstLineChars="0"/>
        <w:jc w:val="both"/>
      </w:pPr>
      <w:r>
        <w:drawing>
          <wp:inline distT="0" distB="0" distL="114300" distR="114300">
            <wp:extent cx="6191250" cy="1329690"/>
            <wp:effectExtent l="0" t="0" r="11430" b="11430"/>
            <wp:docPr id="15"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4" descr="IMG_256"/>
                    <pic:cNvPicPr>
                      <a:picLocks noChangeAspect="1"/>
                    </pic:cNvPicPr>
                  </pic:nvPicPr>
                  <pic:blipFill>
                    <a:blip r:embed="rId15"/>
                    <a:stretch>
                      <a:fillRect/>
                    </a:stretch>
                  </pic:blipFill>
                  <pic:spPr>
                    <a:xfrm>
                      <a:off x="0" y="0"/>
                      <a:ext cx="6191250" cy="1329690"/>
                    </a:xfrm>
                    <a:prstGeom prst="rect">
                      <a:avLst/>
                    </a:prstGeom>
                    <a:noFill/>
                    <a:ln w="9525">
                      <a:noFill/>
                    </a:ln>
                  </pic:spPr>
                </pic:pic>
              </a:graphicData>
            </a:graphic>
          </wp:inline>
        </w:drawing>
      </w:r>
    </w:p>
    <w:p>
      <w:pPr>
        <w:spacing w:after="80" w:line="360" w:lineRule="auto"/>
        <w:ind w:firstLine="0" w:firstLineChars="0"/>
        <w:jc w:val="both"/>
      </w:pPr>
      <w:r>
        <w:drawing>
          <wp:inline distT="0" distB="0" distL="114300" distR="114300">
            <wp:extent cx="6207125" cy="1193800"/>
            <wp:effectExtent l="0" t="0" r="10795" b="10160"/>
            <wp:docPr id="14" name="图片 15"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5" descr="IMG_257"/>
                    <pic:cNvPicPr>
                      <a:picLocks noChangeAspect="1"/>
                    </pic:cNvPicPr>
                  </pic:nvPicPr>
                  <pic:blipFill>
                    <a:blip r:embed="rId16"/>
                    <a:stretch>
                      <a:fillRect/>
                    </a:stretch>
                  </pic:blipFill>
                  <pic:spPr>
                    <a:xfrm>
                      <a:off x="0" y="0"/>
                      <a:ext cx="6207125" cy="1193800"/>
                    </a:xfrm>
                    <a:prstGeom prst="rect">
                      <a:avLst/>
                    </a:prstGeom>
                    <a:noFill/>
                    <a:ln w="9525">
                      <a:noFill/>
                    </a:ln>
                  </pic:spPr>
                </pic:pic>
              </a:graphicData>
            </a:graphic>
          </wp:inline>
        </w:drawing>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连接上数据库，将我们的后端接入原来的系统，并部署。由于docker部署失败，用了其他方式。</w:t>
      </w:r>
    </w:p>
    <w:p>
      <w:pPr>
        <w:spacing w:after="80" w:line="360" w:lineRule="auto"/>
        <w:ind w:firstLine="0" w:firstLineChars="0"/>
        <w:jc w:val="both"/>
        <w:rPr>
          <w:color w:val="000000" w:themeColor="text1"/>
          <w14:textFill>
            <w14:solidFill>
              <w14:schemeClr w14:val="tx1"/>
            </w14:solidFill>
          </w14:textFill>
        </w:rPr>
      </w:pPr>
      <w:r>
        <w:rPr>
          <w:rFonts w:eastAsia="宋体"/>
          <w:b/>
          <w:color w:val="000000" w:themeColor="text1"/>
          <w14:textFill>
            <w14:solidFill>
              <w14:schemeClr w14:val="tx1"/>
            </w14:solidFill>
          </w14:textFill>
        </w:rPr>
        <w:t>问题：</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用其他方案部署是否可行？</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展示时效果不稳定</w:t>
      </w:r>
    </w:p>
    <w:p>
      <w:pPr>
        <w:spacing w:after="80" w:line="360" w:lineRule="auto"/>
        <w:ind w:firstLine="0" w:firstLineChars="0"/>
        <w:jc w:val="both"/>
        <w:rPr>
          <w:color w:val="000000" w:themeColor="text1"/>
          <w14:textFill>
            <w14:solidFill>
              <w14:schemeClr w14:val="tx1"/>
            </w14:solidFill>
          </w14:textFill>
        </w:rPr>
      </w:pPr>
      <w:r>
        <w:rPr>
          <w:rFonts w:eastAsia="宋体"/>
          <w:b/>
          <w:color w:val="000000" w:themeColor="text1"/>
          <w14:textFill>
            <w14:solidFill>
              <w14:schemeClr w14:val="tx1"/>
            </w14:solidFill>
          </w14:textFill>
        </w:rPr>
        <w:t>解决方案：</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1.要使用docker部署，而非用其他方式。找明之前docker部署失败的原因并修复。</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2.准备好期末pre时用来展示的图片。</w:t>
      </w:r>
    </w:p>
    <w:p>
      <w:pPr>
        <w:spacing w:after="80" w:line="360" w:lineRule="auto"/>
        <w:ind w:firstLine="0" w:firstLineChars="0"/>
        <w:jc w:val="both"/>
        <w:rPr>
          <w:color w:val="000000" w:themeColor="text1"/>
          <w:sz w:val="28"/>
          <w:szCs w:val="28"/>
          <w14:textFill>
            <w14:solidFill>
              <w14:schemeClr w14:val="tx1"/>
            </w14:solidFill>
          </w14:textFill>
        </w:rPr>
      </w:pPr>
      <w:r>
        <w:rPr>
          <w:rFonts w:eastAsia="宋体"/>
          <w:b/>
          <w:color w:val="000000" w:themeColor="text1"/>
          <w:sz w:val="28"/>
          <w:szCs w:val="28"/>
          <w14:textFill>
            <w14:solidFill>
              <w14:schemeClr w14:val="tx1"/>
            </w14:solidFill>
          </w14:textFill>
        </w:rPr>
        <w:t>5/14会议</w:t>
      </w:r>
    </w:p>
    <w:p>
      <w:pPr>
        <w:spacing w:after="80" w:line="360" w:lineRule="auto"/>
        <w:ind w:firstLine="0" w:firstLineChars="0"/>
        <w:jc w:val="both"/>
        <w:rPr>
          <w:color w:val="000000" w:themeColor="text1"/>
          <w14:textFill>
            <w14:solidFill>
              <w14:schemeClr w14:val="tx1"/>
            </w14:solidFill>
          </w14:textFill>
        </w:rPr>
      </w:pPr>
      <w:r>
        <w:rPr>
          <w:rFonts w:eastAsia="宋体"/>
          <w:b/>
          <w:color w:val="000000" w:themeColor="text1"/>
          <w14:textFill>
            <w14:solidFill>
              <w14:schemeClr w14:val="tx1"/>
            </w14:solidFill>
          </w14:textFill>
        </w:rPr>
        <w:t>会议展示：</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1.已经使用docker重新部署</w:t>
      </w:r>
    </w:p>
    <w:p>
      <w:pPr>
        <w:spacing w:after="80" w:line="360" w:lineRule="auto"/>
        <w:ind w:firstLine="440"/>
        <w:jc w:val="both"/>
        <w:rPr>
          <w:rFonts w:eastAsia="宋体"/>
          <w:color w:val="000000" w:themeColor="text1"/>
          <w14:textFill>
            <w14:solidFill>
              <w14:schemeClr w14:val="tx1"/>
            </w14:solidFill>
          </w14:textFill>
        </w:rPr>
      </w:pPr>
      <w:r>
        <w:rPr>
          <w:rFonts w:eastAsia="宋体"/>
          <w:color w:val="000000" w:themeColor="text1"/>
          <w14:textFill>
            <w14:solidFill>
              <w14:schemeClr w14:val="tx1"/>
            </w14:solidFill>
          </w14:textFill>
        </w:rPr>
        <w:t>2.在前端展示了当前系统的使用效果：</w:t>
      </w:r>
    </w:p>
    <w:p>
      <w:pPr>
        <w:spacing w:after="80" w:line="360" w:lineRule="auto"/>
        <w:ind w:firstLine="0" w:firstLineChars="0"/>
        <w:jc w:val="both"/>
        <w:rPr>
          <w:rFonts w:eastAsia="宋体"/>
          <w:color w:val="000000" w:themeColor="text1"/>
          <w14:textFill>
            <w14:solidFill>
              <w14:schemeClr w14:val="tx1"/>
            </w14:solidFill>
          </w14:textFill>
        </w:rPr>
      </w:pPr>
      <w:r>
        <w:drawing>
          <wp:inline distT="0" distB="0" distL="114300" distR="114300">
            <wp:extent cx="5486400" cy="3838575"/>
            <wp:effectExtent l="0" t="0" r="0" b="1905"/>
            <wp:docPr id="16" name="图片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IMG_256"/>
                    <pic:cNvPicPr>
                      <a:picLocks noChangeAspect="1"/>
                    </pic:cNvPicPr>
                  </pic:nvPicPr>
                  <pic:blipFill>
                    <a:blip r:embed="rId17"/>
                    <a:stretch>
                      <a:fillRect/>
                    </a:stretch>
                  </pic:blipFill>
                  <pic:spPr>
                    <a:xfrm>
                      <a:off x="0" y="0"/>
                      <a:ext cx="5486400" cy="3838575"/>
                    </a:xfrm>
                    <a:prstGeom prst="rect">
                      <a:avLst/>
                    </a:prstGeom>
                    <a:noFill/>
                    <a:ln w="9525">
                      <a:noFill/>
                    </a:ln>
                  </pic:spPr>
                </pic:pic>
              </a:graphicData>
            </a:graphic>
          </wp:inline>
        </w:drawing>
      </w:r>
    </w:p>
    <w:p>
      <w:pPr>
        <w:spacing w:after="80" w:line="360" w:lineRule="auto"/>
        <w:ind w:firstLine="0" w:firstLineChars="0"/>
        <w:jc w:val="both"/>
        <w:rPr>
          <w:color w:val="000000" w:themeColor="text1"/>
          <w14:textFill>
            <w14:solidFill>
              <w14:schemeClr w14:val="tx1"/>
            </w14:solidFill>
          </w14:textFill>
        </w:rPr>
      </w:pPr>
      <w:r>
        <w:rPr>
          <w:rFonts w:eastAsia="宋体"/>
          <w:b/>
          <w:color w:val="000000" w:themeColor="text1"/>
          <w14:textFill>
            <w14:solidFill>
              <w14:schemeClr w14:val="tx1"/>
            </w14:solidFill>
          </w14:textFill>
        </w:rPr>
        <w:t>问题：</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前端展示的效果有待提高，会出现超时的情况。</w:t>
      </w:r>
    </w:p>
    <w:p>
      <w:pPr>
        <w:spacing w:after="80" w:line="360" w:lineRule="auto"/>
        <w:ind w:firstLine="0" w:firstLineChars="0"/>
        <w:jc w:val="both"/>
        <w:rPr>
          <w:color w:val="000000" w:themeColor="text1"/>
          <w14:textFill>
            <w14:solidFill>
              <w14:schemeClr w14:val="tx1"/>
            </w14:solidFill>
          </w14:textFill>
        </w:rPr>
      </w:pPr>
      <w:r>
        <w:rPr>
          <w:rFonts w:eastAsia="宋体"/>
          <w:b/>
          <w:color w:val="000000" w:themeColor="text1"/>
          <w14:textFill>
            <w14:solidFill>
              <w14:schemeClr w14:val="tx1"/>
            </w14:solidFill>
          </w14:textFill>
        </w:rPr>
        <w:t>解决方案：</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1.模型处理某些图片速度太慢，以至于前端超时的问题需解决。</w:t>
      </w:r>
    </w:p>
    <w:p>
      <w:pPr>
        <w:spacing w:after="80" w:line="360" w:lineRule="auto"/>
        <w:ind w:firstLine="440"/>
        <w:jc w:val="both"/>
        <w:rPr>
          <w:color w:val="000000" w:themeColor="text1"/>
          <w14:textFill>
            <w14:solidFill>
              <w14:schemeClr w14:val="tx1"/>
            </w14:solidFill>
          </w14:textFill>
        </w:rPr>
      </w:pPr>
      <w:r>
        <w:rPr>
          <w:rFonts w:eastAsia="宋体"/>
          <w:color w:val="000000" w:themeColor="text1"/>
          <w14:textFill>
            <w14:solidFill>
              <w14:schemeClr w14:val="tx1"/>
            </w14:solidFill>
          </w14:textFill>
        </w:rPr>
        <w:t>2.要准备好测试图片用于期末演示。</w:t>
      </w:r>
    </w:p>
    <w:sectPr>
      <w:headerReference r:id="rId5" w:type="default"/>
      <w:footerReference r:id="rId6" w:type="default"/>
      <w:pgSz w:w="11906" w:h="16838"/>
      <w:pgMar w:top="1800" w:right="1800" w:bottom="1800" w:left="180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firstLine="440"/>
      </w:pPr>
      <w:r>
        <w:separator/>
      </w:r>
    </w:p>
  </w:endnote>
  <w:endnote w:type="continuationSeparator" w:id="1">
    <w:p>
      <w:pPr>
        <w:ind w:firstLine="4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Arial">
    <w:panose1 w:val="020B0604020202020204"/>
    <w:charset w:val="00"/>
    <w:family w:val="swiss"/>
    <w:pitch w:val="default"/>
    <w:sig w:usb0="E0002EFF" w:usb1="C000785B" w:usb2="00000009" w:usb3="00000000" w:csb0="400001FF" w:csb1="FFFF0000"/>
  </w:font>
  <w:font w:name="等线 Light">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Bdr>
        <w:top w:val="single" w:color="2E75B6" w:sz="6" w:space="4"/>
      </w:pBdr>
      <w:tabs>
        <w:tab w:val="right" w:pos="8306"/>
      </w:tabs>
      <w:ind w:firstLine="360"/>
    </w:pPr>
    <w:r>
      <w:rPr>
        <w:rFonts w:eastAsia="Arial"/>
        <w:color w:val="595959"/>
        <w:sz w:val="18"/>
        <w:szCs w:val="18"/>
      </w:rPr>
      <w:t>同济大学软件工程专业开发团队 | 2026年6月</w:t>
    </w:r>
    <w:r>
      <w:rPr>
        <w:rFonts w:eastAsia="Arial"/>
        <w:color w:val="595959"/>
        <w:sz w:val="18"/>
        <w:szCs w:val="18"/>
      </w:rPr>
      <w:tab/>
    </w:r>
    <w:r>
      <w:rPr>
        <w:rFonts w:eastAsia="Arial"/>
        <w:color w:val="595959"/>
        <w:sz w:val="18"/>
        <w:szCs w:val="18"/>
      </w:rPr>
      <w:t xml:space="preserve">第 </w:t>
    </w:r>
    <w:r>
      <w:rPr>
        <w:color w:val="595959"/>
        <w:sz w:val="18"/>
        <w:szCs w:val="18"/>
      </w:rPr>
      <w:fldChar w:fldCharType="begin"/>
    </w:r>
    <w:r>
      <w:rPr>
        <w:rFonts w:eastAsia="Arial"/>
        <w:color w:val="595959"/>
        <w:sz w:val="18"/>
        <w:szCs w:val="18"/>
      </w:rPr>
      <w:instrText xml:space="preserve">PAGE</w:instrText>
    </w:r>
    <w:r>
      <w:rPr>
        <w:color w:val="595959"/>
        <w:sz w:val="18"/>
        <w:szCs w:val="18"/>
      </w:rPr>
      <w:fldChar w:fldCharType="separate"/>
    </w:r>
    <w:r>
      <w:rPr>
        <w:rFonts w:eastAsia="Arial"/>
        <w:color w:val="595959"/>
        <w:sz w:val="18"/>
        <w:szCs w:val="18"/>
      </w:rPr>
      <w:t>1</w:t>
    </w:r>
    <w:r>
      <w:rPr>
        <w:color w:val="595959"/>
        <w:sz w:val="18"/>
        <w:szCs w:val="18"/>
      </w:rPr>
      <w:fldChar w:fldCharType="end"/>
    </w:r>
    <w:r>
      <w:rPr>
        <w:rFonts w:eastAsia="Arial"/>
        <w:color w:val="59595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firstLine="440"/>
      </w:pPr>
      <w:r>
        <w:separator/>
      </w:r>
    </w:p>
  </w:footnote>
  <w:footnote w:type="continuationSeparator" w:id="1">
    <w:p>
      <w:pPr>
        <w:ind w:firstLine="44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Bdr>
        <w:bottom w:val="single" w:color="2E75B6" w:sz="6" w:space="4"/>
      </w:pBdr>
      <w:tabs>
        <w:tab w:val="right" w:pos="8306"/>
      </w:tabs>
      <w:ind w:firstLine="360"/>
    </w:pPr>
    <w:r>
      <w:rPr>
        <w:rFonts w:eastAsia="Arial"/>
        <w:color w:val="2E75B6"/>
        <w:sz w:val="18"/>
        <w:szCs w:val="18"/>
      </w:rPr>
      <w:t>石材幕墙污渍检测系统</w:t>
    </w:r>
    <w:r>
      <w:rPr>
        <w:rFonts w:eastAsia="Arial"/>
        <w:color w:val="595959"/>
        <w:sz w:val="18"/>
        <w:szCs w:val="18"/>
      </w:rPr>
      <w:tab/>
    </w:r>
    <w:r>
      <w:rPr>
        <w:rFonts w:eastAsia="Arial"/>
        <w:color w:val="595959"/>
        <w:sz w:val="18"/>
        <w:szCs w:val="18"/>
      </w:rPr>
      <w:t>项目管理与经济分析报告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C72010F"/>
    <w:multiLevelType w:val="multilevel"/>
    <w:tmpl w:val="1C72010F"/>
    <w:lvl w:ilvl="0" w:tentative="0">
      <w:start w:val="1"/>
      <w:numFmt w:val="decimal"/>
      <w:lvlText w:val="%1."/>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4EA67569"/>
    <w:multiLevelType w:val="multilevel"/>
    <w:tmpl w:val="4EA67569"/>
    <w:lvl w:ilvl="0" w:tentative="0">
      <w:start w:val="1"/>
      <w:numFmt w:val="bullet"/>
      <w:lvlText w:val="•"/>
      <w:lvlJc w:val="left"/>
      <w:pPr>
        <w:ind w:left="720" w:hanging="360"/>
      </w:pPr>
    </w:lvl>
    <w:lvl w:ilvl="1" w:tentative="0">
      <w:start w:val="1"/>
      <w:numFmt w:val="bullet"/>
      <w:lvlText w:val="◦"/>
      <w:lvlJc w:val="left"/>
      <w:pPr>
        <w:ind w:left="1080" w:hanging="360"/>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
    <w:nsid w:val="695F4119"/>
    <w:multiLevelType w:val="singleLevel"/>
    <w:tmpl w:val="695F4119"/>
    <w:lvl w:ilvl="0" w:tentative="0">
      <w:start w:val="1"/>
      <w:numFmt w:val="decimal"/>
      <w:lvlText w:val="%1."/>
      <w:lvlJc w:val="left"/>
      <w:pPr>
        <w:tabs>
          <w:tab w:val="left" w:pos="312"/>
        </w:tabs>
      </w:pPr>
    </w:lvl>
  </w:abstractNum>
  <w:abstractNum w:abstractNumId="3">
    <w:nsid w:val="7C848D9F"/>
    <w:multiLevelType w:val="singleLevel"/>
    <w:tmpl w:val="7C848D9F"/>
    <w:lvl w:ilvl="0" w:tentative="0">
      <w:start w:val="1"/>
      <w:numFmt w:val="decimal"/>
      <w:lvlText w:val="%1."/>
      <w:lvlJc w:val="left"/>
      <w:pPr>
        <w:tabs>
          <w:tab w:val="left" w:pos="312"/>
        </w:tabs>
      </w:pPr>
    </w:lvl>
  </w:abstractNum>
  <w:num w:numId="1">
    <w:abstractNumId w:val="1"/>
    <w:lvlOverride w:ilvl="0">
      <w:startOverride w:val="1"/>
    </w:lvlOverride>
  </w:num>
  <w:num w:numId="2">
    <w:abstractNumId w:val="0"/>
    <w:lvlOverride w:ilvl="0">
      <w:startOverride w:val="1"/>
    </w:lvlOverride>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5375"/>
    <w:rsid w:val="00131D9C"/>
    <w:rsid w:val="003473BA"/>
    <w:rsid w:val="00365F21"/>
    <w:rsid w:val="00383BAB"/>
    <w:rsid w:val="003E40CF"/>
    <w:rsid w:val="0041670A"/>
    <w:rsid w:val="004678E2"/>
    <w:rsid w:val="00501807"/>
    <w:rsid w:val="00545375"/>
    <w:rsid w:val="005A589A"/>
    <w:rsid w:val="005E7931"/>
    <w:rsid w:val="00645980"/>
    <w:rsid w:val="00653007"/>
    <w:rsid w:val="006B0A75"/>
    <w:rsid w:val="006E3E15"/>
    <w:rsid w:val="00790FF6"/>
    <w:rsid w:val="00815333"/>
    <w:rsid w:val="00876D60"/>
    <w:rsid w:val="008E5DB3"/>
    <w:rsid w:val="009105D6"/>
    <w:rsid w:val="00943047"/>
    <w:rsid w:val="00BA476B"/>
    <w:rsid w:val="00C1474A"/>
    <w:rsid w:val="00C813AC"/>
    <w:rsid w:val="00CC1856"/>
    <w:rsid w:val="00CC3075"/>
    <w:rsid w:val="00DB4BCA"/>
    <w:rsid w:val="00DE1414"/>
    <w:rsid w:val="00F158F3"/>
    <w:rsid w:val="00FC6339"/>
    <w:rsid w:val="1F5131D6"/>
    <w:rsid w:val="34EC372F"/>
    <w:rsid w:val="5D4905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ind w:firstLine="200" w:firstLineChars="200"/>
    </w:pPr>
    <w:rPr>
      <w:rFonts w:ascii="Arial" w:hAnsi="Arial" w:cs="Arial" w:eastAsiaTheme="minorEastAsia"/>
      <w:sz w:val="22"/>
      <w:szCs w:val="22"/>
      <w:lang w:val="en-US" w:eastAsia="zh-CN" w:bidi="ar-SA"/>
    </w:rPr>
  </w:style>
  <w:style w:type="paragraph" w:styleId="2">
    <w:name w:val="heading 1"/>
    <w:next w:val="1"/>
    <w:qFormat/>
    <w:uiPriority w:val="9"/>
    <w:pPr>
      <w:spacing w:before="360" w:after="120"/>
      <w:outlineLvl w:val="0"/>
    </w:pPr>
    <w:rPr>
      <w:rFonts w:ascii="Arial" w:hAnsi="Arial" w:eastAsia="Arial" w:cs="Arial"/>
      <w:b/>
      <w:bCs/>
      <w:color w:val="1F4E79"/>
      <w:sz w:val="36"/>
      <w:szCs w:val="36"/>
      <w:lang w:val="en-US" w:eastAsia="zh-CN" w:bidi="ar-SA"/>
    </w:rPr>
  </w:style>
  <w:style w:type="paragraph" w:styleId="3">
    <w:name w:val="heading 2"/>
    <w:next w:val="1"/>
    <w:unhideWhenUsed/>
    <w:qFormat/>
    <w:uiPriority w:val="9"/>
    <w:pPr>
      <w:spacing w:before="280" w:after="80"/>
      <w:outlineLvl w:val="1"/>
    </w:pPr>
    <w:rPr>
      <w:rFonts w:ascii="Arial" w:hAnsi="Arial" w:eastAsia="Arial" w:cs="Arial"/>
      <w:b/>
      <w:bCs/>
      <w:color w:val="2E75B6"/>
      <w:sz w:val="28"/>
      <w:szCs w:val="28"/>
      <w:lang w:val="en-US" w:eastAsia="zh-CN" w:bidi="ar-SA"/>
    </w:rPr>
  </w:style>
  <w:style w:type="paragraph" w:styleId="4">
    <w:name w:val="heading 3"/>
    <w:next w:val="1"/>
    <w:unhideWhenUsed/>
    <w:qFormat/>
    <w:uiPriority w:val="9"/>
    <w:pPr>
      <w:spacing w:before="200" w:after="60"/>
      <w:outlineLvl w:val="2"/>
    </w:pPr>
    <w:rPr>
      <w:rFonts w:ascii="Arial" w:hAnsi="Arial" w:eastAsia="Arial" w:cs="Arial"/>
      <w:b/>
      <w:bCs/>
      <w:color w:val="1F4E79"/>
      <w:sz w:val="24"/>
      <w:szCs w:val="24"/>
      <w:lang w:val="en-US" w:eastAsia="zh-CN" w:bidi="ar-SA"/>
    </w:rPr>
  </w:style>
  <w:style w:type="paragraph" w:styleId="5">
    <w:name w:val="heading 4"/>
    <w:next w:val="1"/>
    <w:semiHidden/>
    <w:unhideWhenUsed/>
    <w:qFormat/>
    <w:uiPriority w:val="9"/>
    <w:pPr>
      <w:outlineLvl w:val="3"/>
    </w:pPr>
    <w:rPr>
      <w:rFonts w:ascii="Arial" w:hAnsi="Arial" w:cs="Arial" w:eastAsiaTheme="minorEastAsia"/>
      <w:i/>
      <w:iCs/>
      <w:color w:val="2E74B5"/>
      <w:sz w:val="22"/>
      <w:szCs w:val="22"/>
      <w:lang w:val="en-US" w:eastAsia="zh-CN" w:bidi="ar-SA"/>
    </w:rPr>
  </w:style>
  <w:style w:type="paragraph" w:styleId="6">
    <w:name w:val="heading 5"/>
    <w:next w:val="1"/>
    <w:semiHidden/>
    <w:unhideWhenUsed/>
    <w:qFormat/>
    <w:uiPriority w:val="9"/>
    <w:pPr>
      <w:outlineLvl w:val="4"/>
    </w:pPr>
    <w:rPr>
      <w:rFonts w:ascii="Arial" w:hAnsi="Arial" w:cs="Arial" w:eastAsiaTheme="minorEastAsia"/>
      <w:color w:val="2E74B5"/>
      <w:sz w:val="22"/>
      <w:szCs w:val="22"/>
      <w:lang w:val="en-US" w:eastAsia="zh-CN" w:bidi="ar-SA"/>
    </w:rPr>
  </w:style>
  <w:style w:type="paragraph" w:styleId="7">
    <w:name w:val="heading 6"/>
    <w:next w:val="1"/>
    <w:semiHidden/>
    <w:unhideWhenUsed/>
    <w:qFormat/>
    <w:uiPriority w:val="9"/>
    <w:pPr>
      <w:outlineLvl w:val="5"/>
    </w:pPr>
    <w:rPr>
      <w:rFonts w:ascii="Arial" w:hAnsi="Arial" w:cs="Arial" w:eastAsiaTheme="minorEastAsia"/>
      <w:color w:val="1F4D78"/>
      <w:sz w:val="22"/>
      <w:szCs w:val="22"/>
      <w:lang w:val="en-US" w:eastAsia="zh-CN" w:bidi="ar-SA"/>
    </w:rPr>
  </w:style>
  <w:style w:type="character" w:default="1" w:styleId="15">
    <w:name w:val="Default Paragraph Font"/>
    <w:semiHidden/>
    <w:unhideWhenUsed/>
    <w:uiPriority w:val="1"/>
  </w:style>
  <w:style w:type="table" w:default="1" w:styleId="14">
    <w:name w:val="Normal Table"/>
    <w:semiHidden/>
    <w:unhideWhenUsed/>
    <w:uiPriority w:val="99"/>
    <w:tblPr>
      <w:tblCellMar>
        <w:top w:w="0" w:type="dxa"/>
        <w:left w:w="108" w:type="dxa"/>
        <w:bottom w:w="0" w:type="dxa"/>
        <w:right w:w="108" w:type="dxa"/>
      </w:tblCellMar>
    </w:tblPr>
  </w:style>
  <w:style w:type="paragraph" w:styleId="8">
    <w:name w:val="toc 3"/>
    <w:basedOn w:val="1"/>
    <w:next w:val="1"/>
    <w:unhideWhenUsed/>
    <w:qFormat/>
    <w:uiPriority w:val="39"/>
    <w:pPr>
      <w:ind w:left="840" w:leftChars="400"/>
    </w:pPr>
  </w:style>
  <w:style w:type="paragraph" w:styleId="9">
    <w:name w:val="endnote text"/>
    <w:link w:val="22"/>
    <w:semiHidden/>
    <w:unhideWhenUsed/>
    <w:qFormat/>
    <w:uiPriority w:val="99"/>
    <w:rPr>
      <w:rFonts w:ascii="Arial" w:hAnsi="Arial" w:cs="Arial" w:eastAsiaTheme="minorEastAsia"/>
      <w:lang w:val="en-US" w:eastAsia="zh-CN" w:bidi="ar-SA"/>
    </w:rPr>
  </w:style>
  <w:style w:type="paragraph" w:styleId="10">
    <w:name w:val="toc 1"/>
    <w:basedOn w:val="1"/>
    <w:next w:val="1"/>
    <w:unhideWhenUsed/>
    <w:qFormat/>
    <w:uiPriority w:val="39"/>
  </w:style>
  <w:style w:type="paragraph" w:styleId="11">
    <w:name w:val="footnote text"/>
    <w:link w:val="21"/>
    <w:semiHidden/>
    <w:unhideWhenUsed/>
    <w:qFormat/>
    <w:uiPriority w:val="99"/>
    <w:rPr>
      <w:rFonts w:ascii="Arial" w:hAnsi="Arial" w:cs="Arial" w:eastAsiaTheme="minorEastAsia"/>
      <w:lang w:val="en-US" w:eastAsia="zh-CN" w:bidi="ar-SA"/>
    </w:rPr>
  </w:style>
  <w:style w:type="paragraph" w:styleId="12">
    <w:name w:val="toc 2"/>
    <w:basedOn w:val="1"/>
    <w:next w:val="1"/>
    <w:unhideWhenUsed/>
    <w:qFormat/>
    <w:uiPriority w:val="39"/>
    <w:pPr>
      <w:ind w:left="420" w:leftChars="200"/>
    </w:pPr>
  </w:style>
  <w:style w:type="paragraph" w:styleId="13">
    <w:name w:val="Title"/>
    <w:qFormat/>
    <w:uiPriority w:val="10"/>
    <w:rPr>
      <w:rFonts w:ascii="Arial" w:hAnsi="Arial" w:cs="Arial" w:eastAsiaTheme="minorEastAsia"/>
      <w:sz w:val="56"/>
      <w:szCs w:val="56"/>
      <w:lang w:val="en-US" w:eastAsia="zh-CN" w:bidi="ar-SA"/>
    </w:rPr>
  </w:style>
  <w:style w:type="character" w:styleId="16">
    <w:name w:val="endnote reference"/>
    <w:semiHidden/>
    <w:unhideWhenUsed/>
    <w:qFormat/>
    <w:uiPriority w:val="99"/>
    <w:rPr>
      <w:vertAlign w:val="superscript"/>
    </w:rPr>
  </w:style>
  <w:style w:type="character" w:styleId="17">
    <w:name w:val="Hyperlink"/>
    <w:unhideWhenUsed/>
    <w:uiPriority w:val="99"/>
    <w:rPr>
      <w:color w:val="0563C1"/>
      <w:u w:val="single"/>
    </w:rPr>
  </w:style>
  <w:style w:type="character" w:styleId="18">
    <w:name w:val="footnote reference"/>
    <w:semiHidden/>
    <w:unhideWhenUsed/>
    <w:uiPriority w:val="99"/>
    <w:rPr>
      <w:vertAlign w:val="superscript"/>
    </w:rPr>
  </w:style>
  <w:style w:type="paragraph" w:customStyle="1" w:styleId="19">
    <w:name w:val="要点1"/>
    <w:qFormat/>
    <w:uiPriority w:val="0"/>
    <w:rPr>
      <w:rFonts w:ascii="Arial" w:hAnsi="Arial" w:cs="Arial" w:eastAsiaTheme="minorEastAsia"/>
      <w:b/>
      <w:bCs/>
      <w:sz w:val="22"/>
      <w:szCs w:val="22"/>
      <w:lang w:val="en-US" w:eastAsia="zh-CN" w:bidi="ar-SA"/>
    </w:rPr>
  </w:style>
  <w:style w:type="paragraph" w:styleId="20">
    <w:name w:val="List Paragraph"/>
    <w:qFormat/>
    <w:uiPriority w:val="0"/>
    <w:rPr>
      <w:rFonts w:ascii="Arial" w:hAnsi="Arial" w:cs="Arial" w:eastAsiaTheme="minorEastAsia"/>
      <w:sz w:val="22"/>
      <w:szCs w:val="22"/>
      <w:lang w:val="en-US" w:eastAsia="zh-CN" w:bidi="ar-SA"/>
    </w:rPr>
  </w:style>
  <w:style w:type="character" w:customStyle="1" w:styleId="21">
    <w:name w:val="脚注文本 字符"/>
    <w:link w:val="11"/>
    <w:semiHidden/>
    <w:unhideWhenUsed/>
    <w:qFormat/>
    <w:uiPriority w:val="99"/>
    <w:rPr>
      <w:sz w:val="20"/>
      <w:szCs w:val="20"/>
    </w:rPr>
  </w:style>
  <w:style w:type="character" w:customStyle="1" w:styleId="22">
    <w:name w:val="尾注文本 字符"/>
    <w:link w:val="9"/>
    <w:semiHidden/>
    <w:unhideWhenUsed/>
    <w:qFormat/>
    <w:uiPriority w:val="99"/>
    <w:rPr>
      <w:sz w:val="20"/>
      <w:szCs w:val="20"/>
    </w:rPr>
  </w:style>
  <w:style w:type="paragraph" w:customStyle="1" w:styleId="23">
    <w:name w:val="TOC 标题1"/>
    <w:basedOn w:val="2"/>
    <w:next w:val="1"/>
    <w:unhideWhenUsed/>
    <w:qFormat/>
    <w:uiPriority w:val="39"/>
    <w:pPr>
      <w:keepNext/>
      <w:keepLines/>
      <w:spacing w:before="240" w:after="0" w:line="259" w:lineRule="auto"/>
      <w:outlineLvl w:val="9"/>
    </w:pPr>
    <w:rPr>
      <w:rFonts w:asciiTheme="majorHAnsi" w:hAnsiTheme="majorHAnsi" w:eastAsiaTheme="majorEastAsia" w:cstheme="majorBidi"/>
      <w:b w:val="0"/>
      <w:bCs w:val="0"/>
      <w:color w:val="2F5597" w:themeColor="accent1" w:themeShade="BF"/>
      <w:sz w:val="32"/>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33</Pages>
  <Words>14448</Words>
  <Characters>18436</Characters>
  <Lines>1686</Lines>
  <Paragraphs>1255</Paragraphs>
  <TotalTime>61</TotalTime>
  <ScaleCrop>false</ScaleCrop>
  <LinksUpToDate>false</LinksUpToDate>
  <CharactersWithSpaces>25315</CharactersWithSpaces>
  <Application>WPS Office_11.8.2.12195_F1E327BC-269C-435d-A152-05C5408002CA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2026-06-05T07:51:00Z</dcterms:created>
  <dc:creator>Un-named</dc:creator>
  <cp:lastModifiedBy>ygc666</cp:lastModifiedBy>
  <cp:lastPrinted>2026-06-14T07:28:00Z</cp:lastPrinted>
  <dcterms:modified xsi:type="dcterms:W3CDTF">2026-06-15T14:54:21Z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2052-11.8.2.12195</vt:lpwstr>
  </property>
  <property fmtid="{D5CDD505-2E9C-101B-9397-08002B2CF9AE}" pid="3" name="ICV">
    <vt:lpwstr>7EA51C3B72D443589510D5F6C6A61082</vt:lpwstr>
  </property>
</Properties>
</file>