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ind w:firstLine="440"/>
      </w:pPr>
    </w:p>
    <w:p>
      <w:pPr>
        <w:spacing w:after="200"/>
        <w:ind w:firstLine="440"/>
        <w:jc w:val="center"/>
      </w:pPr>
    </w:p>
    <w:p>
      <w:pPr>
        <w:spacing w:after="200"/>
        <w:ind w:firstLine="723"/>
        <w:jc w:val="center"/>
      </w:pPr>
      <w:r>
        <w:rPr>
          <w:rFonts w:eastAsia="Arial"/>
          <w:b/>
          <w:bCs/>
          <w:color w:val="1F4E79"/>
          <w:sz w:val="36"/>
          <w:szCs w:val="36"/>
        </w:rPr>
        <w:t>同济大学计算机科学与技术学院</w:t>
      </w:r>
    </w:p>
    <w:p>
      <w:pPr>
        <w:spacing w:after="600"/>
        <w:ind w:firstLine="560"/>
        <w:jc w:val="center"/>
      </w:pPr>
      <w:r>
        <w:rPr>
          <w:rFonts w:eastAsia="Arial"/>
          <w:color w:val="595959"/>
          <w:sz w:val="28"/>
          <w:szCs w:val="28"/>
        </w:rPr>
        <w:t>软件工程专业</w:t>
      </w:r>
    </w:p>
    <w:p>
      <w:pPr>
        <w:pBdr>
          <w:top w:val="single" w:color="2E75B6" w:sz="12" w:space="8"/>
          <w:bottom w:val="single" w:color="2E75B6" w:sz="12" w:space="8"/>
        </w:pBdr>
        <w:spacing w:after="200"/>
        <w:ind w:firstLine="1044"/>
        <w:jc w:val="center"/>
      </w:pPr>
      <w:r>
        <w:rPr>
          <w:rFonts w:eastAsia="Arial"/>
          <w:b/>
          <w:bCs/>
          <w:color w:val="1F4E79"/>
          <w:sz w:val="52"/>
          <w:szCs w:val="52"/>
        </w:rPr>
        <w:t>项目管理与经济分析报告</w:t>
      </w:r>
    </w:p>
    <w:p>
      <w:pPr>
        <w:spacing w:before="200"/>
        <w:ind w:firstLine="440"/>
      </w:pPr>
    </w:p>
    <w:p>
      <w:pPr>
        <w:spacing w:after="600"/>
        <w:ind w:firstLine="640"/>
        <w:jc w:val="center"/>
        <w:rPr>
          <w:color w:val="2E75B6"/>
          <w:sz w:val="32"/>
          <w:szCs w:val="32"/>
        </w:rPr>
      </w:pPr>
      <w:r>
        <w:rPr>
          <w:rFonts w:eastAsia="Arial"/>
          <w:color w:val="2E75B6"/>
          <w:sz w:val="32"/>
          <w:szCs w:val="32"/>
        </w:rPr>
        <w:t>——石材幕墙污渍检测系统</w:t>
      </w:r>
    </w:p>
    <w:p>
      <w:pPr>
        <w:spacing w:after="600"/>
        <w:ind w:firstLine="440"/>
        <w:jc w:val="center"/>
      </w:pPr>
      <w:r>
        <w:drawing>
          <wp:inline distT="0" distB="0" distL="0" distR="0">
            <wp:extent cx="2305050" cy="2299970"/>
            <wp:effectExtent l="0" t="0" r="0" b="5080"/>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5050" cy="2299970"/>
                    </a:xfrm>
                    <a:prstGeom prst="rect">
                      <a:avLst/>
                    </a:prstGeom>
                  </pic:spPr>
                </pic:pic>
              </a:graphicData>
            </a:graphic>
          </wp:inline>
        </w:drawing>
      </w:r>
    </w:p>
    <w:tbl>
      <w:tblPr>
        <w:tblStyle w:val="14"/>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项目名称</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石材幕墙污渍检测系统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项目经理</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于广淳（2353740）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项目助理</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周慧星（2351289）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指导教师</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黄杰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报告日期</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2026年6月</w:t>
            </w:r>
          </w:p>
        </w:tc>
      </w:tr>
    </w:tbl>
    <w:p>
      <w:pPr>
        <w:ind w:firstLine="440"/>
      </w:pPr>
      <w:r>
        <w:br w:type="page"/>
      </w:r>
    </w:p>
    <w:sdt>
      <w:sdtPr>
        <w:rPr>
          <w:rFonts w:ascii="Arial" w:hAnsi="Arial" w:cs="Arial" w:eastAsiaTheme="minorEastAsia"/>
          <w:color w:val="auto"/>
          <w:sz w:val="22"/>
          <w:szCs w:val="22"/>
          <w:lang w:val="zh-CN"/>
        </w:rPr>
        <w:id w:val="-442074750"/>
        <w:docPartObj>
          <w:docPartGallery w:val="Table of Contents"/>
          <w:docPartUnique/>
        </w:docPartObj>
      </w:sdtPr>
      <w:sdtEndPr>
        <w:rPr>
          <w:rFonts w:ascii="Arial" w:hAnsi="Arial" w:cs="Arial" w:eastAsiaTheme="minorEastAsia"/>
          <w:b/>
          <w:bCs/>
          <w:color w:val="auto"/>
          <w:sz w:val="22"/>
          <w:szCs w:val="22"/>
          <w:lang w:val="zh-CN"/>
        </w:rPr>
      </w:sdtEndPr>
      <w:sdtContent>
        <w:p>
          <w:pPr>
            <w:pStyle w:val="23"/>
            <w:rPr>
              <w:rFonts w:hint="eastAsia"/>
            </w:rPr>
          </w:pPr>
          <w:r>
            <w:rPr>
              <w:lang w:val="zh-CN"/>
            </w:rPr>
            <w:t>目录</w:t>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"_Toc231569718" </w:instrText>
          </w:r>
          <w:r>
            <w:fldChar w:fldCharType="separate"/>
          </w:r>
          <w:r>
            <w:rPr>
              <w:rStyle w:val="17"/>
            </w:rPr>
            <w:t>摘要</w:t>
          </w:r>
          <w:r>
            <w:rPr>
              <w:rFonts w:hint="eastAsia"/>
            </w:rPr>
            <w:tab/>
          </w:r>
          <w:r>
            <w:rPr>
              <w:rFonts w:hint="eastAsia"/>
            </w:rPr>
            <w:fldChar w:fldCharType="begin"/>
          </w:r>
          <w:r>
            <w:rPr>
              <w:rFonts w:hint="eastAsia"/>
            </w:rPr>
            <w:instrText xml:space="preserve"> </w:instrText>
          </w:r>
          <w:r>
            <w:instrText xml:space="preserve">PAGEREF _Toc231569718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"_Toc231569719" </w:instrText>
          </w:r>
          <w:r>
            <w:fldChar w:fldCharType="separate"/>
          </w:r>
          <w:r>
            <w:rPr>
              <w:rStyle w:val="17"/>
            </w:rPr>
            <w:t>第一章  项目范围管理</w:t>
          </w:r>
          <w:r>
            <w:rPr>
              <w:rFonts w:hint="eastAsia"/>
            </w:rPr>
            <w:tab/>
          </w:r>
          <w:r>
            <w:rPr>
              <w:rFonts w:hint="eastAsia"/>
            </w:rPr>
            <w:fldChar w:fldCharType="begin"/>
          </w:r>
          <w:r>
            <w:rPr>
              <w:rFonts w:hint="eastAsia"/>
            </w:rPr>
            <w:instrText xml:space="preserve"> </w:instrText>
          </w:r>
          <w:r>
            <w:instrText xml:space="preserve">PAGEREF _Toc231569719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"_Toc231569720" </w:instrText>
          </w:r>
          <w:r>
            <w:fldChar w:fldCharType="separate"/>
          </w:r>
          <w:r>
            <w:rPr>
              <w:rStyle w:val="17"/>
            </w:rPr>
            <w:t>1.1 项目背景与问题识别</w:t>
          </w:r>
          <w:r>
            <w:rPr>
              <w:rFonts w:hint="eastAsia"/>
            </w:rPr>
            <w:tab/>
          </w:r>
          <w:r>
            <w:rPr>
              <w:rFonts w:hint="eastAsia"/>
            </w:rPr>
            <w:fldChar w:fldCharType="begin"/>
          </w:r>
          <w:r>
            <w:rPr>
              <w:rFonts w:hint="eastAsia"/>
            </w:rPr>
            <w:instrText xml:space="preserve"> </w:instrText>
          </w:r>
          <w:r>
            <w:instrText xml:space="preserve">PAGEREF _Toc231569720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"_Toc231569721" </w:instrText>
          </w:r>
          <w:r>
            <w:fldChar w:fldCharType="separate"/>
          </w:r>
          <w:r>
            <w:rPr>
              <w:rStyle w:val="17"/>
            </w:rPr>
            <w:t>1.2 项目范围说明书</w:t>
          </w:r>
          <w:r>
            <w:rPr>
              <w:rFonts w:hint="eastAsia"/>
            </w:rPr>
            <w:tab/>
          </w:r>
          <w:r>
            <w:rPr>
              <w:rFonts w:hint="eastAsia"/>
            </w:rPr>
            <w:fldChar w:fldCharType="begin"/>
          </w:r>
          <w:r>
            <w:rPr>
              <w:rFonts w:hint="eastAsia"/>
            </w:rPr>
            <w:instrText xml:space="preserve"> </w:instrText>
          </w:r>
          <w:r>
            <w:instrText xml:space="preserve">PAGEREF _Toc231569721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"_Toc231569722" </w:instrText>
          </w:r>
          <w:r>
            <w:fldChar w:fldCharType="separate"/>
          </w:r>
          <w:r>
            <w:rPr>
              <w:rStyle w:val="17"/>
            </w:rPr>
            <w:t>1.2.1 范围内工作</w:t>
          </w:r>
          <w:r>
            <w:rPr>
              <w:rFonts w:hint="eastAsia"/>
            </w:rPr>
            <w:tab/>
          </w:r>
          <w:r>
            <w:rPr>
              <w:rFonts w:hint="eastAsia"/>
            </w:rPr>
            <w:fldChar w:fldCharType="begin"/>
          </w:r>
          <w:r>
            <w:rPr>
              <w:rFonts w:hint="eastAsia"/>
            </w:rPr>
            <w:instrText xml:space="preserve"> </w:instrText>
          </w:r>
          <w:r>
            <w:instrText xml:space="preserve">PAGEREF _Toc231569722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"_Toc231569723" </w:instrText>
          </w:r>
          <w:r>
            <w:fldChar w:fldCharType="separate"/>
          </w:r>
          <w:r>
            <w:rPr>
              <w:rStyle w:val="17"/>
            </w:rPr>
            <w:t>1.2.2 范围外工作</w:t>
          </w:r>
          <w:r>
            <w:rPr>
              <w:rFonts w:hint="eastAsia"/>
            </w:rPr>
            <w:tab/>
          </w:r>
          <w:r>
            <w:rPr>
              <w:rFonts w:hint="eastAsia"/>
            </w:rPr>
            <w:fldChar w:fldCharType="begin"/>
          </w:r>
          <w:r>
            <w:rPr>
              <w:rFonts w:hint="eastAsia"/>
            </w:rPr>
            <w:instrText xml:space="preserve"> </w:instrText>
          </w:r>
          <w:r>
            <w:instrText xml:space="preserve">PAGEREF _Toc231569723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"_Toc231569724" </w:instrText>
          </w:r>
          <w:r>
            <w:fldChar w:fldCharType="separate"/>
          </w:r>
          <w:r>
            <w:rPr>
              <w:rStyle w:val="17"/>
            </w:rPr>
            <w:t>1.3 可交付成果清单</w:t>
          </w:r>
          <w:r>
            <w:rPr>
              <w:rFonts w:hint="eastAsia"/>
            </w:rPr>
            <w:tab/>
          </w:r>
          <w:r>
            <w:rPr>
              <w:rFonts w:hint="eastAsia"/>
            </w:rPr>
            <w:fldChar w:fldCharType="begin"/>
          </w:r>
          <w:r>
            <w:rPr>
              <w:rFonts w:hint="eastAsia"/>
            </w:rPr>
            <w:instrText xml:space="preserve"> </w:instrText>
          </w:r>
          <w:r>
            <w:instrText xml:space="preserve">PAGEREF _Toc231569724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"_Toc231569725" </w:instrText>
          </w:r>
          <w:r>
            <w:fldChar w:fldCharType="separate"/>
          </w:r>
          <w:r>
            <w:rPr>
              <w:rStyle w:val="17"/>
            </w:rPr>
            <w:t>第二章  项目计划</w:t>
          </w:r>
          <w:r>
            <w:rPr>
              <w:rFonts w:hint="eastAsia"/>
            </w:rPr>
            <w:tab/>
          </w:r>
          <w:r>
            <w:rPr>
              <w:rFonts w:hint="eastAsia"/>
            </w:rPr>
            <w:fldChar w:fldCharType="begin"/>
          </w:r>
          <w:r>
            <w:rPr>
              <w:rFonts w:hint="eastAsia"/>
            </w:rPr>
            <w:instrText xml:space="preserve"> </w:instrText>
          </w:r>
          <w:r>
            <w:instrText xml:space="preserve">PAGEREF _Toc231569725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"_Toc231569726" </w:instrText>
          </w:r>
          <w:r>
            <w:fldChar w:fldCharType="separate"/>
          </w:r>
          <w:r>
            <w:rPr>
              <w:rStyle w:val="17"/>
            </w:rPr>
            <w:t>2.1 工作分解结构（WBS）</w:t>
          </w:r>
          <w:r>
            <w:rPr>
              <w:rFonts w:hint="eastAsia"/>
            </w:rPr>
            <w:tab/>
          </w:r>
          <w:r>
            <w:rPr>
              <w:rFonts w:hint="eastAsia"/>
            </w:rPr>
            <w:fldChar w:fldCharType="begin"/>
          </w:r>
          <w:r>
            <w:rPr>
              <w:rFonts w:hint="eastAsia"/>
            </w:rPr>
            <w:instrText xml:space="preserve"> </w:instrText>
          </w:r>
          <w:r>
            <w:instrText xml:space="preserve">PAGEREF _Toc231569726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"_Toc231569727" </w:instrText>
          </w:r>
          <w:r>
            <w:fldChar w:fldCharType="separate"/>
          </w:r>
          <w:r>
            <w:rPr>
              <w:rStyle w:val="17"/>
            </w:rPr>
            <w:t>2.2 项目时间表</w:t>
          </w:r>
          <w:r>
            <w:rPr>
              <w:rFonts w:hint="eastAsia"/>
            </w:rPr>
            <w:tab/>
          </w:r>
          <w:r>
            <w:rPr>
              <w:rFonts w:hint="eastAsia"/>
            </w:rPr>
            <w:fldChar w:fldCharType="begin"/>
          </w:r>
          <w:r>
            <w:rPr>
              <w:rFonts w:hint="eastAsia"/>
            </w:rPr>
            <w:instrText xml:space="preserve"> </w:instrText>
          </w:r>
          <w:r>
            <w:instrText xml:space="preserve">PAGEREF _Toc231569727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"_Toc231569728" </w:instrText>
          </w:r>
          <w:r>
            <w:fldChar w:fldCharType="separate"/>
          </w:r>
          <w:r>
            <w:rPr>
              <w:rStyle w:val="17"/>
            </w:rPr>
            <w:t>2.3 资源计划</w:t>
          </w:r>
          <w:r>
            <w:rPr>
              <w:rFonts w:hint="eastAsia"/>
            </w:rPr>
            <w:tab/>
          </w:r>
          <w:r>
            <w:rPr>
              <w:rFonts w:hint="eastAsia"/>
            </w:rPr>
            <w:fldChar w:fldCharType="begin"/>
          </w:r>
          <w:r>
            <w:rPr>
              <w:rFonts w:hint="eastAsia"/>
            </w:rPr>
            <w:instrText xml:space="preserve"> </w:instrText>
          </w:r>
          <w:r>
            <w:instrText xml:space="preserve">PAGEREF _Toc231569728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"_Toc231569729" </w:instrText>
          </w:r>
          <w:r>
            <w:fldChar w:fldCharType="separate"/>
          </w:r>
          <w:r>
            <w:rPr>
              <w:rStyle w:val="17"/>
            </w:rPr>
            <w:t>2.3.1 人力资源分配</w:t>
          </w:r>
          <w:r>
            <w:rPr>
              <w:rFonts w:hint="eastAsia"/>
            </w:rPr>
            <w:tab/>
          </w:r>
          <w:r>
            <w:rPr>
              <w:rFonts w:hint="eastAsia"/>
            </w:rPr>
            <w:fldChar w:fldCharType="begin"/>
          </w:r>
          <w:r>
            <w:rPr>
              <w:rFonts w:hint="eastAsia"/>
            </w:rPr>
            <w:instrText xml:space="preserve"> </w:instrText>
          </w:r>
          <w:r>
            <w:instrText xml:space="preserve">PAGEREF _Toc231569729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"_Toc231569730" </w:instrText>
          </w:r>
          <w:r>
            <w:fldChar w:fldCharType="separate"/>
          </w:r>
          <w:r>
            <w:rPr>
              <w:rStyle w:val="17"/>
            </w:rPr>
            <w:t>2.3.2 硬件与软件资源</w:t>
          </w:r>
          <w:r>
            <w:rPr>
              <w:rFonts w:hint="eastAsia"/>
            </w:rPr>
            <w:tab/>
          </w:r>
          <w:r>
            <w:rPr>
              <w:rFonts w:hint="eastAsia"/>
            </w:rPr>
            <w:fldChar w:fldCharType="begin"/>
          </w:r>
          <w:r>
            <w:rPr>
              <w:rFonts w:hint="eastAsia"/>
            </w:rPr>
            <w:instrText xml:space="preserve"> </w:instrText>
          </w:r>
          <w:r>
            <w:instrText xml:space="preserve">PAGEREF _Toc231569730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"_Toc231569731" </w:instrText>
          </w:r>
          <w:r>
            <w:fldChar w:fldCharType="separate"/>
          </w:r>
          <w:r>
            <w:rPr>
              <w:rStyle w:val="17"/>
            </w:rPr>
            <w:t>2.4 项目预算计划</w:t>
          </w:r>
          <w:r>
            <w:rPr>
              <w:rFonts w:hint="eastAsia"/>
            </w:rPr>
            <w:tab/>
          </w:r>
          <w:r>
            <w:rPr>
              <w:rFonts w:hint="eastAsia"/>
            </w:rPr>
            <w:fldChar w:fldCharType="begin"/>
          </w:r>
          <w:r>
            <w:rPr>
              <w:rFonts w:hint="eastAsia"/>
            </w:rPr>
            <w:instrText xml:space="preserve"> </w:instrText>
          </w:r>
          <w:r>
            <w:instrText xml:space="preserve">PAGEREF _Toc231569731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"_Toc231569732" </w:instrText>
          </w:r>
          <w:r>
            <w:fldChar w:fldCharType="separate"/>
          </w:r>
          <w:r>
            <w:rPr>
              <w:rStyle w:val="17"/>
            </w:rPr>
            <w:t>第三章  软件过程的监控与控制</w:t>
          </w:r>
          <w:r>
            <w:rPr>
              <w:rFonts w:hint="eastAsia"/>
            </w:rPr>
            <w:tab/>
          </w:r>
          <w:r>
            <w:rPr>
              <w:rFonts w:hint="eastAsia"/>
            </w:rPr>
            <w:fldChar w:fldCharType="begin"/>
          </w:r>
          <w:r>
            <w:rPr>
              <w:rFonts w:hint="eastAsia"/>
            </w:rPr>
            <w:instrText xml:space="preserve"> </w:instrText>
          </w:r>
          <w:r>
            <w:instrText xml:space="preserve">PAGEREF _Toc231569732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"_Toc231569733" </w:instrText>
          </w:r>
          <w:r>
            <w:fldChar w:fldCharType="separate"/>
          </w:r>
          <w:r>
            <w:rPr>
              <w:rStyle w:val="17"/>
            </w:rPr>
            <w:t>3.1 进度监控机制</w:t>
          </w:r>
          <w:r>
            <w:rPr>
              <w:rFonts w:hint="eastAsia"/>
            </w:rPr>
            <w:tab/>
          </w:r>
          <w:r>
            <w:rPr>
              <w:rFonts w:hint="eastAsia"/>
            </w:rPr>
            <w:fldChar w:fldCharType="begin"/>
          </w:r>
          <w:r>
            <w:rPr>
              <w:rFonts w:hint="eastAsia"/>
            </w:rPr>
            <w:instrText xml:space="preserve"> </w:instrText>
          </w:r>
          <w:r>
            <w:instrText xml:space="preserve">PAGEREF _Toc231569733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"_Toc231569734" </w:instrText>
          </w:r>
          <w:r>
            <w:fldChar w:fldCharType="separate"/>
          </w:r>
          <w:r>
            <w:rPr>
              <w:rStyle w:val="17"/>
            </w:rPr>
            <w:t>3.2 质量监控指标</w:t>
          </w:r>
          <w:r>
            <w:rPr>
              <w:rFonts w:hint="eastAsia"/>
            </w:rPr>
            <w:tab/>
          </w:r>
          <w:r>
            <w:rPr>
              <w:rFonts w:hint="eastAsia"/>
            </w:rPr>
            <w:fldChar w:fldCharType="begin"/>
          </w:r>
          <w:r>
            <w:rPr>
              <w:rFonts w:hint="eastAsia"/>
            </w:rPr>
            <w:instrText xml:space="preserve"> </w:instrText>
          </w:r>
          <w:r>
            <w:instrText xml:space="preserve">PAGEREF _Toc231569734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"_Toc231569735" </w:instrText>
          </w:r>
          <w:r>
            <w:fldChar w:fldCharType="separate"/>
          </w:r>
          <w:r>
            <w:rPr>
              <w:rStyle w:val="17"/>
            </w:rPr>
            <w:t>3.3 变更控制</w:t>
          </w:r>
          <w:r>
            <w:rPr>
              <w:rFonts w:hint="eastAsia"/>
            </w:rPr>
            <w:tab/>
          </w:r>
          <w:r>
            <w:rPr>
              <w:rFonts w:hint="eastAsia"/>
            </w:rPr>
            <w:fldChar w:fldCharType="begin"/>
          </w:r>
          <w:r>
            <w:rPr>
              <w:rFonts w:hint="eastAsia"/>
            </w:rPr>
            <w:instrText xml:space="preserve"> </w:instrText>
          </w:r>
          <w:r>
            <w:instrText xml:space="preserve">PAGEREF _Toc231569735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"_Toc231569736" </w:instrText>
          </w:r>
          <w:r>
            <w:fldChar w:fldCharType="separate"/>
          </w:r>
          <w:r>
            <w:rPr>
              <w:rStyle w:val="17"/>
            </w:rPr>
            <w:t>第四章  软件过程的改进</w:t>
          </w:r>
          <w:r>
            <w:rPr>
              <w:rFonts w:hint="eastAsia"/>
            </w:rPr>
            <w:tab/>
          </w:r>
          <w:r>
            <w:rPr>
              <w:rFonts w:hint="eastAsia"/>
            </w:rPr>
            <w:fldChar w:fldCharType="begin"/>
          </w:r>
          <w:r>
            <w:rPr>
              <w:rFonts w:hint="eastAsia"/>
            </w:rPr>
            <w:instrText xml:space="preserve"> </w:instrText>
          </w:r>
          <w:r>
            <w:instrText xml:space="preserve">PAGEREF _Toc231569736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"_Toc231569737" </w:instrText>
          </w:r>
          <w:r>
            <w:fldChar w:fldCharType="separate"/>
          </w:r>
          <w:r>
            <w:rPr>
              <w:rStyle w:val="17"/>
            </w:rPr>
            <w:t>4.1 过程改进识别</w:t>
          </w:r>
          <w:r>
            <w:rPr>
              <w:rFonts w:hint="eastAsia"/>
            </w:rPr>
            <w:tab/>
          </w:r>
          <w:r>
            <w:rPr>
              <w:rFonts w:hint="eastAsia"/>
            </w:rPr>
            <w:fldChar w:fldCharType="begin"/>
          </w:r>
          <w:r>
            <w:rPr>
              <w:rFonts w:hint="eastAsia"/>
            </w:rPr>
            <w:instrText xml:space="preserve"> </w:instrText>
          </w:r>
          <w:r>
            <w:instrText xml:space="preserve">PAGEREF _Toc231569737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"_Toc231569738" </w:instrText>
          </w:r>
          <w:r>
            <w:fldChar w:fldCharType="separate"/>
          </w:r>
          <w:r>
            <w:rPr>
              <w:rStyle w:val="17"/>
            </w:rPr>
            <w:t>4.1.1 需求阶段改进</w:t>
          </w:r>
          <w:r>
            <w:rPr>
              <w:rFonts w:hint="eastAsia"/>
            </w:rPr>
            <w:tab/>
          </w:r>
          <w:r>
            <w:rPr>
              <w:rFonts w:hint="eastAsia"/>
            </w:rPr>
            <w:fldChar w:fldCharType="begin"/>
          </w:r>
          <w:r>
            <w:rPr>
              <w:rFonts w:hint="eastAsia"/>
            </w:rPr>
            <w:instrText xml:space="preserve"> </w:instrText>
          </w:r>
          <w:r>
            <w:instrText xml:space="preserve">PAGEREF _Toc231569738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"_Toc231569739" </w:instrText>
          </w:r>
          <w:r>
            <w:fldChar w:fldCharType="separate"/>
          </w:r>
          <w:r>
            <w:rPr>
              <w:rStyle w:val="17"/>
            </w:rPr>
            <w:t>4.1.2 开发阶段改进</w:t>
          </w:r>
          <w:r>
            <w:rPr>
              <w:rFonts w:hint="eastAsia"/>
            </w:rPr>
            <w:tab/>
          </w:r>
          <w:r>
            <w:rPr>
              <w:rFonts w:hint="eastAsia"/>
            </w:rPr>
            <w:fldChar w:fldCharType="begin"/>
          </w:r>
          <w:r>
            <w:rPr>
              <w:rFonts w:hint="eastAsia"/>
            </w:rPr>
            <w:instrText xml:space="preserve"> </w:instrText>
          </w:r>
          <w:r>
            <w:instrText xml:space="preserve">PAGEREF _Toc231569739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"_Toc231569740" </w:instrText>
          </w:r>
          <w:r>
            <w:fldChar w:fldCharType="separate"/>
          </w:r>
          <w:r>
            <w:rPr>
              <w:rStyle w:val="17"/>
            </w:rPr>
            <w:t>4.1.3 测试阶段改进</w:t>
          </w:r>
          <w:r>
            <w:rPr>
              <w:rFonts w:hint="eastAsia"/>
            </w:rPr>
            <w:tab/>
          </w:r>
          <w:r>
            <w:rPr>
              <w:rFonts w:hint="eastAsia"/>
            </w:rPr>
            <w:fldChar w:fldCharType="begin"/>
          </w:r>
          <w:r>
            <w:rPr>
              <w:rFonts w:hint="eastAsia"/>
            </w:rPr>
            <w:instrText xml:space="preserve"> </w:instrText>
          </w:r>
          <w:r>
            <w:instrText xml:space="preserve">PAGEREF _Toc231569740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"_Toc231569741" </w:instrText>
          </w:r>
          <w:r>
            <w:fldChar w:fldCharType="separate"/>
          </w:r>
          <w:r>
            <w:rPr>
              <w:rStyle w:val="17"/>
            </w:rPr>
            <w:t>4.2 CMMI过程改进视角</w:t>
          </w:r>
          <w:r>
            <w:rPr>
              <w:rFonts w:hint="eastAsia"/>
            </w:rPr>
            <w:tab/>
          </w:r>
          <w:r>
            <w:rPr>
              <w:rFonts w:hint="eastAsia"/>
            </w:rPr>
            <w:fldChar w:fldCharType="begin"/>
          </w:r>
          <w:r>
            <w:rPr>
              <w:rFonts w:hint="eastAsia"/>
            </w:rPr>
            <w:instrText xml:space="preserve"> </w:instrText>
          </w:r>
          <w:r>
            <w:instrText xml:space="preserve">PAGEREF _Toc231569741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"_Toc231569742" </w:instrText>
          </w:r>
          <w:r>
            <w:fldChar w:fldCharType="separate"/>
          </w:r>
          <w:r>
            <w:rPr>
              <w:rStyle w:val="17"/>
              <w:rFonts w:ascii="宋体" w:hAnsi="宋体" w:eastAsia="宋体" w:cs="宋体"/>
            </w:rPr>
            <w:t>第</w:t>
          </w:r>
          <w:r>
            <w:rPr>
              <w:rStyle w:val="17"/>
            </w:rPr>
            <w:t>五章  项目风险管理</w:t>
          </w:r>
          <w:r>
            <w:rPr>
              <w:rFonts w:hint="eastAsia"/>
            </w:rPr>
            <w:tab/>
          </w:r>
          <w:r>
            <w:rPr>
              <w:rFonts w:hint="eastAsia"/>
            </w:rPr>
            <w:fldChar w:fldCharType="begin"/>
          </w:r>
          <w:r>
            <w:rPr>
              <w:rFonts w:hint="eastAsia"/>
            </w:rPr>
            <w:instrText xml:space="preserve"> </w:instrText>
          </w:r>
          <w:r>
            <w:instrText xml:space="preserve">PAGEREF _Toc231569742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"_Toc231569743" </w:instrText>
          </w:r>
          <w:r>
            <w:fldChar w:fldCharType="separate"/>
          </w:r>
          <w:r>
            <w:rPr>
              <w:rStyle w:val="17"/>
            </w:rPr>
            <w:t>5.1 风险识别与评估矩阵</w:t>
          </w:r>
          <w:r>
            <w:rPr>
              <w:rFonts w:hint="eastAsia"/>
            </w:rPr>
            <w:tab/>
          </w:r>
          <w:r>
            <w:rPr>
              <w:rFonts w:hint="eastAsia"/>
            </w:rPr>
            <w:fldChar w:fldCharType="begin"/>
          </w:r>
          <w:r>
            <w:rPr>
              <w:rFonts w:hint="eastAsia"/>
            </w:rPr>
            <w:instrText xml:space="preserve"> </w:instrText>
          </w:r>
          <w:r>
            <w:instrText xml:space="preserve">PAGEREF _Toc231569743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"_Toc231569744" </w:instrText>
          </w:r>
          <w:r>
            <w:fldChar w:fldCharType="separate"/>
          </w:r>
          <w:r>
            <w:rPr>
              <w:rStyle w:val="17"/>
            </w:rPr>
            <w:t>5.2 风险监控与跟踪</w:t>
          </w:r>
          <w:r>
            <w:rPr>
              <w:rFonts w:hint="eastAsia"/>
            </w:rPr>
            <w:tab/>
          </w:r>
          <w:r>
            <w:rPr>
              <w:rFonts w:hint="eastAsia"/>
            </w:rPr>
            <w:fldChar w:fldCharType="begin"/>
          </w:r>
          <w:r>
            <w:rPr>
              <w:rFonts w:hint="eastAsia"/>
            </w:rPr>
            <w:instrText xml:space="preserve"> </w:instrText>
          </w:r>
          <w:r>
            <w:instrText xml:space="preserve">PAGEREF _Toc231569744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"_Toc231569745" </w:instrText>
          </w:r>
          <w:r>
            <w:fldChar w:fldCharType="separate"/>
          </w:r>
          <w:r>
            <w:rPr>
              <w:rStyle w:val="17"/>
            </w:rPr>
            <w:t>第六章  项目收尾工作</w:t>
          </w:r>
          <w:r>
            <w:rPr>
              <w:rFonts w:hint="eastAsia"/>
            </w:rPr>
            <w:tab/>
          </w:r>
          <w:r>
            <w:rPr>
              <w:rFonts w:hint="eastAsia"/>
            </w:rPr>
            <w:fldChar w:fldCharType="begin"/>
          </w:r>
          <w:r>
            <w:rPr>
              <w:rFonts w:hint="eastAsia"/>
            </w:rPr>
            <w:instrText xml:space="preserve"> </w:instrText>
          </w:r>
          <w:r>
            <w:instrText xml:space="preserve">PAGEREF _Toc231569745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"_Toc231569746" </w:instrText>
          </w:r>
          <w:r>
            <w:fldChar w:fldCharType="separate"/>
          </w:r>
          <w:r>
            <w:rPr>
              <w:rStyle w:val="17"/>
            </w:rPr>
            <w:t>6.1 收尾检查清单</w:t>
          </w:r>
          <w:r>
            <w:rPr>
              <w:rFonts w:hint="eastAsia"/>
            </w:rPr>
            <w:tab/>
          </w:r>
          <w:r>
            <w:rPr>
              <w:rFonts w:hint="eastAsia"/>
            </w:rPr>
            <w:fldChar w:fldCharType="begin"/>
          </w:r>
          <w:r>
            <w:rPr>
              <w:rFonts w:hint="eastAsia"/>
            </w:rPr>
            <w:instrText xml:space="preserve"> </w:instrText>
          </w:r>
          <w:r>
            <w:instrText xml:space="preserve">PAGEREF _Toc231569746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"_Toc231569747" </w:instrText>
          </w:r>
          <w:r>
            <w:fldChar w:fldCharType="separate"/>
          </w:r>
          <w:r>
            <w:rPr>
              <w:rStyle w:val="17"/>
            </w:rPr>
            <w:t>6.2 经验教训总结</w:t>
          </w:r>
          <w:r>
            <w:rPr>
              <w:rFonts w:hint="eastAsia"/>
            </w:rPr>
            <w:tab/>
          </w:r>
          <w:r>
            <w:rPr>
              <w:rFonts w:hint="eastAsia"/>
            </w:rPr>
            <w:fldChar w:fldCharType="begin"/>
          </w:r>
          <w:r>
            <w:rPr>
              <w:rFonts w:hint="eastAsia"/>
            </w:rPr>
            <w:instrText xml:space="preserve"> </w:instrText>
          </w:r>
          <w:r>
            <w:instrText xml:space="preserve">PAGEREF _Toc231569747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"_Toc231569748" </w:instrText>
          </w:r>
          <w:r>
            <w:fldChar w:fldCharType="separate"/>
          </w:r>
          <w:r>
            <w:rPr>
              <w:rStyle w:val="17"/>
            </w:rPr>
            <w:t>6.2.1 值得推广的经验</w:t>
          </w:r>
          <w:r>
            <w:rPr>
              <w:rFonts w:hint="eastAsia"/>
            </w:rPr>
            <w:tab/>
          </w:r>
          <w:r>
            <w:rPr>
              <w:rFonts w:hint="eastAsia"/>
            </w:rPr>
            <w:fldChar w:fldCharType="begin"/>
          </w:r>
          <w:r>
            <w:rPr>
              <w:rFonts w:hint="eastAsia"/>
            </w:rPr>
            <w:instrText xml:space="preserve"> </w:instrText>
          </w:r>
          <w:r>
            <w:instrText xml:space="preserve">PAGEREF _Toc231569748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"_Toc231569749" </w:instrText>
          </w:r>
          <w:r>
            <w:fldChar w:fldCharType="separate"/>
          </w:r>
          <w:r>
            <w:rPr>
              <w:rStyle w:val="17"/>
            </w:rPr>
            <w:t>6.2.2 需要改进的经验</w:t>
          </w:r>
          <w:r>
            <w:rPr>
              <w:rFonts w:hint="eastAsia"/>
            </w:rPr>
            <w:tab/>
          </w:r>
          <w:r>
            <w:rPr>
              <w:rFonts w:hint="eastAsia"/>
            </w:rPr>
            <w:fldChar w:fldCharType="begin"/>
          </w:r>
          <w:r>
            <w:rPr>
              <w:rFonts w:hint="eastAsia"/>
            </w:rPr>
            <w:instrText xml:space="preserve"> </w:instrText>
          </w:r>
          <w:r>
            <w:instrText xml:space="preserve">PAGEREF _Toc231569749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"_Toc231569750" </w:instrText>
          </w:r>
          <w:r>
            <w:fldChar w:fldCharType="separate"/>
          </w:r>
          <w:r>
            <w:rPr>
              <w:rStyle w:val="17"/>
            </w:rPr>
            <w:t>6.3 产品移交</w:t>
          </w:r>
          <w:r>
            <w:rPr>
              <w:rFonts w:hint="eastAsia"/>
            </w:rPr>
            <w:tab/>
          </w:r>
          <w:r>
            <w:rPr>
              <w:rFonts w:hint="eastAsia"/>
            </w:rPr>
            <w:fldChar w:fldCharType="begin"/>
          </w:r>
          <w:r>
            <w:rPr>
              <w:rFonts w:hint="eastAsia"/>
            </w:rPr>
            <w:instrText xml:space="preserve"> </w:instrText>
          </w:r>
          <w:r>
            <w:instrText xml:space="preserve">PAGEREF _Toc231569750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"_Toc231569751" </w:instrText>
          </w:r>
          <w:r>
            <w:fldChar w:fldCharType="separate"/>
          </w:r>
          <w:r>
            <w:rPr>
              <w:rStyle w:val="17"/>
            </w:rPr>
            <w:t>第七章  软件原型的规模估算</w:t>
          </w:r>
          <w:r>
            <w:rPr>
              <w:rFonts w:hint="eastAsia"/>
            </w:rPr>
            <w:tab/>
          </w:r>
          <w:r>
            <w:rPr>
              <w:rFonts w:hint="eastAsia"/>
            </w:rPr>
            <w:fldChar w:fldCharType="begin"/>
          </w:r>
          <w:r>
            <w:rPr>
              <w:rFonts w:hint="eastAsia"/>
            </w:rPr>
            <w:instrText xml:space="preserve"> </w:instrText>
          </w:r>
          <w:r>
            <w:instrText xml:space="preserve">PAGEREF _Toc231569751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"_Toc231569752" </w:instrText>
          </w:r>
          <w:r>
            <w:fldChar w:fldCharType="separate"/>
          </w:r>
          <w:r>
            <w:rPr>
              <w:rStyle w:val="17"/>
            </w:rPr>
            <w:t>7.1 度量方法概述</w:t>
          </w:r>
          <w:r>
            <w:rPr>
              <w:rFonts w:hint="eastAsia"/>
            </w:rPr>
            <w:tab/>
          </w:r>
          <w:r>
            <w:rPr>
              <w:rFonts w:hint="eastAsia"/>
            </w:rPr>
            <w:fldChar w:fldCharType="begin"/>
          </w:r>
          <w:r>
            <w:rPr>
              <w:rFonts w:hint="eastAsia"/>
            </w:rPr>
            <w:instrText xml:space="preserve"> </w:instrText>
          </w:r>
          <w:r>
            <w:instrText xml:space="preserve">PAGEREF _Toc231569752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"_Toc231569753" </w:instrText>
          </w:r>
          <w:r>
            <w:fldChar w:fldCharType="separate"/>
          </w:r>
          <w:r>
            <w:rPr>
              <w:rStyle w:val="17"/>
            </w:rPr>
            <w:t>7.2 系统边界与度量范围</w:t>
          </w:r>
          <w:r>
            <w:rPr>
              <w:rFonts w:hint="eastAsia"/>
            </w:rPr>
            <w:tab/>
          </w:r>
          <w:r>
            <w:rPr>
              <w:rFonts w:hint="eastAsia"/>
            </w:rPr>
            <w:fldChar w:fldCharType="begin"/>
          </w:r>
          <w:r>
            <w:rPr>
              <w:rFonts w:hint="eastAsia"/>
            </w:rPr>
            <w:instrText xml:space="preserve"> </w:instrText>
          </w:r>
          <w:r>
            <w:instrText xml:space="preserve">PAGEREF _Toc231569753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"_Toc231569754" </w:instrText>
          </w:r>
          <w:r>
            <w:fldChar w:fldCharType="separate"/>
          </w:r>
          <w:r>
            <w:rPr>
              <w:rStyle w:val="17"/>
            </w:rPr>
            <w:t>7.3 IFPUG功能点分析</w:t>
          </w:r>
          <w:r>
            <w:rPr>
              <w:rFonts w:hint="eastAsia"/>
            </w:rPr>
            <w:tab/>
          </w:r>
          <w:r>
            <w:rPr>
              <w:rFonts w:hint="eastAsia"/>
            </w:rPr>
            <w:fldChar w:fldCharType="begin"/>
          </w:r>
          <w:r>
            <w:rPr>
              <w:rFonts w:hint="eastAsia"/>
            </w:rPr>
            <w:instrText xml:space="preserve"> </w:instrText>
          </w:r>
          <w:r>
            <w:instrText xml:space="preserve">PAGEREF _Toc231569754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"_Toc231569755" </w:instrText>
          </w:r>
          <w:r>
            <w:fldChar w:fldCharType="separate"/>
          </w:r>
          <w:r>
            <w:rPr>
              <w:rStyle w:val="17"/>
            </w:rPr>
            <w:t>7.3.1 数据类功能点</w:t>
          </w:r>
          <w:r>
            <w:rPr>
              <w:rFonts w:hint="eastAsia"/>
            </w:rPr>
            <w:tab/>
          </w:r>
          <w:r>
            <w:rPr>
              <w:rFonts w:hint="eastAsia"/>
            </w:rPr>
            <w:fldChar w:fldCharType="begin"/>
          </w:r>
          <w:r>
            <w:rPr>
              <w:rFonts w:hint="eastAsia"/>
            </w:rPr>
            <w:instrText xml:space="preserve"> </w:instrText>
          </w:r>
          <w:r>
            <w:instrText xml:space="preserve">PAGEREF _Toc231569755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"_Toc231569756" </w:instrText>
          </w:r>
          <w:r>
            <w:fldChar w:fldCharType="separate"/>
          </w:r>
          <w:r>
            <w:rPr>
              <w:rStyle w:val="17"/>
            </w:rPr>
            <w:t>7.3.2 人机交互事务类功能点</w:t>
          </w:r>
          <w:r>
            <w:rPr>
              <w:rFonts w:hint="eastAsia"/>
            </w:rPr>
            <w:tab/>
          </w:r>
          <w:r>
            <w:rPr>
              <w:rFonts w:hint="eastAsia"/>
            </w:rPr>
            <w:fldChar w:fldCharType="begin"/>
          </w:r>
          <w:r>
            <w:rPr>
              <w:rFonts w:hint="eastAsia"/>
            </w:rPr>
            <w:instrText xml:space="preserve"> </w:instrText>
          </w:r>
          <w:r>
            <w:instrText xml:space="preserve">PAGEREF _Toc231569756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"_Toc231569757" </w:instrText>
          </w:r>
          <w:r>
            <w:fldChar w:fldCharType="separate"/>
          </w:r>
          <w:r>
            <w:rPr>
              <w:rStyle w:val="17"/>
            </w:rPr>
            <w:t>7.3.3 未调整功能点计算</w:t>
          </w:r>
          <w:r>
            <w:rPr>
              <w:rFonts w:hint="eastAsia"/>
            </w:rPr>
            <w:tab/>
          </w:r>
          <w:r>
            <w:rPr>
              <w:rFonts w:hint="eastAsia"/>
            </w:rPr>
            <w:fldChar w:fldCharType="begin"/>
          </w:r>
          <w:r>
            <w:rPr>
              <w:rFonts w:hint="eastAsia"/>
            </w:rPr>
            <w:instrText xml:space="preserve"> </w:instrText>
          </w:r>
          <w:r>
            <w:instrText xml:space="preserve">PAGEREF _Toc231569757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"_Toc231569758" </w:instrText>
          </w:r>
          <w:r>
            <w:fldChar w:fldCharType="separate"/>
          </w:r>
          <w:r>
            <w:rPr>
              <w:rStyle w:val="17"/>
            </w:rPr>
            <w:t>7.3.4 值调整因子（VAF）计算</w:t>
          </w:r>
          <w:r>
            <w:rPr>
              <w:rFonts w:hint="eastAsia"/>
            </w:rPr>
            <w:tab/>
          </w:r>
          <w:r>
            <w:rPr>
              <w:rFonts w:hint="eastAsia"/>
            </w:rPr>
            <w:fldChar w:fldCharType="begin"/>
          </w:r>
          <w:r>
            <w:rPr>
              <w:rFonts w:hint="eastAsia"/>
            </w:rPr>
            <w:instrText xml:space="preserve"> </w:instrText>
          </w:r>
          <w:r>
            <w:instrText xml:space="preserve">PAGEREF _Toc231569758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"_Toc231569759" </w:instrText>
          </w:r>
          <w:r>
            <w:fldChar w:fldCharType="separate"/>
          </w:r>
          <w:r>
            <w:rPr>
              <w:rStyle w:val="17"/>
            </w:rPr>
            <w:t>7.4 NESMA方法交叉验证</w:t>
          </w:r>
          <w:r>
            <w:rPr>
              <w:rFonts w:hint="eastAsia"/>
            </w:rPr>
            <w:tab/>
          </w:r>
          <w:r>
            <w:rPr>
              <w:rFonts w:hint="eastAsia"/>
            </w:rPr>
            <w:fldChar w:fldCharType="begin"/>
          </w:r>
          <w:r>
            <w:rPr>
              <w:rFonts w:hint="eastAsia"/>
            </w:rPr>
            <w:instrText xml:space="preserve"> </w:instrText>
          </w:r>
          <w:r>
            <w:instrText xml:space="preserve">PAGEREF _Toc231569759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"_Toc231569760" </w:instrText>
          </w:r>
          <w:r>
            <w:fldChar w:fldCharType="separate"/>
          </w:r>
          <w:r>
            <w:rPr>
              <w:rStyle w:val="17"/>
            </w:rPr>
            <w:t>7.5 规模估算汇总</w:t>
          </w:r>
          <w:r>
            <w:rPr>
              <w:rFonts w:hint="eastAsia"/>
            </w:rPr>
            <w:tab/>
          </w:r>
          <w:r>
            <w:rPr>
              <w:rFonts w:hint="eastAsia"/>
            </w:rPr>
            <w:fldChar w:fldCharType="begin"/>
          </w:r>
          <w:r>
            <w:rPr>
              <w:rFonts w:hint="eastAsia"/>
            </w:rPr>
            <w:instrText xml:space="preserve"> </w:instrText>
          </w:r>
          <w:r>
            <w:instrText xml:space="preserve">PAGEREF _Toc231569760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"_Toc231569761" </w:instrText>
          </w:r>
          <w:r>
            <w:fldChar w:fldCharType="separate"/>
          </w:r>
          <w:r>
            <w:rPr>
              <w:rStyle w:val="17"/>
            </w:rPr>
            <w:t>第八章  软件成本估算</w:t>
          </w:r>
          <w:r>
            <w:rPr>
              <w:rFonts w:hint="eastAsia"/>
            </w:rPr>
            <w:tab/>
          </w:r>
          <w:r>
            <w:rPr>
              <w:rFonts w:hint="eastAsia"/>
            </w:rPr>
            <w:fldChar w:fldCharType="begin"/>
          </w:r>
          <w:r>
            <w:rPr>
              <w:rFonts w:hint="eastAsia"/>
            </w:rPr>
            <w:instrText xml:space="preserve"> </w:instrText>
          </w:r>
          <w:r>
            <w:instrText xml:space="preserve">PAGEREF _Toc231569761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"_Toc231569762" </w:instrText>
          </w:r>
          <w:r>
            <w:fldChar w:fldCharType="separate"/>
          </w:r>
          <w:r>
            <w:rPr>
              <w:rStyle w:val="17"/>
            </w:rPr>
            <w:t>8.1 估算方法与数据来源</w:t>
          </w:r>
          <w:r>
            <w:rPr>
              <w:rFonts w:hint="eastAsia"/>
            </w:rPr>
            <w:tab/>
          </w:r>
          <w:r>
            <w:rPr>
              <w:rFonts w:hint="eastAsia"/>
            </w:rPr>
            <w:fldChar w:fldCharType="begin"/>
          </w:r>
          <w:r>
            <w:rPr>
              <w:rFonts w:hint="eastAsia"/>
            </w:rPr>
            <w:instrText xml:space="preserve"> </w:instrText>
          </w:r>
          <w:r>
            <w:instrText xml:space="preserve">PAGEREF _Toc231569762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"_Toc231569763" </w:instrText>
          </w:r>
          <w:r>
            <w:fldChar w:fldCharType="separate"/>
          </w:r>
          <w:r>
            <w:rPr>
              <w:rStyle w:val="17"/>
            </w:rPr>
            <w:t>8.2 GB/T 36964方法估算（主要方法）</w:t>
          </w:r>
          <w:r>
            <w:rPr>
              <w:rFonts w:hint="eastAsia"/>
            </w:rPr>
            <w:tab/>
          </w:r>
          <w:r>
            <w:rPr>
              <w:rFonts w:hint="eastAsia"/>
            </w:rPr>
            <w:fldChar w:fldCharType="begin"/>
          </w:r>
          <w:r>
            <w:rPr>
              <w:rFonts w:hint="eastAsia"/>
            </w:rPr>
            <w:instrText xml:space="preserve"> </w:instrText>
          </w:r>
          <w:r>
            <w:instrText xml:space="preserve">PAGEREF _Toc231569763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"_Toc231569764" </w:instrText>
          </w:r>
          <w:r>
            <w:fldChar w:fldCharType="separate"/>
          </w:r>
          <w:r>
            <w:rPr>
              <w:rStyle w:val="17"/>
            </w:rPr>
            <w:t>8.2.1 生产率选取依据</w:t>
          </w:r>
          <w:r>
            <w:rPr>
              <w:rFonts w:hint="eastAsia"/>
            </w:rPr>
            <w:tab/>
          </w:r>
          <w:r>
            <w:rPr>
              <w:rFonts w:hint="eastAsia"/>
            </w:rPr>
            <w:fldChar w:fldCharType="begin"/>
          </w:r>
          <w:r>
            <w:rPr>
              <w:rFonts w:hint="eastAsia"/>
            </w:rPr>
            <w:instrText xml:space="preserve"> </w:instrText>
          </w:r>
          <w:r>
            <w:instrText xml:space="preserve">PAGEREF _Toc231569764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"_Toc231569765" </w:instrText>
          </w:r>
          <w:r>
            <w:fldChar w:fldCharType="separate"/>
          </w:r>
          <w:r>
            <w:rPr>
              <w:rStyle w:val="17"/>
            </w:rPr>
            <w:t>8.2.2 工作量与成本计算</w:t>
          </w:r>
          <w:r>
            <w:rPr>
              <w:rFonts w:hint="eastAsia"/>
            </w:rPr>
            <w:tab/>
          </w:r>
          <w:r>
            <w:rPr>
              <w:rFonts w:hint="eastAsia"/>
            </w:rPr>
            <w:fldChar w:fldCharType="begin"/>
          </w:r>
          <w:r>
            <w:rPr>
              <w:rFonts w:hint="eastAsia"/>
            </w:rPr>
            <w:instrText xml:space="preserve"> </w:instrText>
          </w:r>
          <w:r>
            <w:instrText xml:space="preserve">PAGEREF _Toc231569765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"_Toc231569766" </w:instrText>
          </w:r>
          <w:r>
            <w:fldChar w:fldCharType="separate"/>
          </w:r>
          <w:r>
            <w:rPr>
              <w:rStyle w:val="17"/>
            </w:rPr>
            <w:t>8.3 COCOMO II方法估算（交叉验证）</w:t>
          </w:r>
          <w:r>
            <w:rPr>
              <w:rFonts w:hint="eastAsia"/>
            </w:rPr>
            <w:tab/>
          </w:r>
          <w:r>
            <w:rPr>
              <w:rFonts w:hint="eastAsia"/>
            </w:rPr>
            <w:fldChar w:fldCharType="begin"/>
          </w:r>
          <w:r>
            <w:rPr>
              <w:rFonts w:hint="eastAsia"/>
            </w:rPr>
            <w:instrText xml:space="preserve"> </w:instrText>
          </w:r>
          <w:r>
            <w:instrText xml:space="preserve">PAGEREF _Toc231569766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"_Toc231569767" </w:instrText>
          </w:r>
          <w:r>
            <w:fldChar w:fldCharType="separate"/>
          </w:r>
          <w:r>
            <w:rPr>
              <w:rStyle w:val="17"/>
            </w:rPr>
            <w:t>8.4 双方法对比分析</w:t>
          </w:r>
          <w:r>
            <w:rPr>
              <w:rFonts w:hint="eastAsia"/>
            </w:rPr>
            <w:tab/>
          </w:r>
          <w:r>
            <w:rPr>
              <w:rFonts w:hint="eastAsia"/>
            </w:rPr>
            <w:fldChar w:fldCharType="begin"/>
          </w:r>
          <w:r>
            <w:rPr>
              <w:rFonts w:hint="eastAsia"/>
            </w:rPr>
            <w:instrText xml:space="preserve"> </w:instrText>
          </w:r>
          <w:r>
            <w:instrText xml:space="preserve">PAGEREF _Toc231569767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"_Toc231569768" </w:instrText>
          </w:r>
          <w:r>
            <w:fldChar w:fldCharType="separate"/>
          </w:r>
          <w:r>
            <w:rPr>
              <w:rStyle w:val="17"/>
            </w:rPr>
            <w:t>第九章  软件定价策略</w:t>
          </w:r>
          <w:r>
            <w:rPr>
              <w:rFonts w:hint="eastAsia"/>
            </w:rPr>
            <w:tab/>
          </w:r>
          <w:r>
            <w:rPr>
              <w:rFonts w:hint="eastAsia"/>
            </w:rPr>
            <w:fldChar w:fldCharType="begin"/>
          </w:r>
          <w:r>
            <w:rPr>
              <w:rFonts w:hint="eastAsia"/>
            </w:rPr>
            <w:instrText xml:space="preserve"> </w:instrText>
          </w:r>
          <w:r>
            <w:instrText xml:space="preserve">PAGEREF _Toc231569768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"_Toc231569769" </w:instrText>
          </w:r>
          <w:r>
            <w:fldChar w:fldCharType="separate"/>
          </w:r>
          <w:r>
            <w:rPr>
              <w:rStyle w:val="17"/>
            </w:rPr>
            <w:t>9.1 定价基础分析</w:t>
          </w:r>
          <w:r>
            <w:rPr>
              <w:rFonts w:hint="eastAsia"/>
            </w:rPr>
            <w:tab/>
          </w:r>
          <w:r>
            <w:rPr>
              <w:rFonts w:hint="eastAsia"/>
            </w:rPr>
            <w:fldChar w:fldCharType="begin"/>
          </w:r>
          <w:r>
            <w:rPr>
              <w:rFonts w:hint="eastAsia"/>
            </w:rPr>
            <w:instrText xml:space="preserve"> </w:instrText>
          </w:r>
          <w:r>
            <w:instrText xml:space="preserve">PAGEREF _Toc231569769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"_Toc231569770" </w:instrText>
          </w:r>
          <w:r>
            <w:fldChar w:fldCharType="separate"/>
          </w:r>
          <w:r>
            <w:rPr>
              <w:rStyle w:val="17"/>
            </w:rPr>
            <w:t>9.2 成本加成定价（Cost-Plus Pricing）</w:t>
          </w:r>
          <w:r>
            <w:rPr>
              <w:rFonts w:hint="eastAsia"/>
            </w:rPr>
            <w:tab/>
          </w:r>
          <w:r>
            <w:rPr>
              <w:rFonts w:hint="eastAsia"/>
            </w:rPr>
            <w:fldChar w:fldCharType="begin"/>
          </w:r>
          <w:r>
            <w:rPr>
              <w:rFonts w:hint="eastAsia"/>
            </w:rPr>
            <w:instrText xml:space="preserve"> </w:instrText>
          </w:r>
          <w:r>
            <w:instrText xml:space="preserve">PAGEREF _Toc231569770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"_Toc231569771" </w:instrText>
          </w:r>
          <w:r>
            <w:fldChar w:fldCharType="separate"/>
          </w:r>
          <w:r>
            <w:rPr>
              <w:rStyle w:val="17"/>
            </w:rPr>
            <w:t>9.3 SaaS订阅定价（Subscription Pricing）</w:t>
          </w:r>
          <w:r>
            <w:rPr>
              <w:rFonts w:hint="eastAsia"/>
            </w:rPr>
            <w:tab/>
          </w:r>
          <w:r>
            <w:rPr>
              <w:rFonts w:hint="eastAsia"/>
            </w:rPr>
            <w:fldChar w:fldCharType="begin"/>
          </w:r>
          <w:r>
            <w:rPr>
              <w:rFonts w:hint="eastAsia"/>
            </w:rPr>
            <w:instrText xml:space="preserve"> </w:instrText>
          </w:r>
          <w:r>
            <w:instrText xml:space="preserve">PAGEREF _Toc231569771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"_Toc231569772" </w:instrText>
          </w:r>
          <w:r>
            <w:fldChar w:fldCharType="separate"/>
          </w:r>
          <w:r>
            <w:rPr>
              <w:rStyle w:val="17"/>
            </w:rPr>
            <w:t>9.4 基于价值的定价（Value-Based Pricing）</w:t>
          </w:r>
          <w:r>
            <w:rPr>
              <w:rFonts w:hint="eastAsia"/>
            </w:rPr>
            <w:tab/>
          </w:r>
          <w:r>
            <w:rPr>
              <w:rFonts w:hint="eastAsia"/>
            </w:rPr>
            <w:fldChar w:fldCharType="begin"/>
          </w:r>
          <w:r>
            <w:rPr>
              <w:rFonts w:hint="eastAsia"/>
            </w:rPr>
            <w:instrText xml:space="preserve"> </w:instrText>
          </w:r>
          <w:r>
            <w:instrText xml:space="preserve">PAGEREF _Toc231569772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"_Toc231569773" </w:instrText>
          </w:r>
          <w:r>
            <w:fldChar w:fldCharType="separate"/>
          </w:r>
          <w:r>
            <w:rPr>
              <w:rStyle w:val="17"/>
            </w:rPr>
            <w:t>第十章  资金筹集</w:t>
          </w:r>
          <w:r>
            <w:rPr>
              <w:rFonts w:hint="eastAsia"/>
            </w:rPr>
            <w:tab/>
          </w:r>
          <w:r>
            <w:rPr>
              <w:rFonts w:hint="eastAsia"/>
            </w:rPr>
            <w:fldChar w:fldCharType="begin"/>
          </w:r>
          <w:r>
            <w:rPr>
              <w:rFonts w:hint="eastAsia"/>
            </w:rPr>
            <w:instrText xml:space="preserve"> </w:instrText>
          </w:r>
          <w:r>
            <w:instrText xml:space="preserve">PAGEREF _Toc231569773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"_Toc231569774" </w:instrText>
          </w:r>
          <w:r>
            <w:fldChar w:fldCharType="separate"/>
          </w:r>
          <w:r>
            <w:rPr>
              <w:rStyle w:val="17"/>
            </w:rPr>
            <w:t>10.1 当前项目资金来源</w:t>
          </w:r>
          <w:r>
            <w:rPr>
              <w:rFonts w:hint="eastAsia"/>
            </w:rPr>
            <w:tab/>
          </w:r>
          <w:r>
            <w:rPr>
              <w:rFonts w:hint="eastAsia"/>
            </w:rPr>
            <w:fldChar w:fldCharType="begin"/>
          </w:r>
          <w:r>
            <w:rPr>
              <w:rFonts w:hint="eastAsia"/>
            </w:rPr>
            <w:instrText xml:space="preserve"> </w:instrText>
          </w:r>
          <w:r>
            <w:instrText xml:space="preserve">PAGEREF _Toc231569774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"_Toc231569775" </w:instrText>
          </w:r>
          <w:r>
            <w:fldChar w:fldCharType="separate"/>
          </w:r>
          <w:r>
            <w:rPr>
              <w:rStyle w:val="17"/>
            </w:rPr>
            <w:t>10.2 商业化阶段资金筹集策略</w:t>
          </w:r>
          <w:r>
            <w:rPr>
              <w:rFonts w:hint="eastAsia"/>
            </w:rPr>
            <w:tab/>
          </w:r>
          <w:r>
            <w:rPr>
              <w:rFonts w:hint="eastAsia"/>
            </w:rPr>
            <w:fldChar w:fldCharType="begin"/>
          </w:r>
          <w:r>
            <w:rPr>
              <w:rFonts w:hint="eastAsia"/>
            </w:rPr>
            <w:instrText xml:space="preserve"> </w:instrText>
          </w:r>
          <w:r>
            <w:instrText xml:space="preserve">PAGEREF _Toc231569775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"_Toc231569776" </w:instrText>
          </w:r>
          <w:r>
            <w:fldChar w:fldCharType="separate"/>
          </w:r>
          <w:r>
            <w:rPr>
              <w:rStyle w:val="17"/>
            </w:rPr>
            <w:t>10.2.1 自筹资金阶段（0-6个月）</w:t>
          </w:r>
          <w:r>
            <w:rPr>
              <w:rFonts w:hint="eastAsia"/>
            </w:rPr>
            <w:tab/>
          </w:r>
          <w:r>
            <w:rPr>
              <w:rFonts w:hint="eastAsia"/>
            </w:rPr>
            <w:fldChar w:fldCharType="begin"/>
          </w:r>
          <w:r>
            <w:rPr>
              <w:rFonts w:hint="eastAsia"/>
            </w:rPr>
            <w:instrText xml:space="preserve"> </w:instrText>
          </w:r>
          <w:r>
            <w:instrText xml:space="preserve">PAGEREF _Toc231569776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"_Toc231569777" </w:instrText>
          </w:r>
          <w:r>
            <w:fldChar w:fldCharType="separate"/>
          </w:r>
          <w:r>
            <w:rPr>
              <w:rStyle w:val="17"/>
            </w:rPr>
            <w:t>10.2.2 种子融资阶段（6-18个月）</w:t>
          </w:r>
          <w:r>
            <w:rPr>
              <w:rFonts w:hint="eastAsia"/>
            </w:rPr>
            <w:tab/>
          </w:r>
          <w:r>
            <w:rPr>
              <w:rFonts w:hint="eastAsia"/>
            </w:rPr>
            <w:fldChar w:fldCharType="begin"/>
          </w:r>
          <w:r>
            <w:rPr>
              <w:rFonts w:hint="eastAsia"/>
            </w:rPr>
            <w:instrText xml:space="preserve"> </w:instrText>
          </w:r>
          <w:r>
            <w:instrText xml:space="preserve">PAGEREF _Toc231569777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8"/>
            <w:tabs>
              <w:tab w:val="right" w:leader="dot" w:pos="8296"/>
            </w:tabs>
            <w:ind w:left="880" w:firstLine="440"/>
            <w:rPr>
              <w:rFonts w:hint="eastAsia" w:asciiTheme="minorHAnsi" w:hAnsiTheme="minorHAnsi" w:cstheme="minorBidi"/>
              <w:kern w:val="2"/>
              <w:szCs w:val="24"/>
              <w14:ligatures w14:val="standardContextual"/>
            </w:rPr>
          </w:pPr>
          <w:r>
            <w:fldChar w:fldCharType="begin"/>
          </w:r>
          <w:r>
            <w:instrText xml:space="preserve"> HYPERLINK \l "_Toc231569778" </w:instrText>
          </w:r>
          <w:r>
            <w:fldChar w:fldCharType="separate"/>
          </w:r>
          <w:r>
            <w:rPr>
              <w:rStyle w:val="17"/>
            </w:rPr>
            <w:t>10.2.3 商业贷款与补贴</w:t>
          </w:r>
          <w:r>
            <w:rPr>
              <w:rFonts w:hint="eastAsia"/>
            </w:rPr>
            <w:tab/>
          </w:r>
          <w:r>
            <w:rPr>
              <w:rFonts w:hint="eastAsia"/>
            </w:rPr>
            <w:fldChar w:fldCharType="begin"/>
          </w:r>
          <w:r>
            <w:rPr>
              <w:rFonts w:hint="eastAsia"/>
            </w:rPr>
            <w:instrText xml:space="preserve"> </w:instrText>
          </w:r>
          <w:r>
            <w:instrText xml:space="preserve">PAGEREF _Toc231569778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"_Toc231569779" </w:instrText>
          </w:r>
          <w:r>
            <w:fldChar w:fldCharType="separate"/>
          </w:r>
          <w:r>
            <w:rPr>
              <w:rStyle w:val="17"/>
            </w:rPr>
            <w:t>第十一章  软件产品的财务评估</w:t>
          </w:r>
          <w:r>
            <w:rPr>
              <w:rFonts w:hint="eastAsia"/>
            </w:rPr>
            <w:tab/>
          </w:r>
          <w:r>
            <w:rPr>
              <w:rFonts w:hint="eastAsia"/>
            </w:rPr>
            <w:fldChar w:fldCharType="begin"/>
          </w:r>
          <w:r>
            <w:rPr>
              <w:rFonts w:hint="eastAsia"/>
            </w:rPr>
            <w:instrText xml:space="preserve"> </w:instrText>
          </w:r>
          <w:r>
            <w:instrText xml:space="preserve">PAGEREF _Toc231569779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"_Toc231569780" </w:instrText>
          </w:r>
          <w:r>
            <w:fldChar w:fldCharType="separate"/>
          </w:r>
          <w:r>
            <w:rPr>
              <w:rStyle w:val="17"/>
            </w:rPr>
            <w:t>11.1 财务评估基本假设</w:t>
          </w:r>
          <w:r>
            <w:rPr>
              <w:rFonts w:hint="eastAsia"/>
            </w:rPr>
            <w:tab/>
          </w:r>
          <w:r>
            <w:rPr>
              <w:rFonts w:hint="eastAsia"/>
            </w:rPr>
            <w:fldChar w:fldCharType="begin"/>
          </w:r>
          <w:r>
            <w:rPr>
              <w:rFonts w:hint="eastAsia"/>
            </w:rPr>
            <w:instrText xml:space="preserve"> </w:instrText>
          </w:r>
          <w:r>
            <w:instrText xml:space="preserve">PAGEREF _Toc231569780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"_Toc231569781" </w:instrText>
          </w:r>
          <w:r>
            <w:fldChar w:fldCharType="separate"/>
          </w:r>
          <w:r>
            <w:rPr>
              <w:rStyle w:val="17"/>
            </w:rPr>
            <w:t>11.2 收入与成本预测</w:t>
          </w:r>
          <w:r>
            <w:rPr>
              <w:rFonts w:hint="eastAsia"/>
            </w:rPr>
            <w:tab/>
          </w:r>
          <w:r>
            <w:rPr>
              <w:rFonts w:hint="eastAsia"/>
            </w:rPr>
            <w:fldChar w:fldCharType="begin"/>
          </w:r>
          <w:r>
            <w:rPr>
              <w:rFonts w:hint="eastAsia"/>
            </w:rPr>
            <w:instrText xml:space="preserve"> </w:instrText>
          </w:r>
          <w:r>
            <w:instrText xml:space="preserve">PAGEREF _Toc231569781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"_Toc231569782" </w:instrText>
          </w:r>
          <w:r>
            <w:fldChar w:fldCharType="separate"/>
          </w:r>
          <w:r>
            <w:rPr>
              <w:rStyle w:val="17"/>
            </w:rPr>
            <w:t>11.3 关键财务指标</w:t>
          </w:r>
          <w:r>
            <w:rPr>
              <w:rFonts w:hint="eastAsia"/>
            </w:rPr>
            <w:tab/>
          </w:r>
          <w:r>
            <w:rPr>
              <w:rFonts w:hint="eastAsia"/>
            </w:rPr>
            <w:fldChar w:fldCharType="begin"/>
          </w:r>
          <w:r>
            <w:rPr>
              <w:rFonts w:hint="eastAsia"/>
            </w:rPr>
            <w:instrText xml:space="preserve"> </w:instrText>
          </w:r>
          <w:r>
            <w:instrText xml:space="preserve">PAGEREF _Toc231569782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"_Toc231569783" </w:instrText>
          </w:r>
          <w:r>
            <w:fldChar w:fldCharType="separate"/>
          </w:r>
          <w:r>
            <w:rPr>
              <w:rStyle w:val="17"/>
            </w:rPr>
            <w:t>第十二章  财务风险管理</w:t>
          </w:r>
          <w:r>
            <w:rPr>
              <w:rFonts w:hint="eastAsia"/>
            </w:rPr>
            <w:tab/>
          </w:r>
          <w:r>
            <w:rPr>
              <w:rFonts w:hint="eastAsia"/>
            </w:rPr>
            <w:fldChar w:fldCharType="begin"/>
          </w:r>
          <w:r>
            <w:rPr>
              <w:rFonts w:hint="eastAsia"/>
            </w:rPr>
            <w:instrText xml:space="preserve"> </w:instrText>
          </w:r>
          <w:r>
            <w:instrText xml:space="preserve">PAGEREF _Toc231569783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"_Toc231569784" </w:instrText>
          </w:r>
          <w:r>
            <w:fldChar w:fldCharType="separate"/>
          </w:r>
          <w:r>
            <w:rPr>
              <w:rStyle w:val="17"/>
            </w:rPr>
            <w:t>12.1 财务风险识别</w:t>
          </w:r>
          <w:r>
            <w:rPr>
              <w:rFonts w:hint="eastAsia"/>
            </w:rPr>
            <w:tab/>
          </w:r>
          <w:r>
            <w:rPr>
              <w:rFonts w:hint="eastAsia"/>
            </w:rPr>
            <w:fldChar w:fldCharType="begin"/>
          </w:r>
          <w:r>
            <w:rPr>
              <w:rFonts w:hint="eastAsia"/>
            </w:rPr>
            <w:instrText xml:space="preserve"> </w:instrText>
          </w:r>
          <w:r>
            <w:instrText xml:space="preserve">PAGEREF _Toc231569784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"_Toc231569785" </w:instrText>
          </w:r>
          <w:r>
            <w:fldChar w:fldCharType="separate"/>
          </w:r>
          <w:r>
            <w:rPr>
              <w:rStyle w:val="17"/>
            </w:rPr>
            <w:t>12.2 敏感性分析</w:t>
          </w:r>
          <w:r>
            <w:rPr>
              <w:rFonts w:hint="eastAsia"/>
            </w:rPr>
            <w:tab/>
          </w:r>
          <w:r>
            <w:rPr>
              <w:rFonts w:hint="eastAsia"/>
            </w:rPr>
            <w:fldChar w:fldCharType="begin"/>
          </w:r>
          <w:r>
            <w:rPr>
              <w:rFonts w:hint="eastAsia"/>
            </w:rPr>
            <w:instrText xml:space="preserve"> </w:instrText>
          </w:r>
          <w:r>
            <w:instrText xml:space="preserve">PAGEREF _Toc231569785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"_Toc231569786" </w:instrText>
          </w:r>
          <w:r>
            <w:fldChar w:fldCharType="separate"/>
          </w:r>
          <w:r>
            <w:rPr>
              <w:rStyle w:val="17"/>
            </w:rPr>
            <w:t>12.3 财务风险管理建议</w:t>
          </w:r>
          <w:r>
            <w:rPr>
              <w:rFonts w:hint="eastAsia"/>
            </w:rPr>
            <w:tab/>
          </w:r>
          <w:r>
            <w:rPr>
              <w:rFonts w:hint="eastAsia"/>
            </w:rPr>
            <w:fldChar w:fldCharType="begin"/>
          </w:r>
          <w:r>
            <w:rPr>
              <w:rFonts w:hint="eastAsia"/>
            </w:rPr>
            <w:instrText xml:space="preserve"> </w:instrText>
          </w:r>
          <w:r>
            <w:instrText xml:space="preserve">PAGEREF _Toc231569786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0"/>
            <w:tabs>
              <w:tab w:val="right" w:leader="dot" w:pos="8296"/>
            </w:tabs>
            <w:ind w:firstLine="440"/>
            <w:rPr>
              <w:rFonts w:hint="eastAsia" w:asciiTheme="minorHAnsi" w:hAnsiTheme="minorHAnsi" w:cstheme="minorBidi"/>
              <w:kern w:val="2"/>
              <w:szCs w:val="24"/>
              <w14:ligatures w14:val="standardContextual"/>
            </w:rPr>
          </w:pPr>
          <w:r>
            <w:fldChar w:fldCharType="begin"/>
          </w:r>
          <w:r>
            <w:instrText xml:space="preserve"> HYPERLINK \l "_Toc231569787" </w:instrText>
          </w:r>
          <w:r>
            <w:fldChar w:fldCharType="separate"/>
          </w:r>
          <w:r>
            <w:rPr>
              <w:rStyle w:val="17"/>
            </w:rPr>
            <w:t>附录：文档参考与数据来源</w:t>
          </w:r>
          <w:r>
            <w:rPr>
              <w:rFonts w:hint="eastAsia"/>
            </w:rPr>
            <w:tab/>
          </w:r>
          <w:r>
            <w:rPr>
              <w:rFonts w:hint="eastAsia"/>
            </w:rPr>
            <w:fldChar w:fldCharType="begin"/>
          </w:r>
          <w:r>
            <w:rPr>
              <w:rFonts w:hint="eastAsia"/>
            </w:rPr>
            <w:instrText xml:space="preserve"> </w:instrText>
          </w:r>
          <w:r>
            <w:instrText xml:space="preserve">PAGEREF _Toc231569787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"_Toc231569788" </w:instrText>
          </w:r>
          <w:r>
            <w:fldChar w:fldCharType="separate"/>
          </w:r>
          <w:r>
            <w:rPr>
              <w:rStyle w:val="17"/>
            </w:rPr>
            <w:t>A. 项目文档清单</w:t>
          </w:r>
          <w:r>
            <w:rPr>
              <w:rFonts w:hint="eastAsia"/>
            </w:rPr>
            <w:tab/>
          </w:r>
          <w:r>
            <w:rPr>
              <w:rFonts w:hint="eastAsia"/>
            </w:rPr>
            <w:fldChar w:fldCharType="begin"/>
          </w:r>
          <w:r>
            <w:rPr>
              <w:rFonts w:hint="eastAsia"/>
            </w:rPr>
            <w:instrText xml:space="preserve"> </w:instrText>
          </w:r>
          <w:r>
            <w:instrText xml:space="preserve">PAGEREF _Toc231569788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"_Toc231569789" </w:instrText>
          </w:r>
          <w:r>
            <w:fldChar w:fldCharType="separate"/>
          </w:r>
          <w:r>
            <w:rPr>
              <w:rStyle w:val="17"/>
            </w:rPr>
            <w:t>B. 标准与数据来源</w:t>
          </w:r>
          <w:r>
            <w:rPr>
              <w:rFonts w:hint="eastAsia"/>
            </w:rPr>
            <w:tab/>
          </w:r>
          <w:r>
            <w:rPr>
              <w:rFonts w:hint="eastAsia"/>
            </w:rPr>
            <w:fldChar w:fldCharType="begin"/>
          </w:r>
          <w:r>
            <w:rPr>
              <w:rFonts w:hint="eastAsia"/>
            </w:rPr>
            <w:instrText xml:space="preserve"> </w:instrText>
          </w:r>
          <w:r>
            <w:instrText xml:space="preserve">PAGEREF _Toc231569789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2"/>
            <w:tabs>
              <w:tab w:val="right" w:leader="dot" w:pos="8296"/>
            </w:tabs>
            <w:ind w:left="440" w:firstLine="440"/>
            <w:rPr>
              <w:rFonts w:hint="eastAsia" w:asciiTheme="minorHAnsi" w:hAnsiTheme="minorHAnsi" w:cstheme="minorBidi"/>
              <w:kern w:val="2"/>
              <w:szCs w:val="24"/>
              <w14:ligatures w14:val="standardContextual"/>
            </w:rPr>
          </w:pPr>
          <w:r>
            <w:fldChar w:fldCharType="begin"/>
          </w:r>
          <w:r>
            <w:instrText xml:space="preserve"> HYPERLINK \l "_Toc231569790" </w:instrText>
          </w:r>
          <w:r>
            <w:fldChar w:fldCharType="separate"/>
          </w:r>
          <w:r>
            <w:rPr>
              <w:rStyle w:val="17"/>
            </w:rPr>
            <w:t>C. 缩略语表</w:t>
          </w:r>
          <w:r>
            <w:rPr>
              <w:rFonts w:hint="eastAsia"/>
            </w:rPr>
            <w:tab/>
          </w:r>
          <w:r>
            <w:rPr>
              <w:rFonts w:hint="eastAsia"/>
            </w:rPr>
            <w:fldChar w:fldCharType="begin"/>
          </w:r>
          <w:r>
            <w:rPr>
              <w:rFonts w:hint="eastAsia"/>
            </w:rPr>
            <w:instrText xml:space="preserve"> </w:instrText>
          </w:r>
          <w:r>
            <w:instrText xml:space="preserve">PAGEREF _Toc231569790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ind w:firstLine="440"/>
            <w:rPr>
              <w:b/>
              <w:bCs/>
              <w:lang w:val="zh-CN"/>
            </w:rPr>
          </w:pPr>
          <w:r>
            <w:rPr>
              <w:b/>
              <w:bCs/>
              <w:lang w:val="zh-CN"/>
            </w:rPr>
            <w:fldChar w:fldCharType="end"/>
          </w: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rPr>
              <w:b/>
              <w:bCs/>
              <w:lang w:val="zh-CN"/>
            </w:rPr>
          </w:pPr>
        </w:p>
        <w:p>
          <w:pPr>
            <w:ind w:firstLine="440"/>
          </w:pPr>
        </w:p>
      </w:sdtContent>
    </w:sdt>
    <w:p>
      <w:pPr>
        <w:pStyle w:val="2"/>
        <w:pBdr>
          <w:bottom w:val="single" w:color="2E75B6" w:sz="8" w:space="6"/>
        </w:pBdr>
      </w:pPr>
      <w:bookmarkStart w:id="0" w:name="_Toc231569718"/>
      <w:r>
        <w:t>摘要</w:t>
      </w:r>
      <w:bookmarkEnd w:id="0"/>
    </w:p>
    <w:p>
      <w:pPr>
        <w:spacing w:before="60" w:after="100" w:line="320" w:lineRule="auto"/>
        <w:ind w:firstLine="440"/>
        <w:jc w:val="both"/>
      </w:pPr>
      <w:r>
        <w:rPr>
          <w:rFonts w:eastAsia="Arial"/>
          <w:color w:val="1A1A1A"/>
        </w:rPr>
        <w:t>本报告针对同济大学软件工程专业课程项目——石材幕墙污渍检测系统，从项目管理与经济分析两个维度进行系统性评估与总结。该系统基于YOLO系列深度学习模型与计算机视觉技术，旨在以自动化手段替代传统人工巡检模式，实现石材幕墙污渍的快速、精准检测。</w:t>
      </w:r>
    </w:p>
    <w:p>
      <w:pPr>
        <w:spacing w:before="60" w:after="100" w:line="320" w:lineRule="auto"/>
        <w:ind w:firstLine="440"/>
        <w:jc w:val="both"/>
      </w:pPr>
      <w:r>
        <w:rPr>
          <w:rFonts w:eastAsia="Arial"/>
          <w:color w:val="1A1A1A"/>
        </w:rPr>
        <w:t>在项目管理层面，报告涵盖项目范围界定、项目计划制定、过程监控与控制、过程改进、风险管理以及项目收尾等完整生命周期管理内容。在经济分析层面，报告基于IFPUG功能点法完成软件规模估算（AFP=21），采用GB/T 36964标准进行成本估算（约24,546元），并结合COCOMO II模型进行交叉验证（约27,082元），差异仅10.4%，结果可信。</w:t>
      </w:r>
    </w:p>
    <w:p>
      <w:pPr>
        <w:spacing w:before="60" w:after="100" w:line="320" w:lineRule="auto"/>
        <w:ind w:firstLine="440"/>
        <w:jc w:val="both"/>
      </w:pPr>
      <w:r>
        <w:rPr>
          <w:rFonts w:eastAsia="Arial"/>
          <w:color w:val="1A1A1A"/>
        </w:rPr>
        <w:t>综合分析表明，本项目在技术可行性、经济合理性和社会价值方面均具有显著优势。通过自动化检测，预计可减少80%的人工巡检工作量，数据处理效率提升50%以上，投资回收期估计在1.5年以内，具备良好的推广应用前景。</w:t>
      </w:r>
    </w:p>
    <w:p>
      <w:pPr>
        <w:spacing w:before="12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6"/>
        <w:gridCol w:w="2076"/>
        <w:gridCol w:w="2076"/>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软件规模 (AFP)</w:t>
            </w:r>
          </w:p>
        </w:tc>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估算成本</w:t>
            </w:r>
          </w:p>
        </w:tc>
        <w:tc>
          <w:tcPr>
            <w:tcW w:w="207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开发工期</w:t>
            </w:r>
          </w:p>
        </w:tc>
        <w:tc>
          <w:tcPr>
            <w:tcW w:w="2078"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团队规模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21 FP</w:t>
            </w:r>
          </w:p>
        </w:tc>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~2.5万元</w:t>
            </w:r>
          </w:p>
        </w:tc>
        <w:tc>
          <w:tcPr>
            <w:tcW w:w="207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hint="eastAsia" w:eastAsia="宋体"/>
                <w:b/>
                <w:bCs/>
                <w:color w:val="1F4E79"/>
                <w:sz w:val="32"/>
                <w:szCs w:val="32"/>
                <w:lang w:val="en-US" w:eastAsia="zh-CN"/>
              </w:rPr>
              <w:t>19</w:t>
            </w:r>
            <w:r>
              <w:rPr>
                <w:rFonts w:eastAsia="Arial"/>
                <w:b/>
                <w:bCs/>
                <w:color w:val="1F4E79"/>
                <w:sz w:val="32"/>
                <w:szCs w:val="32"/>
              </w:rPr>
              <w:t>周</w:t>
            </w:r>
          </w:p>
        </w:tc>
        <w:tc>
          <w:tcPr>
            <w:tcW w:w="2078" w:type="dxa"/>
            <w:tcBorders>
              <w:top w:val="single" w:color="BFBFBF" w:sz="0" w:space="0"/>
              <w:left w:val="single" w:color="BFBFBF" w:sz="0" w:space="0"/>
              <w:bottom w:val="single" w:color="BFBFBF" w:sz="0" w:space="0"/>
              <w:right w:val="single" w:color="BFBFBF" w:sz="0" w:space="0"/>
            </w:tcBorders>
            <w:shd w:val="clear" w:color="auto" w:fill="D6E4F0"/>
            <w:tcMar>
              <w:top w:w="120" w:type="dxa"/>
              <w:left w:w="120" w:type="dxa"/>
              <w:bottom w:w="120" w:type="dxa"/>
              <w:right w:w="120" w:type="dxa"/>
            </w:tcMar>
          </w:tcPr>
          <w:p>
            <w:pPr>
              <w:ind w:firstLine="643"/>
              <w:jc w:val="center"/>
            </w:pPr>
            <w:r>
              <w:rPr>
                <w:rFonts w:eastAsia="Arial"/>
                <w:b/>
                <w:bCs/>
                <w:color w:val="1F4E79"/>
                <w:sz w:val="32"/>
                <w:szCs w:val="32"/>
              </w:rPr>
              <w:t>2人</w:t>
            </w:r>
          </w:p>
        </w:tc>
      </w:tr>
    </w:tbl>
    <w:p>
      <w:pPr>
        <w:ind w:firstLine="440"/>
      </w:pPr>
    </w:p>
    <w:p>
      <w:pPr>
        <w:pStyle w:val="2"/>
        <w:pBdr>
          <w:bottom w:val="single" w:color="2E75B6" w:sz="8" w:space="6"/>
        </w:pBdr>
      </w:pPr>
      <w:bookmarkStart w:id="1" w:name="_Toc231569719"/>
      <w:r>
        <w:t>第一章  项目范围管理</w:t>
      </w:r>
      <w:bookmarkEnd w:id="1"/>
    </w:p>
    <w:p>
      <w:pPr>
        <w:pStyle w:val="3"/>
      </w:pPr>
      <w:bookmarkStart w:id="2" w:name="_Toc231569720"/>
      <w:r>
        <w:t>1.1 项目背景与问题识别</w:t>
      </w:r>
      <w:bookmarkEnd w:id="2"/>
    </w:p>
    <w:p>
      <w:pPr>
        <w:spacing w:before="60" w:after="100" w:line="320" w:lineRule="auto"/>
        <w:ind w:firstLine="440"/>
        <w:jc w:val="both"/>
      </w:pPr>
      <w:r>
        <w:rPr>
          <w:rFonts w:eastAsia="Arial"/>
          <w:color w:val="1A1A1A"/>
        </w:rPr>
        <w:t>随着现代建筑中石材幕墙的广泛应用，其表面因气候变化、环境污染及建筑使用等因素极易积累污渍，不仅严重影响建筑外观美感，还可能损害幕墙的隔热、隔音、抗风压等核心功能，缩短其使用寿命。传统人工巡检模式在效率、成本与安全性三方面均面临明显瓶颈。</w:t>
      </w:r>
    </w:p>
    <w:p>
      <w:pPr>
        <w:spacing w:before="60" w:after="100" w:line="320" w:lineRule="auto"/>
        <w:ind w:firstLine="440"/>
        <w:jc w:val="both"/>
      </w:pPr>
      <w:r>
        <w:rPr>
          <w:rFonts w:eastAsia="Arial"/>
          <w:color w:val="1A1A1A"/>
        </w:rPr>
        <w:t>本项目定位于同济大学计算机科学与技术学院智慧幕墙大系统下的"污渍检测子系统"，旨在利用计算机视觉与YOLO系列深度学习技术，构建一套自动化、智能化的检测解决方案。项目属于全新开发类型，不基于往届成果进行增量改进，而是从零搭建可替代性的检测子系统，并确保所训练的YOLO模型可供其他子系统复用。</w:t>
      </w:r>
    </w:p>
    <w:p>
      <w:pPr>
        <w:pStyle w:val="3"/>
      </w:pPr>
      <w:bookmarkStart w:id="3" w:name="_Toc231569721"/>
      <w:r>
        <w:t>1.2 项目范围说明书</w:t>
      </w:r>
      <w:bookmarkEnd w:id="3"/>
    </w:p>
    <w:p>
      <w:pPr>
        <w:pStyle w:val="4"/>
      </w:pPr>
      <w:bookmarkStart w:id="4" w:name="_Toc231569722"/>
      <w:r>
        <w:t>1.2.1 范围内工作</w:t>
      </w:r>
      <w:bookmarkEnd w:id="4"/>
    </w:p>
    <w:p>
      <w:pPr>
        <w:spacing w:before="60" w:after="100" w:line="320" w:lineRule="auto"/>
        <w:ind w:firstLine="440"/>
        <w:jc w:val="both"/>
      </w:pPr>
      <w:r>
        <w:rPr>
          <w:rFonts w:eastAsia="Arial"/>
          <w:color w:val="1A1A1A"/>
        </w:rPr>
        <w:t>本项目明确纳入以下工作内容：</w:t>
      </w:r>
    </w:p>
    <w:p>
      <w:pPr>
        <w:pStyle w:val="20"/>
        <w:numPr>
          <w:ilvl w:val="0"/>
          <w:numId w:val="1"/>
        </w:numPr>
        <w:spacing w:before="40" w:after="40" w:line="300" w:lineRule="auto"/>
      </w:pPr>
      <w:r>
        <w:rPr>
          <w:rFonts w:eastAsia="Arial"/>
          <w:color w:val="1A1A1A"/>
        </w:rPr>
        <w:t>核心功能开发：石材幕墙污渍检测模块（基于YOLO系列模型）；图像预处理算法（尺寸统一、对比度增强、非局部均值去噪）；污渍占比计算（基于像素面积）</w:t>
      </w:r>
    </w:p>
    <w:p>
      <w:pPr>
        <w:pStyle w:val="20"/>
        <w:numPr>
          <w:ilvl w:val="0"/>
          <w:numId w:val="1"/>
        </w:numPr>
        <w:spacing w:before="40" w:after="40" w:line="300" w:lineRule="auto"/>
      </w:pPr>
      <w:r>
        <w:rPr>
          <w:rFonts w:eastAsia="Arial"/>
          <w:color w:val="1A1A1A"/>
        </w:rPr>
        <w:t>Web应用开发：前端基于Vue3框架，后端基于FastAPI框架，实现前后端分离架构</w:t>
      </w:r>
    </w:p>
    <w:p>
      <w:pPr>
        <w:pStyle w:val="20"/>
        <w:numPr>
          <w:ilvl w:val="0"/>
          <w:numId w:val="1"/>
        </w:numPr>
        <w:spacing w:before="40" w:after="40" w:line="300" w:lineRule="auto"/>
      </w:pPr>
      <w:r>
        <w:rPr>
          <w:rFonts w:eastAsia="Arial"/>
          <w:color w:val="1A1A1A"/>
        </w:rPr>
        <w:t>数据存储与管理：基于MySQL的结构化元数据存储；基于阿里云OSS的图像文件存储与访问</w:t>
      </w:r>
    </w:p>
    <w:p>
      <w:pPr>
        <w:pStyle w:val="20"/>
        <w:numPr>
          <w:ilvl w:val="0"/>
          <w:numId w:val="1"/>
        </w:numPr>
        <w:spacing w:before="40" w:after="40" w:line="300" w:lineRule="auto"/>
      </w:pPr>
      <w:r>
        <w:rPr>
          <w:rFonts w:eastAsia="Arial"/>
          <w:color w:val="1A1A1A"/>
        </w:rPr>
        <w:t>接口与集成：设计并实现/detect（污渍检测）和/history（历史查询）等RESTful API接口</w:t>
      </w:r>
    </w:p>
    <w:p>
      <w:pPr>
        <w:pStyle w:val="20"/>
        <w:numPr>
          <w:ilvl w:val="0"/>
          <w:numId w:val="1"/>
        </w:numPr>
        <w:spacing w:before="40" w:after="40" w:line="300" w:lineRule="auto"/>
      </w:pPr>
      <w:r>
        <w:rPr>
          <w:rFonts w:eastAsia="Arial"/>
          <w:color w:val="1A1A1A"/>
        </w:rPr>
        <w:t>容器化部署：通过Docker/Docker Compose实现系统集成与一致性部署</w:t>
      </w:r>
    </w:p>
    <w:p>
      <w:pPr>
        <w:pStyle w:val="20"/>
        <w:numPr>
          <w:ilvl w:val="0"/>
          <w:numId w:val="1"/>
        </w:numPr>
        <w:spacing w:before="40" w:after="40" w:line="300" w:lineRule="auto"/>
      </w:pPr>
      <w:r>
        <w:rPr>
          <w:rFonts w:eastAsia="Arial"/>
          <w:color w:val="1A1A1A"/>
        </w:rPr>
        <w:t>用户界面开发：涵盖图像上传、检测启动、结果查看、报告下载、历史查询等核心功能的友好界面</w:t>
      </w:r>
    </w:p>
    <w:p>
      <w:pPr>
        <w:pStyle w:val="20"/>
        <w:numPr>
          <w:ilvl w:val="0"/>
          <w:numId w:val="1"/>
        </w:numPr>
        <w:spacing w:before="40" w:after="40" w:line="300" w:lineRule="auto"/>
      </w:pPr>
      <w:r>
        <w:rPr>
          <w:rFonts w:eastAsia="Arial"/>
          <w:color w:val="1A1A1A"/>
        </w:rPr>
        <w:t>文档输出：SRS、SDS、POS、项目章程、软件规模度量实验报告、软件成本估算实验报告等</w:t>
      </w:r>
    </w:p>
    <w:p>
      <w:pPr>
        <w:pStyle w:val="4"/>
      </w:pPr>
      <w:bookmarkStart w:id="5" w:name="_Toc231569723"/>
      <w:r>
        <w:t>1.2.2 范围外工作</w:t>
      </w:r>
      <w:bookmarkEnd w:id="5"/>
    </w:p>
    <w:p>
      <w:pPr>
        <w:pStyle w:val="20"/>
        <w:numPr>
          <w:ilvl w:val="0"/>
          <w:numId w:val="1"/>
        </w:numPr>
        <w:spacing w:before="40" w:after="40" w:line="300" w:lineRule="auto"/>
      </w:pPr>
      <w:r>
        <w:rPr>
          <w:rFonts w:eastAsia="Arial"/>
          <w:color w:val="1A1A1A"/>
        </w:rPr>
        <w:t>硬件设备（检测装备、传感器、GPU服务器硬件）的采购、安装与维护</w:t>
      </w:r>
    </w:p>
    <w:p>
      <w:pPr>
        <w:pStyle w:val="20"/>
        <w:numPr>
          <w:ilvl w:val="0"/>
          <w:numId w:val="1"/>
        </w:numPr>
        <w:spacing w:before="40" w:after="40" w:line="300" w:lineRule="auto"/>
      </w:pPr>
      <w:r>
        <w:rPr>
          <w:rFonts w:eastAsia="Arial"/>
          <w:color w:val="1A1A1A"/>
        </w:rPr>
        <w:t>原有智慧幕墙项目其他子系统前端代码的对接与二次开发</w:t>
      </w:r>
    </w:p>
    <w:p>
      <w:pPr>
        <w:pStyle w:val="20"/>
        <w:numPr>
          <w:ilvl w:val="0"/>
          <w:numId w:val="1"/>
        </w:numPr>
        <w:spacing w:before="40" w:after="40" w:line="300" w:lineRule="auto"/>
      </w:pPr>
      <w:r>
        <w:rPr>
          <w:rFonts w:eastAsia="Arial"/>
          <w:color w:val="1A1A1A"/>
        </w:rPr>
        <w:t>用户管理、权限认证等外部子系统的实现（仅通过API调用）</w:t>
      </w:r>
    </w:p>
    <w:p>
      <w:pPr>
        <w:pStyle w:val="3"/>
      </w:pPr>
      <w:bookmarkStart w:id="6" w:name="_Toc231569724"/>
      <w:r>
        <w:t>1.3 可交付成果清单</w:t>
      </w:r>
      <w:bookmarkEnd w:id="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
        <w:gridCol w:w="2596"/>
        <w:gridCol w:w="3733"/>
        <w:gridCol w:w="1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交付物名称</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描述</w:t>
            </w:r>
          </w:p>
        </w:tc>
        <w:tc>
          <w:tcPr>
            <w:tcW w:w="11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项目定义说明（POS）</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定义项目问题、目标、成功准则及假设风险</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项目章程</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包含项目范围、预算、时间表、MOV及风险矩阵</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软件需求规格说明（SRS）</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完整用例说明、功能/非功能需求、数据建模</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软件设计规格说明（SDS）</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系统架构、接口设计、数据库设计、组件设计</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软件规模度量报告</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IFPUG+NESMA双方法度量，UFP=25，AFP=21</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软件成本估算报告</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GB/T 36964 + COCOMO II双方法估算，约2.5万元</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污渍检测后端服务</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FastAPI后端，含/detect和/history接口</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YOLO检测模型</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经训练优化的污渍/幕墙分割YOLO系列模型</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w:t>
            </w:r>
          </w:p>
        </w:tc>
        <w:tc>
          <w:tcPr>
            <w:tcW w:w="2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Web前端界面</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Vue3前端，含上传、检测、报告、历史查询页</w:t>
            </w:r>
          </w:p>
        </w:tc>
        <w:tc>
          <w:tcPr>
            <w:tcW w:w="11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2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Docker部署包</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Docker Compose配置，支持一键部署</w:t>
            </w:r>
          </w:p>
        </w:tc>
        <w:tc>
          <w:tcPr>
            <w:tcW w:w="11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bl>
    <w:p>
      <w:pPr>
        <w:ind w:firstLine="440"/>
      </w:pPr>
    </w:p>
    <w:p>
      <w:pPr>
        <w:pStyle w:val="2"/>
        <w:pBdr>
          <w:bottom w:val="single" w:color="2E75B6" w:sz="8" w:space="6"/>
        </w:pBdr>
      </w:pPr>
      <w:bookmarkStart w:id="7" w:name="_Toc231569725"/>
      <w:r>
        <w:t>第二章  项目计划</w:t>
      </w:r>
      <w:bookmarkEnd w:id="7"/>
    </w:p>
    <w:p>
      <w:pPr>
        <w:pStyle w:val="3"/>
      </w:pPr>
      <w:bookmarkStart w:id="8" w:name="_Toc231569726"/>
      <w:r>
        <w:t>2.1 工作分解结构（WBS）</w:t>
      </w:r>
      <w:bookmarkEnd w:id="8"/>
    </w:p>
    <w:p>
      <w:pPr>
        <w:spacing w:before="60" w:after="100" w:line="320" w:lineRule="auto"/>
        <w:ind w:firstLine="440"/>
        <w:jc w:val="both"/>
      </w:pPr>
      <w:r>
        <w:rPr>
          <w:rFonts w:eastAsia="Arial"/>
          <w:color w:val="1A1A1A"/>
        </w:rPr>
        <w:t>本项目采用工作分解结构（Work Breakdown Structure）进行任务划分，将整体项目分解为七个主要阶段共计三十余个工作包。各阶段以里程碑节点作为阶段性验收依据。</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4"/>
        <w:gridCol w:w="2286"/>
        <w:gridCol w:w="3656"/>
        <w:gridCol w:w="1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编号</w:t>
            </w:r>
          </w:p>
        </w:tc>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工作包</w:t>
            </w:r>
          </w:p>
        </w:tc>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主要活动</w:t>
            </w:r>
          </w:p>
        </w:tc>
        <w:tc>
          <w:tcPr>
            <w:tcW w:w="1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WP1</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需求调研与分析</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利益相关方访谈；需求收集与分析；编写POS/SRS/项目章程</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WP2</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数据集构建</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石材幕墙图像采集；标注工具使用与标签标注；数据增强处理</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WP3</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模型训练与优化</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YOLO系列模型选型；模型训练迭代；精度调优与验证</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WP4</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图像预处理开发</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尺寸统一算法；对比度增强；非局部均值去噪；污渍面积计算</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WP5</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后端API开发</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FastAPI框架搭建；/detect接口实现；/history接口实现；数据库设计</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WP6</w:t>
            </w:r>
          </w:p>
        </w:tc>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前端界面开发</w:t>
            </w:r>
          </w:p>
        </w:tc>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Vue3框架搭建；上传/检测/历史查询页面开发；前后端联通</w:t>
            </w:r>
          </w:p>
        </w:tc>
        <w:tc>
          <w:tcPr>
            <w:tcW w:w="1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WP7</w:t>
            </w:r>
          </w:p>
        </w:tc>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测试与部署</w:t>
            </w:r>
          </w:p>
        </w:tc>
        <w:tc>
          <w:tcPr>
            <w:tcW w:w="4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功能测试/性能测试；Docker配置；云服务器部署；文档整理</w:t>
            </w:r>
          </w:p>
        </w:tc>
        <w:tc>
          <w:tcPr>
            <w:tcW w:w="1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r>
    </w:tbl>
    <w:p>
      <w:pPr>
        <w:pStyle w:val="3"/>
      </w:pPr>
      <w:bookmarkStart w:id="9" w:name="_Toc231569727"/>
      <w:r>
        <w:t>2.2 项目时间表</w:t>
      </w:r>
      <w:bookmarkEnd w:id="9"/>
    </w:p>
    <w:p>
      <w:pPr>
        <w:spacing w:before="60" w:after="100" w:line="320" w:lineRule="auto"/>
        <w:ind w:firstLine="440"/>
        <w:jc w:val="both"/>
      </w:pPr>
      <w:r>
        <w:rPr>
          <w:rFonts w:eastAsia="Arial"/>
          <w:color w:val="1A1A1A"/>
        </w:rPr>
        <w:t>项目执行期间为2026年3月16日至2026年6月7日，共计12周。以下为详细甘特计划：</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600"/>
        <w:gridCol w:w="2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阶段</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开始时间</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结束时间</w:t>
            </w:r>
          </w:p>
        </w:tc>
        <w:tc>
          <w:tcPr>
            <w:tcW w:w="27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需求调研与项目规划</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2026-03-16</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2026-03-29</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POS/章程/SRS初稿完成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数据集收集与构建</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2026-03-30</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2026-04-12</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数据集构建完成，标注完毕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污渍检测模型训练</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2026-04-13</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2026-04-26</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模型达到70%以上准确率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图像预处理与面积计算</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2026-04-27</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2026-05-03</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核心算法模块实现完毕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前后端开发与联通</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2026-05-04</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2026-05-17</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系统端到端流程打通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测试与改进</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2026-05-18</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2026-05-31</w:t>
            </w:r>
          </w:p>
        </w:tc>
        <w:tc>
          <w:tcPr>
            <w:tcW w:w="2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性能指标全部达标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文档整理与答辩准备</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2026-06-01</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2026-06-07</w:t>
            </w:r>
          </w:p>
        </w:tc>
        <w:tc>
          <w:tcPr>
            <w:tcW w:w="27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所有交付物提交</w:t>
            </w:r>
          </w:p>
        </w:tc>
      </w:tr>
    </w:tbl>
    <w:p>
      <w:pPr>
        <w:pStyle w:val="3"/>
      </w:pPr>
      <w:bookmarkStart w:id="10" w:name="_Toc231569728"/>
      <w:r>
        <w:t>2.3 资源计划</w:t>
      </w:r>
      <w:bookmarkEnd w:id="10"/>
    </w:p>
    <w:p>
      <w:pPr>
        <w:pStyle w:val="4"/>
      </w:pPr>
      <w:bookmarkStart w:id="11" w:name="_Toc231569729"/>
      <w:r>
        <w:t>2.3.1 人力资源分配</w:t>
      </w:r>
      <w:bookmarkEnd w:id="11"/>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5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成员</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角色</w:t>
            </w:r>
          </w:p>
        </w:tc>
        <w:tc>
          <w:tcPr>
            <w:tcW w:w="5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主要职责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于广淳（2353740）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项目经理</w:t>
            </w:r>
          </w:p>
        </w:tc>
        <w:tc>
          <w:tcPr>
            <w:tcW w:w="5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项目整体规划、进度跟踪、风险管理；YOLO数据集采集与标注；模型训练优化；测试用例编写与功能性能测试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周慧星（2351289）</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项目助理</w:t>
            </w:r>
          </w:p>
        </w:tc>
        <w:tc>
          <w:tcPr>
            <w:tcW w:w="5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FastAPI后端框架搭建与API接口开发；数据库设计与实现；Vue3前端开发；Docker环境搭建与系统部署；YOLO模型协同训练</w:t>
            </w:r>
          </w:p>
        </w:tc>
      </w:tr>
    </w:tbl>
    <w:p>
      <w:pPr>
        <w:pStyle w:val="4"/>
      </w:pPr>
      <w:bookmarkStart w:id="12" w:name="_Toc231569730"/>
      <w:r>
        <w:t>2.3.2 硬件与软件资源</w:t>
      </w:r>
      <w:bookmarkEnd w:id="12"/>
    </w:p>
    <w:p>
      <w:pPr>
        <w:pStyle w:val="20"/>
        <w:numPr>
          <w:ilvl w:val="0"/>
          <w:numId w:val="1"/>
        </w:numPr>
        <w:spacing w:before="40" w:after="40" w:line="300" w:lineRule="auto"/>
      </w:pPr>
      <w:r>
        <w:rPr>
          <w:rFonts w:eastAsia="Arial"/>
          <w:color w:val="1A1A1A"/>
        </w:rPr>
        <w:t>前端服务器：用于托管Vue3前端界面，部署于云平台</w:t>
      </w:r>
    </w:p>
    <w:p>
      <w:pPr>
        <w:pStyle w:val="20"/>
        <w:numPr>
          <w:ilvl w:val="0"/>
          <w:numId w:val="1"/>
        </w:numPr>
        <w:spacing w:before="40" w:after="40" w:line="300" w:lineRule="auto"/>
      </w:pPr>
      <w:r>
        <w:rPr>
          <w:rFonts w:eastAsia="Arial"/>
          <w:color w:val="1A1A1A"/>
        </w:rPr>
        <w:t>后端代理服务器：用于运行FastAPI后端服务，处理API请求</w:t>
      </w:r>
    </w:p>
    <w:p>
      <w:pPr>
        <w:pStyle w:val="20"/>
        <w:numPr>
          <w:ilvl w:val="0"/>
          <w:numId w:val="1"/>
        </w:numPr>
        <w:spacing w:before="40" w:after="40" w:line="300" w:lineRule="auto"/>
      </w:pPr>
      <w:r>
        <w:rPr>
          <w:rFonts w:eastAsia="Arial"/>
          <w:color w:val="1A1A1A"/>
        </w:rPr>
        <w:t>GPU算力服务器：配备NVIDIA GeForce RTX 3090或同等算力，用于YOLO模型训练与推理</w:t>
      </w:r>
    </w:p>
    <w:p>
      <w:pPr>
        <w:pStyle w:val="20"/>
        <w:numPr>
          <w:ilvl w:val="0"/>
          <w:numId w:val="1"/>
        </w:numPr>
        <w:spacing w:before="40" w:after="40" w:line="300" w:lineRule="auto"/>
      </w:pPr>
      <w:r>
        <w:rPr>
          <w:rFonts w:eastAsia="Arial"/>
          <w:color w:val="1A1A1A"/>
        </w:rPr>
        <w:t>数据库服务：MySQL 8.0关系型数据库 + 阿里云OSS对象存储</w:t>
      </w:r>
    </w:p>
    <w:p>
      <w:pPr>
        <w:pStyle w:val="20"/>
        <w:numPr>
          <w:ilvl w:val="0"/>
          <w:numId w:val="1"/>
        </w:numPr>
        <w:spacing w:before="40" w:after="40" w:line="300" w:lineRule="auto"/>
      </w:pPr>
      <w:r>
        <w:rPr>
          <w:rFonts w:eastAsia="Arial"/>
          <w:color w:val="1A1A1A"/>
        </w:rPr>
        <w:t>开发工具：VS Code、PyCharm、Git/GitHub、Docker、Postman/Apifox</w:t>
      </w:r>
    </w:p>
    <w:p>
      <w:pPr>
        <w:pStyle w:val="3"/>
      </w:pPr>
      <w:bookmarkStart w:id="13" w:name="_Toc231569731"/>
      <w:r>
        <w:t>2.4 项目预算计划</w:t>
      </w:r>
      <w:bookmarkEnd w:id="13"/>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预算项目</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计划金额（元）</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实际金额（元）</w:t>
            </w:r>
          </w:p>
        </w:tc>
        <w:tc>
          <w:tcPr>
            <w:tcW w:w="3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资源成本（服务器租赁）</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800</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前端服务器、后端代理、GPU算力服务器，3个月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开发成本（工具/API）</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~90</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开发工具、第三方API调用费用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维护成本（上线后）</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待定</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系统上线后首年维护费用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人力成本</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学生项目（不计）</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课程项目，不计算工资成本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总计</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~890</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不含人力成本</w:t>
            </w:r>
          </w:p>
        </w:tc>
      </w:tr>
    </w:tbl>
    <w:p>
      <w:pPr>
        <w:ind w:firstLine="440"/>
      </w:pPr>
    </w:p>
    <w:p>
      <w:pPr>
        <w:pStyle w:val="2"/>
        <w:pBdr>
          <w:bottom w:val="single" w:color="2E75B6" w:sz="8" w:space="6"/>
        </w:pBdr>
      </w:pPr>
      <w:bookmarkStart w:id="14" w:name="_Toc231569732"/>
      <w:r>
        <w:t>第三章  软件过程的监控与控制</w:t>
      </w:r>
      <w:bookmarkEnd w:id="14"/>
    </w:p>
    <w:p>
      <w:pPr>
        <w:pStyle w:val="3"/>
      </w:pPr>
      <w:bookmarkStart w:id="15" w:name="_Toc231569733"/>
      <w:r>
        <w:t>3.1 进度监控机制</w:t>
      </w:r>
      <w:bookmarkEnd w:id="15"/>
    </w:p>
    <w:p>
      <w:pPr>
        <w:spacing w:before="60" w:after="100" w:line="320" w:lineRule="auto"/>
        <w:ind w:firstLine="440"/>
        <w:jc w:val="both"/>
      </w:pPr>
      <w:r>
        <w:rPr>
          <w:rFonts w:eastAsia="Arial"/>
          <w:color w:val="1A1A1A"/>
        </w:rPr>
        <w:t>本项目采用轻量级敏捷管理模式，结合里程碑驱动的进度跟踪机制。鉴于团队规模仅2人，放弃重型项目管理工具，采用以下简洁有效的监控手段：</w:t>
      </w:r>
    </w:p>
    <w:p>
      <w:pPr>
        <w:pStyle w:val="20"/>
        <w:numPr>
          <w:ilvl w:val="0"/>
          <w:numId w:val="1"/>
        </w:numPr>
        <w:spacing w:before="40" w:after="40" w:line="300" w:lineRule="auto"/>
      </w:pPr>
      <w:r>
        <w:rPr>
          <w:rFonts w:eastAsia="Arial"/>
          <w:color w:val="1A1A1A"/>
        </w:rPr>
        <w:t>每周例会：每周固定进行一次进度同步，回顾本周完成情况，规划下周任务，识别阻碍项</w:t>
      </w:r>
    </w:p>
    <w:p>
      <w:pPr>
        <w:pStyle w:val="20"/>
        <w:numPr>
          <w:ilvl w:val="0"/>
          <w:numId w:val="1"/>
        </w:numPr>
        <w:spacing w:before="40" w:after="40" w:line="300" w:lineRule="auto"/>
      </w:pPr>
      <w:r>
        <w:rPr>
          <w:rFonts w:eastAsia="Arial"/>
          <w:color w:val="1A1A1A"/>
        </w:rPr>
        <w:t>Git提交日志：通过GitHub代码提交频率与内容评估实际开发进度，保证代码可追溯</w:t>
      </w:r>
    </w:p>
    <w:p>
      <w:pPr>
        <w:pStyle w:val="20"/>
        <w:numPr>
          <w:ilvl w:val="0"/>
          <w:numId w:val="1"/>
        </w:numPr>
        <w:spacing w:before="40" w:after="40" w:line="300" w:lineRule="auto"/>
      </w:pPr>
      <w:r>
        <w:rPr>
          <w:rFonts w:eastAsia="Arial"/>
          <w:color w:val="1A1A1A"/>
        </w:rPr>
        <w:t>里程碑验收：每个项目阶段结束时，按交付物清单进行自检，未达标则延期至下个检查点补充完成</w:t>
      </w:r>
    </w:p>
    <w:p>
      <w:pPr>
        <w:pStyle w:val="20"/>
        <w:numPr>
          <w:ilvl w:val="0"/>
          <w:numId w:val="1"/>
        </w:numPr>
        <w:spacing w:before="40" w:after="40" w:line="300" w:lineRule="auto"/>
      </w:pPr>
      <w:r>
        <w:rPr>
          <w:rFonts w:eastAsia="Arial"/>
          <w:color w:val="1A1A1A"/>
        </w:rPr>
        <w:t>文档同步更新：所有关键决策（需求变更、技术选型变动）及时反映至SRS/SDS等文档中</w:t>
      </w:r>
    </w:p>
    <w:p>
      <w:pPr>
        <w:pStyle w:val="3"/>
      </w:pPr>
      <w:bookmarkStart w:id="16" w:name="_Toc231569734"/>
      <w:r>
        <w:t>3.2 质量监控指标</w:t>
      </w:r>
      <w:bookmarkEnd w:id="1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质量指标</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目标值</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实测值</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污渍检测准确率</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≥70%</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待测定</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进行中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单次检测响应时间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≤20秒</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~15秒</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图像接收时间</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≤8秒</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~4秒</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历史查询响应时间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≤5秒（100并发）</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~2秒（低负载）</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系统可用性</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≥99%</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待统计</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进行中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PDF报告生成时间</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≤10秒</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~5秒</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达标</w:t>
            </w:r>
          </w:p>
        </w:tc>
      </w:tr>
    </w:tbl>
    <w:p>
      <w:pPr>
        <w:pStyle w:val="3"/>
      </w:pPr>
      <w:bookmarkStart w:id="17" w:name="_Toc231569735"/>
      <w:r>
        <w:t>3.3 变更控制</w:t>
      </w:r>
      <w:bookmarkEnd w:id="17"/>
    </w:p>
    <w:p>
      <w:pPr>
        <w:spacing w:before="60" w:after="100" w:line="320" w:lineRule="auto"/>
        <w:ind w:firstLine="440"/>
        <w:jc w:val="both"/>
      </w:pPr>
      <w:r>
        <w:rPr>
          <w:rFonts w:eastAsia="Arial"/>
          <w:color w:val="1A1A1A"/>
        </w:rPr>
        <w:t>项目执行过程中，发生了以下几项重要范围/设计变更，均经过评估后纳入正式变更：</w:t>
      </w:r>
    </w:p>
    <w:p>
      <w:pPr>
        <w:pStyle w:val="20"/>
        <w:numPr>
          <w:ilvl w:val="0"/>
          <w:numId w:val="1"/>
        </w:numPr>
        <w:spacing w:before="40" w:after="40" w:line="300" w:lineRule="auto"/>
      </w:pPr>
      <w:r>
        <w:rPr>
          <w:rFonts w:eastAsia="Arial"/>
          <w:color w:val="1A1A1A"/>
        </w:rPr>
        <w:t>变更1：检测准确率目标从POS中的"95%以上"下调至SRS/章程中的"70%以上"。原因：模型在实际训练中受数据集规模和多样性限制，95%的目标不切实际，根据模型实际验证结果调整为合理指标，影响程度：低（功能不受影响）。</w:t>
      </w:r>
    </w:p>
    <w:p>
      <w:pPr>
        <w:pStyle w:val="20"/>
        <w:numPr>
          <w:ilvl w:val="0"/>
          <w:numId w:val="1"/>
        </w:numPr>
        <w:spacing w:before="40" w:after="40" w:line="300" w:lineRule="auto"/>
      </w:pPr>
      <w:r>
        <w:rPr>
          <w:rFonts w:eastAsia="Arial"/>
          <w:color w:val="1A1A1A"/>
        </w:rPr>
        <w:t>变更2：前端实现由"对接原有智慧幕墙前端"变更为"独立开发Vue3前端"。原因：原有前端代码未公开，无法在其基础上二次开发。变更后独立项目可完整演示所有功能，影响程度：中（增加前端开发工作量）。</w:t>
      </w:r>
    </w:p>
    <w:p>
      <w:pPr>
        <w:pStyle w:val="20"/>
        <w:numPr>
          <w:ilvl w:val="0"/>
          <w:numId w:val="1"/>
        </w:numPr>
        <w:spacing w:before="40" w:after="40" w:line="300" w:lineRule="auto"/>
      </w:pPr>
      <w:r>
        <w:rPr>
          <w:rFonts w:eastAsia="Arial"/>
          <w:color w:val="1A1A1A"/>
        </w:rPr>
        <w:t>变更3：OSS存储服务从华东1区单节点扩展为多路径备份。原因：初期测试发现单节点存在上传超时问题，影响程度：低（仅配置变更）。</w:t>
      </w:r>
    </w:p>
    <w:p>
      <w:pPr>
        <w:pStyle w:val="2"/>
        <w:pBdr>
          <w:bottom w:val="single" w:color="2E75B6" w:sz="8" w:space="6"/>
        </w:pBdr>
      </w:pPr>
      <w:bookmarkStart w:id="18" w:name="_Toc231569736"/>
      <w:r>
        <w:rPr>
          <w:rFonts w:hint="eastAsia" w:ascii="宋体" w:hAnsi="宋体" w:eastAsia="宋体" w:cs="宋体"/>
        </w:rPr>
        <w:t>第</w:t>
      </w:r>
      <w:r>
        <w:t>四章  软件过程的改进</w:t>
      </w:r>
      <w:bookmarkEnd w:id="18"/>
    </w:p>
    <w:p>
      <w:pPr>
        <w:pStyle w:val="3"/>
      </w:pPr>
      <w:bookmarkStart w:id="19" w:name="_Toc231569737"/>
      <w:r>
        <w:t>4.1 过程改进识别</w:t>
      </w:r>
      <w:bookmarkEnd w:id="19"/>
    </w:p>
    <w:p>
      <w:pPr>
        <w:spacing w:before="60" w:after="100" w:line="320" w:lineRule="auto"/>
        <w:ind w:firstLine="440"/>
        <w:jc w:val="both"/>
      </w:pPr>
      <w:r>
        <w:rPr>
          <w:rFonts w:eastAsia="Arial"/>
          <w:color w:val="1A1A1A"/>
        </w:rPr>
        <w:t>在项目执行过程中，团队通过阶段性回顾识别了以下几类过程缺陷，并制定了相应改进措施：</w:t>
      </w:r>
    </w:p>
    <w:p>
      <w:pPr>
        <w:pStyle w:val="4"/>
      </w:pPr>
      <w:bookmarkStart w:id="20" w:name="_Toc231569738"/>
      <w:r>
        <w:t>4.1.1 需求阶段改进</w:t>
      </w:r>
      <w:bookmarkEnd w:id="20"/>
    </w:p>
    <w:p>
      <w:pPr>
        <w:pStyle w:val="20"/>
        <w:numPr>
          <w:ilvl w:val="0"/>
          <w:numId w:val="1"/>
        </w:numPr>
        <w:spacing w:before="40" w:after="40" w:line="300" w:lineRule="auto"/>
      </w:pPr>
      <w:r>
        <w:rPr>
          <w:rFonts w:eastAsia="Arial"/>
          <w:color w:val="1A1A1A"/>
        </w:rPr>
        <w:t>问题：初期需求文档对"检测准确率"指标的定义不够严谨（95%与70%出现矛盾），导致后期验收标准需要修订</w:t>
      </w:r>
    </w:p>
    <w:p>
      <w:pPr>
        <w:pStyle w:val="20"/>
        <w:numPr>
          <w:ilvl w:val="0"/>
          <w:numId w:val="1"/>
        </w:numPr>
        <w:spacing w:before="40" w:after="40" w:line="300" w:lineRule="auto"/>
      </w:pPr>
      <w:r>
        <w:rPr>
          <w:rFonts w:eastAsia="Arial"/>
          <w:color w:val="1A1A1A"/>
        </w:rPr>
        <w:t>改进措施：在下一个版本项目中，引入需求评审检查清单，对所有量化指标进行一致性校验；与利益相关方进行书面确认，避免口头需求导致的歧义</w:t>
      </w:r>
    </w:p>
    <w:p>
      <w:pPr>
        <w:pStyle w:val="4"/>
      </w:pPr>
      <w:bookmarkStart w:id="21" w:name="_Toc231569739"/>
      <w:r>
        <w:t>4.1.2 开发阶段改进</w:t>
      </w:r>
      <w:bookmarkEnd w:id="21"/>
    </w:p>
    <w:p>
      <w:pPr>
        <w:pStyle w:val="20"/>
        <w:numPr>
          <w:ilvl w:val="0"/>
          <w:numId w:val="1"/>
        </w:numPr>
        <w:spacing w:before="40" w:after="40" w:line="300" w:lineRule="auto"/>
      </w:pPr>
      <w:r>
        <w:rPr>
          <w:rFonts w:eastAsia="Arial"/>
          <w:color w:val="1A1A1A"/>
        </w:rPr>
        <w:t>问题：前后端接口联调阶段出现数据格式不匹配的问题，导致额外调试时间约3天</w:t>
      </w:r>
    </w:p>
    <w:p>
      <w:pPr>
        <w:pStyle w:val="20"/>
        <w:numPr>
          <w:ilvl w:val="0"/>
          <w:numId w:val="1"/>
        </w:numPr>
        <w:spacing w:before="40" w:after="40" w:line="300" w:lineRule="auto"/>
      </w:pPr>
      <w:r>
        <w:rPr>
          <w:rFonts w:eastAsia="Arial"/>
          <w:color w:val="1A1A1A"/>
        </w:rPr>
        <w:t>改进措施：在接口开发阶段引入API优先（API-First）策略，使用OpenAPI/Swagger规范先定义接口文档再进行编码；建立Postman测试集作为契约测试</w:t>
      </w:r>
    </w:p>
    <w:p>
      <w:pPr>
        <w:pStyle w:val="20"/>
        <w:numPr>
          <w:ilvl w:val="0"/>
          <w:numId w:val="1"/>
        </w:numPr>
        <w:spacing w:before="40" w:after="40" w:line="300" w:lineRule="auto"/>
      </w:pPr>
      <w:r>
        <w:rPr>
          <w:rFonts w:eastAsia="Arial"/>
          <w:color w:val="1A1A1A"/>
        </w:rPr>
        <w:t>问题：模型训练初期未进行足够的数据集质量验证，导致首次训练精度偏低，需重新标注部分数据</w:t>
      </w:r>
    </w:p>
    <w:p>
      <w:pPr>
        <w:pStyle w:val="20"/>
        <w:numPr>
          <w:ilvl w:val="0"/>
          <w:numId w:val="1"/>
        </w:numPr>
        <w:spacing w:before="40" w:after="40" w:line="300" w:lineRule="auto"/>
      </w:pPr>
      <w:r>
        <w:rPr>
          <w:rFonts w:eastAsia="Arial"/>
          <w:color w:val="1A1A1A"/>
        </w:rPr>
        <w:t>改进措施：增加数据质量门控（Data Quality Gate），在训练前通过脚本自动检测标注文件的格式规范性和类别分布均衡性</w:t>
      </w:r>
    </w:p>
    <w:p>
      <w:pPr>
        <w:pStyle w:val="4"/>
      </w:pPr>
      <w:bookmarkStart w:id="22" w:name="_Toc231569740"/>
      <w:r>
        <w:t>4.1.3 测试阶段改进</w:t>
      </w:r>
      <w:bookmarkEnd w:id="22"/>
    </w:p>
    <w:p>
      <w:pPr>
        <w:pStyle w:val="20"/>
        <w:numPr>
          <w:ilvl w:val="0"/>
          <w:numId w:val="1"/>
        </w:numPr>
        <w:spacing w:before="40" w:after="40" w:line="300" w:lineRule="auto"/>
      </w:pPr>
      <w:r>
        <w:rPr>
          <w:rFonts w:eastAsia="Arial"/>
          <w:color w:val="1A1A1A"/>
        </w:rPr>
        <w:t>问题：性能测试在项目末期才启动，发现并发查询存在瓶颈时已无充足时间进行架构优化</w:t>
      </w:r>
    </w:p>
    <w:p>
      <w:pPr>
        <w:pStyle w:val="20"/>
        <w:numPr>
          <w:ilvl w:val="0"/>
          <w:numId w:val="1"/>
        </w:numPr>
        <w:spacing w:before="40" w:after="40" w:line="300" w:lineRule="auto"/>
      </w:pPr>
      <w:r>
        <w:rPr>
          <w:rFonts w:eastAsia="Arial"/>
          <w:color w:val="1A1A1A"/>
        </w:rPr>
        <w:t>改进措施：在下一个项目中采用"测试左移"策略，在后端API开发完成后即进行基础性能基准测试，而非等到集成测试阶段</w:t>
      </w:r>
    </w:p>
    <w:p>
      <w:pPr>
        <w:pStyle w:val="3"/>
      </w:pPr>
      <w:bookmarkStart w:id="23" w:name="_Toc231569741"/>
      <w:r>
        <w:t>4.2 CMMI过程改进视角</w:t>
      </w:r>
      <w:bookmarkEnd w:id="23"/>
    </w:p>
    <w:p>
      <w:pPr>
        <w:spacing w:before="60" w:after="100" w:line="320" w:lineRule="auto"/>
        <w:ind w:firstLine="440"/>
        <w:jc w:val="both"/>
      </w:pPr>
      <w:r>
        <w:rPr>
          <w:rFonts w:eastAsia="Arial"/>
          <w:color w:val="1A1A1A"/>
        </w:rPr>
        <w:t>从CMMI成熟度模型视角审视，本项目团队当前实践接近CMM二级（已管理级），主要体现在：项目计划（PP）、需求管理（REQM）、配置管理（CM，通过Git实现）等关键过程域已有基本规程。面向未来，建议在以下方面向三级（已定义级）迈进：</w:t>
      </w:r>
    </w:p>
    <w:p>
      <w:pPr>
        <w:pStyle w:val="20"/>
        <w:numPr>
          <w:ilvl w:val="0"/>
          <w:numId w:val="1"/>
        </w:numPr>
        <w:spacing w:before="40" w:after="40" w:line="300" w:lineRule="auto"/>
      </w:pPr>
      <w:r>
        <w:rPr>
          <w:rFonts w:eastAsia="Arial"/>
          <w:color w:val="1A1A1A"/>
        </w:rPr>
        <w:t>建立组织级过程资产库，将本项目的功能点度量模板、风险检查清单等沉淀为可复用资产</w:t>
      </w:r>
    </w:p>
    <w:p>
      <w:pPr>
        <w:pStyle w:val="20"/>
        <w:numPr>
          <w:ilvl w:val="0"/>
          <w:numId w:val="1"/>
        </w:numPr>
        <w:spacing w:before="40" w:after="40" w:line="300" w:lineRule="auto"/>
      </w:pPr>
      <w:r>
        <w:rPr>
          <w:rFonts w:eastAsia="Arial"/>
          <w:color w:val="1A1A1A"/>
        </w:rPr>
        <w:t>制定统一的测试规程，包括单元测试覆盖率要求（建议≥60%）</w:t>
      </w:r>
    </w:p>
    <w:p>
      <w:pPr>
        <w:pStyle w:val="20"/>
        <w:numPr>
          <w:ilvl w:val="0"/>
          <w:numId w:val="1"/>
        </w:numPr>
        <w:spacing w:before="40" w:after="40" w:line="300" w:lineRule="auto"/>
      </w:pPr>
      <w:r>
        <w:rPr>
          <w:rFonts w:eastAsia="Arial"/>
          <w:color w:val="1A1A1A"/>
        </w:rPr>
        <w:t>引入同行评审（Peer Review）机制，尤其对核心算法代码和接口设计进行结构化走查</w:t>
      </w:r>
    </w:p>
    <w:p>
      <w:pPr>
        <w:pStyle w:val="2"/>
        <w:pBdr>
          <w:bottom w:val="single" w:color="2E75B6" w:sz="8" w:space="6"/>
        </w:pBdr>
      </w:pPr>
      <w:bookmarkStart w:id="24" w:name="_Toc231569742"/>
      <w:r>
        <w:rPr>
          <w:rFonts w:hint="eastAsia" w:ascii="宋体" w:hAnsi="宋体" w:eastAsia="宋体" w:cs="宋体"/>
        </w:rPr>
        <w:t>第</w:t>
      </w:r>
      <w:r>
        <w:t>五章  项目风险管理</w:t>
      </w:r>
      <w:bookmarkEnd w:id="24"/>
    </w:p>
    <w:p>
      <w:pPr>
        <w:pStyle w:val="3"/>
      </w:pPr>
      <w:bookmarkStart w:id="25" w:name="_Toc231569743"/>
      <w:r>
        <w:t>5.1 风险识别与评估矩阵</w:t>
      </w:r>
      <w:bookmarkEnd w:id="25"/>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7"/>
        <w:gridCol w:w="1687"/>
        <w:gridCol w:w="1263"/>
        <w:gridCol w:w="1041"/>
        <w:gridCol w:w="969"/>
        <w:gridCol w:w="2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风险描述</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风险类型</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发生概率</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影响程度</w:t>
            </w:r>
          </w:p>
        </w:tc>
        <w:tc>
          <w:tcPr>
            <w:tcW w:w="2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应对策略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R01</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YOLO模型在特定光照/复杂背景下检测准确率不足目标值</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技术风险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高（55%）</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收集多样化训练数据；数据增强；模型微调；集成后处理算法；下调准确率目标至70%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R02</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GPU算力服务器资源不足，影响推理速度与并发</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资源风险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中（35%）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采用弹性伸缩云服务器策略；模型轻量化优化；降低推理批次大小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R03</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开发周期紧迫（12周），功能复杂可能导致延期</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进度风险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采用敏捷开发模式；按优先级分阶段交付；核心功能优先完成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R04</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用户对系统期望与实际功能存在偏差</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需求风险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低（20%）</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定期与指导老师沟通；进行原型演示；及时调整需求边界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R05</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MySQL与OSS服务在高并发下出现连接瓶颈</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技术风险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中（30%）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数据库连接池配置优化；OSS使用CDN加速；查询添加合理索引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R06</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项目预算超支（服务器费用超出估计）</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成本风险</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严格管控GPU训练时长；使用Spot实例降低费用；设置费用告警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R07</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数据集版权或隐私问题</w:t>
            </w:r>
          </w:p>
        </w:tc>
        <w:tc>
          <w:tcPr>
            <w:tcW w:w="1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法律风险</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低（15%）</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仅使用公开数据集或自拍摄图像；脱敏处理所有包含建筑标识的图像</w:t>
            </w:r>
          </w:p>
        </w:tc>
      </w:tr>
    </w:tbl>
    <w:p>
      <w:pPr>
        <w:pStyle w:val="3"/>
      </w:pPr>
      <w:bookmarkStart w:id="26" w:name="_Toc231569744"/>
      <w:r>
        <w:t>5.2 风险监控与跟踪</w:t>
      </w:r>
      <w:bookmarkEnd w:id="26"/>
    </w:p>
    <w:p>
      <w:pPr>
        <w:spacing w:before="60" w:after="100" w:line="320" w:lineRule="auto"/>
        <w:ind w:firstLine="440"/>
        <w:jc w:val="both"/>
      </w:pPr>
      <w:r>
        <w:rPr>
          <w:rFonts w:eastAsia="Arial"/>
          <w:color w:val="1A1A1A"/>
        </w:rPr>
        <w:t>风险R01（模型精度不足）是本项目最关键风险，已在整个项目周期持续跟踪。具体应对过程：第一轮训练精度约62%，通过增加标注数据量（扩充至约800张）、调整超参数（学习率、数据增强策略）后，第二轮训练精度提升至约74%，已达70%基线目标。在此基础上通过</w:t>
      </w:r>
      <w:r>
        <w:rPr>
          <w:rFonts w:hint="eastAsia" w:eastAsia="宋体"/>
          <w:color w:val="1A1A1A"/>
          <w:lang w:val="en-US" w:eastAsia="zh-CN"/>
        </w:rPr>
        <w:t>后</w:t>
      </w:r>
      <w:r>
        <w:rPr>
          <w:rFonts w:eastAsia="Arial"/>
          <w:color w:val="1A1A1A"/>
        </w:rPr>
        <w:t>处理优化进一步改善结果质量。</w:t>
      </w:r>
    </w:p>
    <w:p>
      <w:pPr>
        <w:spacing w:before="60" w:after="100" w:line="320" w:lineRule="auto"/>
        <w:ind w:firstLine="440"/>
        <w:jc w:val="both"/>
      </w:pPr>
      <w:r>
        <w:rPr>
          <w:rFonts w:eastAsia="Arial"/>
          <w:color w:val="1A1A1A"/>
        </w:rPr>
        <w:t>风险R03（进度延期）在前端开发阶段有所显现，接口联调环节比计划晚约3天。通过压缩文档整理时间、两人并行完成测试任务得以追回进度，最终在截止日期前完成所有关键交付物。</w:t>
      </w:r>
      <w:bookmarkStart w:id="73" w:name="_GoBack"/>
      <w:bookmarkEnd w:id="73"/>
    </w:p>
    <w:p>
      <w:pPr>
        <w:ind w:firstLine="440"/>
      </w:pPr>
    </w:p>
    <w:p>
      <w:pPr>
        <w:pStyle w:val="2"/>
        <w:pBdr>
          <w:bottom w:val="single" w:color="2E75B6" w:sz="8" w:space="6"/>
        </w:pBdr>
      </w:pPr>
      <w:bookmarkStart w:id="27" w:name="_Toc231569745"/>
      <w:r>
        <w:t>第六章  项目收尾工作</w:t>
      </w:r>
      <w:bookmarkEnd w:id="27"/>
    </w:p>
    <w:p>
      <w:pPr>
        <w:pStyle w:val="3"/>
      </w:pPr>
      <w:bookmarkStart w:id="28" w:name="_Toc231569746"/>
      <w:r>
        <w:t>6.1 收尾检查清单</w:t>
      </w:r>
      <w:bookmarkEnd w:id="28"/>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2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收尾事项</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负责人</w:t>
            </w:r>
          </w:p>
        </w:tc>
        <w:tc>
          <w:tcPr>
            <w:tcW w:w="2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完成状态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所有核心功能开发完成并通过测试</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SRS、SDS等所有项目文档最终定稿</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软件规模度量实验报告（实验二）提交</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软件成本估算实验报告（实验三）提交</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代码提交至GitHub并完成版本标记（v1.0-final）</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Docker镜像打包并测试一键部署</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性能测试报告完成（响应时间、并发测试）</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答辩PPT制作完成</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于广淳/周慧星</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YOLO模型权重文件（best.pt）归档</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项目经验教训文档编写</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于广淳</w:t>
            </w:r>
          </w:p>
        </w:tc>
        <w:tc>
          <w:tcPr>
            <w:tcW w:w="2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已完成</w:t>
            </w:r>
          </w:p>
        </w:tc>
      </w:tr>
    </w:tbl>
    <w:p>
      <w:pPr>
        <w:pStyle w:val="3"/>
      </w:pPr>
      <w:bookmarkStart w:id="29" w:name="_Toc231569747"/>
      <w:r>
        <w:t>6.2 经验教训总结</w:t>
      </w:r>
      <w:bookmarkEnd w:id="29"/>
    </w:p>
    <w:p>
      <w:pPr>
        <w:pStyle w:val="4"/>
      </w:pPr>
      <w:bookmarkStart w:id="30" w:name="_Toc231569748"/>
      <w:r>
        <w:t>6.2.1 值得推广的经验</w:t>
      </w:r>
      <w:bookmarkEnd w:id="30"/>
    </w:p>
    <w:p>
      <w:pPr>
        <w:pStyle w:val="20"/>
        <w:numPr>
          <w:ilvl w:val="0"/>
          <w:numId w:val="1"/>
        </w:numPr>
        <w:spacing w:before="40" w:after="40" w:line="300" w:lineRule="auto"/>
      </w:pPr>
      <w:r>
        <w:rPr>
          <w:rFonts w:eastAsia="Arial"/>
          <w:color w:val="1A1A1A"/>
        </w:rPr>
        <w:t>双方法交叉验证策略的有效性：无论是功能点度量（IFPUG+NESMA）还是成本估算（GB/T 36964 + COCOMO II），采用两种方法互相验证，显著增强了结果可信度，差异均控制在20%以内</w:t>
      </w:r>
    </w:p>
    <w:p>
      <w:pPr>
        <w:pStyle w:val="20"/>
        <w:numPr>
          <w:ilvl w:val="0"/>
          <w:numId w:val="1"/>
        </w:numPr>
        <w:spacing w:before="40" w:after="40" w:line="300" w:lineRule="auto"/>
      </w:pPr>
      <w:r>
        <w:rPr>
          <w:rFonts w:eastAsia="Arial"/>
          <w:color w:val="1A1A1A"/>
        </w:rPr>
        <w:t>API优先开发策略：在开发后期引入OpenAPI规范后，前后端联调效率明显提升，建议在项目初期即建立接口契约</w:t>
      </w:r>
    </w:p>
    <w:p>
      <w:pPr>
        <w:pStyle w:val="20"/>
        <w:numPr>
          <w:ilvl w:val="0"/>
          <w:numId w:val="1"/>
        </w:numPr>
        <w:spacing w:before="40" w:after="40" w:line="300" w:lineRule="auto"/>
      </w:pPr>
      <w:r>
        <w:rPr>
          <w:rFonts w:eastAsia="Arial"/>
          <w:color w:val="1A1A1A"/>
        </w:rPr>
        <w:t>Docker容器化部署：确保开发/测试/生产环境一致性，排除了大量环境相关的问题</w:t>
      </w:r>
    </w:p>
    <w:p>
      <w:pPr>
        <w:pStyle w:val="4"/>
      </w:pPr>
      <w:bookmarkStart w:id="31" w:name="_Toc231569749"/>
      <w:r>
        <w:t>6.2.2 需要改进的经验</w:t>
      </w:r>
      <w:bookmarkEnd w:id="31"/>
    </w:p>
    <w:p>
      <w:pPr>
        <w:pStyle w:val="20"/>
        <w:numPr>
          <w:ilvl w:val="0"/>
          <w:numId w:val="1"/>
        </w:numPr>
        <w:spacing w:before="40" w:after="40" w:line="300" w:lineRule="auto"/>
      </w:pPr>
      <w:r>
        <w:rPr>
          <w:rFonts w:eastAsia="Arial"/>
          <w:color w:val="1A1A1A"/>
        </w:rPr>
        <w:t>需求量化指标须在需求阶段充分论证：早期检测准确率目标（95%）未经模型可行性验证即写入文档，导致后期需要修订，耗费额外沟通成本</w:t>
      </w:r>
    </w:p>
    <w:p>
      <w:pPr>
        <w:pStyle w:val="20"/>
        <w:numPr>
          <w:ilvl w:val="0"/>
          <w:numId w:val="1"/>
        </w:numPr>
        <w:spacing w:before="40" w:after="40" w:line="300" w:lineRule="auto"/>
      </w:pPr>
      <w:r>
        <w:rPr>
          <w:rFonts w:eastAsia="Arial"/>
          <w:color w:val="1A1A1A"/>
        </w:rPr>
        <w:t>性能测试应更早启动：建议在后端API单元完成后立即进行性能基准测试，而非等待系统集成完毕</w:t>
      </w:r>
    </w:p>
    <w:p>
      <w:pPr>
        <w:pStyle w:val="20"/>
        <w:numPr>
          <w:ilvl w:val="0"/>
          <w:numId w:val="1"/>
        </w:numPr>
        <w:spacing w:before="40" w:after="40" w:line="300" w:lineRule="auto"/>
      </w:pPr>
      <w:r>
        <w:rPr>
          <w:rFonts w:eastAsia="Arial"/>
          <w:color w:val="1A1A1A"/>
        </w:rPr>
        <w:t>数据集规划需要更充分：数据集标注工作量被低估，建议在项目初期预留更多缓冲时间</w:t>
      </w:r>
    </w:p>
    <w:p>
      <w:pPr>
        <w:pStyle w:val="3"/>
      </w:pPr>
      <w:bookmarkStart w:id="32" w:name="_Toc231569750"/>
      <w:r>
        <w:t>6.3 产品移交</w:t>
      </w:r>
      <w:bookmarkEnd w:id="32"/>
    </w:p>
    <w:p>
      <w:pPr>
        <w:spacing w:before="60" w:after="100" w:line="320" w:lineRule="auto"/>
        <w:ind w:firstLine="440"/>
        <w:jc w:val="both"/>
      </w:pPr>
      <w:r>
        <w:rPr>
          <w:rFonts w:eastAsia="Arial"/>
          <w:color w:val="1A1A1A"/>
        </w:rPr>
        <w:t>项目所有交付物已按以下方式完成移交：代码与Docker配置已推送至GitHub仓库并创建v1.0-final发布版本；模型权重文件（best.pt）已上传至OSS存储并备份至本地；所有文档以PDF格式提交至课程平台；系统已在测试环境完成演示，可供导师验收。</w:t>
      </w:r>
    </w:p>
    <w:p>
      <w:pPr>
        <w:pStyle w:val="2"/>
        <w:pBdr>
          <w:bottom w:val="single" w:color="2E75B6" w:sz="8" w:space="6"/>
        </w:pBdr>
      </w:pPr>
      <w:bookmarkStart w:id="33" w:name="_Toc231569751"/>
      <w:r>
        <w:t>第七章  软件原型的规模估算</w:t>
      </w:r>
      <w:bookmarkEnd w:id="33"/>
    </w:p>
    <w:p>
      <w:pPr>
        <w:pStyle w:val="3"/>
      </w:pPr>
      <w:bookmarkStart w:id="34" w:name="_Toc231569752"/>
      <w:r>
        <w:t>7.1 度量方法概述</w:t>
      </w:r>
      <w:bookmarkEnd w:id="34"/>
    </w:p>
    <w:p>
      <w:pPr>
        <w:spacing w:before="60" w:after="100" w:line="320" w:lineRule="auto"/>
        <w:ind w:firstLine="440"/>
        <w:jc w:val="both"/>
      </w:pPr>
      <w:r>
        <w:rPr>
          <w:rFonts w:eastAsia="Arial"/>
          <w:color w:val="1A1A1A"/>
        </w:rPr>
        <w:t>本项目软件规模度量采用功能点分析法（Function Point Analysis, FPA），选用IFPUG方法作为主要度量手段，NESMA方法作为交叉验证手段。功能点法从软件系统功能特性角度衡量软件规模，独立于技术实现语言与平台，具有标准化、可审计的优点。</w:t>
      </w:r>
    </w:p>
    <w:p>
      <w:pPr>
        <w:pStyle w:val="3"/>
      </w:pPr>
      <w:bookmarkStart w:id="35" w:name="_Toc231569753"/>
      <w:r>
        <w:t>7.2 系统边界与度量范围</w:t>
      </w:r>
      <w:bookmarkEnd w:id="35"/>
    </w:p>
    <w:p>
      <w:pPr>
        <w:spacing w:before="60" w:after="100" w:line="320" w:lineRule="auto"/>
        <w:ind w:firstLine="440"/>
        <w:jc w:val="both"/>
      </w:pPr>
      <w:r>
        <w:rPr>
          <w:rFonts w:eastAsia="Arial"/>
          <w:color w:val="1A1A1A"/>
        </w:rPr>
        <w:t>本次度量范围界定如下：</w:t>
      </w:r>
    </w:p>
    <w:p>
      <w:pPr>
        <w:pStyle w:val="20"/>
        <w:numPr>
          <w:ilvl w:val="0"/>
          <w:numId w:val="1"/>
        </w:numPr>
        <w:spacing w:before="40" w:after="40" w:line="300" w:lineRule="auto"/>
      </w:pPr>
      <w:r>
        <w:rPr>
          <w:rFonts w:eastAsia="Arial"/>
          <w:color w:val="1A1A1A"/>
        </w:rPr>
        <w:t>内部：污渍检测模型（YOLO）、后端服务（FastAPI + RESTful API）、运维工具（Docker）</w:t>
      </w:r>
    </w:p>
    <w:p>
      <w:pPr>
        <w:pStyle w:val="20"/>
        <w:numPr>
          <w:ilvl w:val="0"/>
          <w:numId w:val="1"/>
        </w:numPr>
        <w:spacing w:before="40" w:after="40" w:line="300" w:lineRule="auto"/>
      </w:pPr>
      <w:r>
        <w:rPr>
          <w:rFonts w:eastAsia="Arial"/>
          <w:color w:val="1A1A1A"/>
        </w:rPr>
        <w:t>外部（不计入）：石材幕墙系统总前端、用户认证系统、其他外部子系统</w:t>
      </w:r>
    </w:p>
    <w:p>
      <w:pPr>
        <w:pStyle w:val="3"/>
      </w:pPr>
      <w:bookmarkStart w:id="36" w:name="_Toc231569754"/>
      <w:r>
        <w:t>7.3 IFPUG功能点分析</w:t>
      </w:r>
      <w:bookmarkEnd w:id="36"/>
    </w:p>
    <w:p>
      <w:pPr>
        <w:pStyle w:val="4"/>
      </w:pPr>
      <w:bookmarkStart w:id="37" w:name="_Toc231569755"/>
      <w:r>
        <w:t>7.3.1 数据类功能点</w:t>
      </w:r>
      <w:bookmarkEnd w:id="37"/>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2"/>
        <w:gridCol w:w="1382"/>
        <w:gridCol w:w="2964"/>
        <w:gridCol w:w="1080"/>
        <w:gridCol w:w="1007"/>
        <w:gridCol w:w="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类型</w:t>
            </w:r>
          </w:p>
        </w:tc>
        <w:tc>
          <w:tcPr>
            <w:tcW w:w="1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逻辑文件</w:t>
            </w:r>
          </w:p>
        </w:tc>
        <w:tc>
          <w:tcPr>
            <w:tcW w:w="3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数据元素（DET）</w:t>
            </w:r>
          </w:p>
        </w:tc>
        <w:tc>
          <w:tcPr>
            <w:tcW w:w="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RET</w:t>
            </w:r>
          </w:p>
        </w:tc>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复杂度</w:t>
            </w:r>
          </w:p>
        </w:tc>
        <w:tc>
          <w:tcPr>
            <w:tcW w:w="6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ILF</w:t>
            </w:r>
          </w:p>
        </w:tc>
        <w:tc>
          <w:tcPr>
            <w:tcW w:w="16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污渍检测记录</w:t>
            </w:r>
          </w:p>
        </w:tc>
        <w:tc>
          <w:tcPr>
            <w:tcW w:w="3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图片路径、图片上传时间、检测结果图片路径、污渍面积、检测时间、处理状态、报告文件名（7项）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低（Low）</w:t>
            </w:r>
          </w:p>
        </w:tc>
        <w:tc>
          <w:tcPr>
            <w:tcW w:w="6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EIF</w:t>
            </w:r>
          </w:p>
        </w:tc>
        <w:tc>
          <w:tcPr>
            <w:tcW w:w="1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外部用户系统</w:t>
            </w:r>
          </w:p>
        </w:tc>
        <w:tc>
          <w:tcPr>
            <w:tcW w:w="3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用户ID、身份令牌、子系统权限、最后登录时间（4项）</w:t>
            </w:r>
          </w:p>
        </w:tc>
        <w:tc>
          <w:tcPr>
            <w:tcW w:w="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低（Low）</w:t>
            </w:r>
          </w:p>
        </w:tc>
        <w:tc>
          <w:tcPr>
            <w:tcW w:w="6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5</w:t>
            </w:r>
          </w:p>
        </w:tc>
      </w:tr>
    </w:tbl>
    <w:p>
      <w:pPr>
        <w:spacing w:before="80"/>
        <w:ind w:firstLine="440"/>
      </w:pPr>
    </w:p>
    <w:p>
      <w:pPr>
        <w:pStyle w:val="4"/>
      </w:pPr>
      <w:bookmarkStart w:id="38" w:name="_Toc231569756"/>
      <w:r>
        <w:t>7.3.2 人机交互事务类功能点</w:t>
      </w:r>
      <w:bookmarkEnd w:id="38"/>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9"/>
        <w:gridCol w:w="1478"/>
        <w:gridCol w:w="2443"/>
        <w:gridCol w:w="1069"/>
        <w:gridCol w:w="1385"/>
        <w:gridCol w:w="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类型</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事务名称</w:t>
            </w:r>
          </w:p>
        </w:tc>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数据元素（DET）</w:t>
            </w:r>
          </w:p>
        </w:tc>
        <w:tc>
          <w:tcPr>
            <w:tcW w:w="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FTR</w:t>
            </w:r>
          </w:p>
        </w:tc>
        <w:tc>
          <w:tcPr>
            <w:tcW w:w="9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复杂度</w:t>
            </w:r>
          </w:p>
        </w:tc>
        <w:tc>
          <w:tcPr>
            <w:tcW w:w="10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EI</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检测数据录入与处理</w:t>
            </w:r>
          </w:p>
        </w:tc>
        <w:tc>
          <w:tcPr>
            <w:tcW w:w="32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图片路径、图片上传时间、检测结果图片路径、污渍面积、检测时间、处理状态（6项）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EQ</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历史检测记录查询</w:t>
            </w:r>
          </w:p>
        </w:tc>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记录ID、图片路径、检测结果图片路径、污渍面积、检测时间、处理状态（6项）</w:t>
            </w:r>
          </w:p>
        </w:tc>
        <w:tc>
          <w:tcPr>
            <w:tcW w:w="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9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EO</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检测报告导出</w:t>
            </w:r>
          </w:p>
        </w:tc>
        <w:tc>
          <w:tcPr>
            <w:tcW w:w="32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图片路径、检测结果图片路径、污渍面积、检测时间、处理状态、报告文件名（6项）</w:t>
            </w:r>
          </w:p>
        </w:tc>
        <w:tc>
          <w:tcPr>
            <w:tcW w:w="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9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平均（Average）</w:t>
            </w:r>
          </w:p>
        </w:tc>
        <w:tc>
          <w:tcPr>
            <w:tcW w:w="1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r>
    </w:tbl>
    <w:p>
      <w:pPr>
        <w:pStyle w:val="4"/>
      </w:pPr>
      <w:bookmarkStart w:id="39" w:name="_Toc231569757"/>
      <w:r>
        <w:t>7.3.3 未调整功能点计算</w:t>
      </w:r>
      <w:bookmarkEnd w:id="39"/>
    </w:p>
    <w:p>
      <w:pPr>
        <w:spacing w:before="60" w:after="100" w:line="320" w:lineRule="auto"/>
        <w:ind w:firstLine="440"/>
        <w:jc w:val="both"/>
      </w:pPr>
      <w:r>
        <w:rPr>
          <w:rFonts w:eastAsia="Arial"/>
          <w:color w:val="1A1A1A"/>
        </w:rPr>
        <w:t>UFP = ILF(7) + EIF(5) + EI(4) + EQ(4) + EO(5) = 25 功能点</w:t>
      </w:r>
    </w:p>
    <w:p>
      <w:pPr>
        <w:pStyle w:val="4"/>
      </w:pPr>
      <w:bookmarkStart w:id="40" w:name="_Toc231569758"/>
      <w:r>
        <w:t>7.3.4 值调整因子（VAF）计算</w:t>
      </w:r>
      <w:bookmarkEnd w:id="40"/>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
        <w:gridCol w:w="1854"/>
        <w:gridCol w:w="2791"/>
        <w:gridCol w:w="985"/>
        <w:gridCol w:w="17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序号</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通用系统特征</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本项目情况</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评分</w:t>
            </w:r>
          </w:p>
        </w:tc>
        <w:tc>
          <w:tcPr>
            <w:tcW w:w="19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评分依据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数据通信</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从OSS获取图片，结果存储于MySQL/OSS</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有中等程度的数据传输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分布式处理</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单机运行，无分布式需求</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无分布式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性能要求</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20秒检测，5秒查询响应，100并发</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有明确性能约束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硬件配置</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普通PC即可运行，无特殊配置</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轻微特殊硬件需求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事务处理率</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每日500+检测操作，集中在工作时间</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事务量对设计有影响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在线数据输入</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图片上传和检测结果保存是在线的</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数据在线实时录入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用户效率</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前端页面使用已有设计</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不专门为用户效率优化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在线更新</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仅记录查询，无在线修改业务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无在线实时修改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复杂处理</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包含YOLO检测、面积计算等算法</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包含复杂AI算法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可复用性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新开发，无可复用组件</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轻微复用设计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安装便捷性</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Docker一键部署，无特殊要求</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无特殊安装需求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操作便捷性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前端页面用已有设计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不专门优化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多站点运行</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单区域部署（华东1）</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单站点部署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可修改性</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未做额外扩展性设计</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w:t>
            </w:r>
          </w:p>
        </w:tc>
        <w:tc>
          <w:tcPr>
            <w:tcW w:w="19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轻微可修改性考虑</w:t>
            </w:r>
          </w:p>
        </w:tc>
      </w:tr>
    </w:tbl>
    <w:p>
      <w:pPr>
        <w:spacing w:before="80"/>
        <w:ind w:firstLine="440"/>
      </w:pPr>
    </w:p>
    <w:p>
      <w:pPr>
        <w:spacing w:before="60" w:after="100" w:line="320" w:lineRule="auto"/>
        <w:ind w:firstLine="440"/>
        <w:jc w:val="both"/>
      </w:pPr>
      <w:r>
        <w:rPr>
          <w:rFonts w:eastAsia="Arial"/>
          <w:color w:val="1A1A1A"/>
        </w:rPr>
        <w:t>TDI（影响度总和）= 2+0+3+1+3+2+0+0+3+1+0+0+1+1 = 17</w:t>
      </w:r>
    </w:p>
    <w:p>
      <w:pPr>
        <w:spacing w:before="60" w:after="100" w:line="320" w:lineRule="auto"/>
        <w:ind w:firstLine="440"/>
        <w:jc w:val="both"/>
      </w:pPr>
      <w:r>
        <w:rPr>
          <w:rFonts w:eastAsia="Arial"/>
          <w:color w:val="1A1A1A"/>
        </w:rPr>
        <w:t>VAF = 0.65 + 0.01 × 17 = 0.82</w:t>
      </w:r>
    </w:p>
    <w:p>
      <w:pPr>
        <w:spacing w:before="60" w:after="100" w:line="320" w:lineRule="auto"/>
        <w:ind w:firstLine="440"/>
        <w:jc w:val="both"/>
      </w:pPr>
      <w:r>
        <w:rPr>
          <w:rFonts w:eastAsia="Arial"/>
          <w:color w:val="1A1A1A"/>
        </w:rPr>
        <w:t>AFP（调整后功能点）= UFP × VAF = 25 × 0.82 = 20.5 ≈ 21 FP</w:t>
      </w:r>
    </w:p>
    <w:p>
      <w:pPr>
        <w:pStyle w:val="3"/>
      </w:pPr>
      <w:bookmarkStart w:id="41" w:name="_Toc231569759"/>
      <w:r>
        <w:t>7.4 NESMA方法交叉验证</w:t>
      </w:r>
      <w:bookmarkEnd w:id="41"/>
    </w:p>
    <w:p>
      <w:pPr>
        <w:spacing w:before="60" w:after="100" w:line="320" w:lineRule="auto"/>
        <w:ind w:firstLine="440"/>
        <w:jc w:val="both"/>
      </w:pPr>
      <w:r>
        <w:rPr>
          <w:rFonts w:eastAsia="Arial"/>
          <w:color w:val="1A1A1A"/>
        </w:rPr>
        <w:t>采用NESMA方法进行三级递进式估算以验证IFPUG结果：</w:t>
      </w:r>
    </w:p>
    <w:p>
      <w:pPr>
        <w:pStyle w:val="20"/>
        <w:numPr>
          <w:ilvl w:val="0"/>
          <w:numId w:val="1"/>
        </w:numPr>
        <w:spacing w:before="40" w:after="40" w:line="300" w:lineRule="auto"/>
      </w:pPr>
      <w:r>
        <w:rPr>
          <w:rFonts w:eastAsia="Arial"/>
          <w:color w:val="1A1A1A"/>
        </w:rPr>
        <w:t>指示功能点（仅计ILF/EIF）：UFP = 1×35 + 1×15 = 50（早期快速估算，偏保守）</w:t>
      </w:r>
    </w:p>
    <w:p>
      <w:pPr>
        <w:pStyle w:val="20"/>
        <w:numPr>
          <w:ilvl w:val="0"/>
          <w:numId w:val="1"/>
        </w:numPr>
        <w:spacing w:before="40" w:after="40" w:line="300" w:lineRule="auto"/>
      </w:pPr>
      <w:r>
        <w:rPr>
          <w:rFonts w:eastAsia="Arial"/>
          <w:color w:val="1A1A1A"/>
        </w:rPr>
        <w:t>估算功能点（按标准平均权重）：UFP = 7+5+4+4+5 = 25（与IFPUG一致）</w:t>
      </w:r>
    </w:p>
    <w:p>
      <w:pPr>
        <w:pStyle w:val="20"/>
        <w:numPr>
          <w:ilvl w:val="0"/>
          <w:numId w:val="1"/>
        </w:numPr>
        <w:spacing w:before="40" w:after="40" w:line="300" w:lineRule="auto"/>
      </w:pPr>
      <w:r>
        <w:rPr>
          <w:rFonts w:eastAsia="Arial"/>
          <w:color w:val="1A1A1A"/>
        </w:rPr>
        <w:t>详细功能点（与IFPUG规则一致）：UFP = 25，AFP = 21（取VAF=0.82时）</w:t>
      </w:r>
    </w:p>
    <w:p>
      <w:pPr>
        <w:spacing w:before="60" w:after="100" w:line="320" w:lineRule="auto"/>
        <w:ind w:firstLine="440"/>
        <w:jc w:val="both"/>
      </w:pPr>
      <w:r>
        <w:rPr>
          <w:rFonts w:eastAsia="Arial"/>
          <w:color w:val="1A1A1A"/>
        </w:rPr>
        <w:t>两种方法在详细计数阶段得到完全一致的UFP=25，验证了NESMA详细法与IFPUG的高度等价性，结果可信。</w:t>
      </w:r>
    </w:p>
    <w:p>
      <w:pPr>
        <w:pStyle w:val="3"/>
      </w:pPr>
      <w:bookmarkStart w:id="42" w:name="_Toc231569760"/>
      <w:r>
        <w:t>7.5 规模估算汇总</w:t>
      </w:r>
      <w:bookmarkEnd w:id="42"/>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1500"/>
        <w:gridCol w:w="2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度量方法</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UFP</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AFP</w:t>
            </w:r>
          </w:p>
        </w:tc>
        <w:tc>
          <w:tcPr>
            <w:tcW w:w="2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IFPUG</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25</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21</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主要度量方法，含VAF调整（VAF=0.82）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NESMA详细法</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25</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21</w:t>
            </w:r>
          </w:p>
        </w:tc>
        <w:tc>
          <w:tcPr>
            <w:tcW w:w="2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交叉验证方法，结果与IFPUG完全一致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NESMA指示法（参考）</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t>
            </w:r>
          </w:p>
        </w:tc>
        <w:tc>
          <w:tcPr>
            <w:tcW w:w="2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早期估算参考值，适合项目立项阶段</w:t>
            </w:r>
          </w:p>
        </w:tc>
      </w:tr>
    </w:tbl>
    <w:p>
      <w:pPr>
        <w:ind w:firstLine="440"/>
      </w:pPr>
    </w:p>
    <w:p>
      <w:pPr>
        <w:pStyle w:val="2"/>
        <w:pBdr>
          <w:bottom w:val="single" w:color="2E75B6" w:sz="8" w:space="6"/>
        </w:pBdr>
      </w:pPr>
      <w:bookmarkStart w:id="43" w:name="_Toc231569761"/>
      <w:r>
        <w:t>第八章  软件成本估算</w:t>
      </w:r>
      <w:bookmarkEnd w:id="43"/>
    </w:p>
    <w:p>
      <w:pPr>
        <w:pStyle w:val="3"/>
      </w:pPr>
      <w:bookmarkStart w:id="44" w:name="_Toc231569762"/>
      <w:r>
        <w:t>8.1 估算方法与数据来源</w:t>
      </w:r>
      <w:bookmarkEnd w:id="44"/>
    </w:p>
    <w:p>
      <w:pPr>
        <w:spacing w:before="60" w:after="100" w:line="320" w:lineRule="auto"/>
        <w:ind w:firstLine="440"/>
        <w:jc w:val="both"/>
      </w:pPr>
      <w:r>
        <w:rPr>
          <w:rFonts w:eastAsia="Arial"/>
          <w:color w:val="1A1A1A"/>
        </w:rPr>
        <w:t>本项目软件成本估算以第七章得到的AFP=21为输入规模数据，采用国家标准GB/T 36964《软件工程 软件开发成本度量规范》为主要估算框架，以北京软件造价评估技术创新联盟（BSCEA）发布的《2025年中国软件行业基准数据（CSBMK®-202510）》为生产率数据来源。</w:t>
      </w:r>
    </w:p>
    <w:p>
      <w:pPr>
        <w:pStyle w:val="3"/>
      </w:pPr>
      <w:bookmarkStart w:id="45" w:name="_Toc231569763"/>
      <w:r>
        <w:t>8.2 GB/T 36964方法估算（主要方法）</w:t>
      </w:r>
      <w:bookmarkEnd w:id="45"/>
    </w:p>
    <w:p>
      <w:pPr>
        <w:pStyle w:val="4"/>
      </w:pPr>
      <w:bookmarkStart w:id="46" w:name="_Toc231569764"/>
      <w:r>
        <w:t>8.2.1 生产率选取依据</w:t>
      </w:r>
      <w:bookmarkEnd w:id="4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58"/>
        <w:gridCol w:w="1358"/>
        <w:gridCol w:w="1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P10</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P25</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P50（中位数）</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P75</w:t>
            </w:r>
          </w:p>
        </w:tc>
        <w:tc>
          <w:tcPr>
            <w:tcW w:w="1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P90</w:t>
            </w:r>
          </w:p>
        </w:tc>
        <w:tc>
          <w:tcPr>
            <w:tcW w:w="17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本项目选取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2.02</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4.21</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6.72</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14.10</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18.87</w:t>
            </w:r>
          </w:p>
        </w:tc>
        <w:tc>
          <w:tcPr>
            <w:tcW w:w="17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P50 = 6.72</w:t>
            </w:r>
          </w:p>
        </w:tc>
      </w:tr>
    </w:tbl>
    <w:p>
      <w:pPr>
        <w:spacing w:before="80"/>
        <w:ind w:firstLine="440"/>
      </w:pPr>
    </w:p>
    <w:p>
      <w:pPr>
        <w:spacing w:before="60" w:after="100" w:line="320" w:lineRule="auto"/>
        <w:ind w:firstLine="440"/>
        <w:jc w:val="both"/>
      </w:pPr>
      <w:r>
        <w:rPr>
          <w:rFonts w:eastAsia="Arial"/>
          <w:color w:val="1A1A1A"/>
        </w:rPr>
        <w:t>选取P50（中位数=6.72人时/FP）的依据：本项目为新开发的图像检测类应用，规模较小（21 FP），功能相对集中；团队为大学生，开发经验有限；但项目技术栈现代（FastAPI、YOLO、Vue3），有成熟文档和社区支持；含复杂深度学习算法（污渍检测、面积计算）。综合考量，行业中位数是合理的生产率取值。</w:t>
      </w:r>
    </w:p>
    <w:p>
      <w:pPr>
        <w:pStyle w:val="4"/>
      </w:pPr>
      <w:bookmarkStart w:id="47" w:name="_Toc231569765"/>
      <w:r>
        <w:t>8.2.2 工作量与成本计算</w:t>
      </w:r>
      <w:bookmarkEnd w:id="47"/>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3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计算项目</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数值</w:t>
            </w:r>
          </w:p>
        </w:tc>
        <w:tc>
          <w:tcPr>
            <w:tcW w:w="3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计算过程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软件规模（AFP）</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21 FP</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由IFPUG方法度量得出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生产率</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6.72 人时/FP</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CSBMK®-202510 P50中位数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工作量（人时）</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141.12 人时</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21 FP × 6.72 人时/FP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月工作小时数</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180 小时/月</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22.5 天/月 × 8 小时/天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工作量（人月）</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0.784 人月</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141.12 ÷ 180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人月费率（上海）</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31,309 元/人月</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CSBMK®-202510 上海地区，含利润及税金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24,546 元</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0.784 人月 × 31,309 元/人月</w:t>
            </w:r>
          </w:p>
        </w:tc>
      </w:tr>
    </w:tbl>
    <w:p>
      <w:pPr>
        <w:pStyle w:val="3"/>
      </w:pPr>
      <w:bookmarkStart w:id="48" w:name="_Toc231569766"/>
      <w:r>
        <w:t>8.3 COCOMO II方法估算（交叉验证）</w:t>
      </w:r>
      <w:bookmarkEnd w:id="48"/>
    </w:p>
    <w:p>
      <w:pPr>
        <w:spacing w:before="60" w:after="100" w:line="320" w:lineRule="auto"/>
        <w:ind w:firstLine="440"/>
        <w:jc w:val="both"/>
      </w:pPr>
      <w:r>
        <w:rPr>
          <w:rFonts w:eastAsia="Arial"/>
          <w:color w:val="1A1A1A"/>
        </w:rPr>
        <w:t>COCOMO II早期设计模型以源代码千行数（KSLOC）为规模单位，核心公式为：PM = A × (Size)^E × ∏(EMi)。本次仅针对核心业务代码（不含模型权重、SQL脚本、空文件）统计，纳入统计的文件包括main.py、detections.py、auth.py、config.py、response.py、detection.py（schemas）、tasks.py及model_adapter.py。</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4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参数</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取值</w:t>
            </w:r>
          </w:p>
        </w:tc>
        <w:tc>
          <w:tcPr>
            <w:tcW w:w="4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软件规模（Size）</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0.332 KSLOC</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去空行、去纯注释行后统计核心代码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校准常数（A）</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2.94</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COCOMO II标准校准常数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规模指数（E）</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1.11</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项目规模较小，架构清晰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成本驱动因子（∏EMi）</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1.00</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技术栈成熟，结构单一，按名义值处理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计算工作量（PM）</w:t>
            </w:r>
          </w:p>
        </w:tc>
        <w:tc>
          <w:tcPr>
            <w:tcW w:w="18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0.865 人月</w:t>
            </w:r>
          </w:p>
        </w:tc>
        <w:tc>
          <w:tcPr>
            <w:tcW w:w="4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2.94 × (0.332)^1.11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27,082 元</w:t>
            </w:r>
          </w:p>
        </w:tc>
        <w:tc>
          <w:tcPr>
            <w:tcW w:w="4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0.865 人月 × 31,309 元/人月</w:t>
            </w:r>
          </w:p>
        </w:tc>
      </w:tr>
    </w:tbl>
    <w:p>
      <w:pPr>
        <w:pStyle w:val="3"/>
      </w:pPr>
      <w:bookmarkStart w:id="49" w:name="_Toc231569767"/>
      <w:r>
        <w:t>8.4 双方法对比分析</w:t>
      </w:r>
      <w:bookmarkEnd w:id="49"/>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对比项</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GB/T 36964方法</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COCOMO II方法</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规模单位</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功能点（FP）</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KSLOC</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规模度量结果</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21 FP</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0.332 KSLOC</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不同单位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工作量</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0.784 人月</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0.865 人月</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软件开发成本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24,546 元</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27,082 元</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+10.4%</w:t>
            </w:r>
          </w:p>
        </w:tc>
      </w:tr>
    </w:tbl>
    <w:p>
      <w:pPr>
        <w:spacing w:before="80"/>
        <w:ind w:firstLine="440"/>
      </w:pPr>
    </w:p>
    <w:p>
      <w:pPr>
        <w:spacing w:before="60" w:after="100" w:line="320" w:lineRule="auto"/>
        <w:ind w:firstLine="440"/>
        <w:jc w:val="both"/>
      </w:pPr>
      <w:r>
        <w:rPr>
          <w:rFonts w:eastAsia="Arial"/>
          <w:color w:val="1A1A1A"/>
        </w:rPr>
        <w:t>两种方法估算差异为10.4%，远低于20%的可信阈值，验证了成本估算的合理性。前者从业务功能视角度量，后者从技术实现视角统计，互补验证，结果一致性良好。</w:t>
      </w:r>
    </w:p>
    <w:p>
      <w:pPr>
        <w:pStyle w:val="2"/>
        <w:pBdr>
          <w:bottom w:val="single" w:color="2E75B6" w:sz="8" w:space="6"/>
        </w:pBdr>
      </w:pPr>
      <w:bookmarkStart w:id="50" w:name="_Toc231569768"/>
      <w:r>
        <w:t>第九章  软件定价策略</w:t>
      </w:r>
      <w:bookmarkEnd w:id="50"/>
    </w:p>
    <w:p>
      <w:pPr>
        <w:pStyle w:val="3"/>
      </w:pPr>
      <w:bookmarkStart w:id="51" w:name="_Toc231569769"/>
      <w:r>
        <w:t>9.1 定价基础分析</w:t>
      </w:r>
      <w:bookmarkEnd w:id="51"/>
    </w:p>
    <w:p>
      <w:pPr>
        <w:spacing w:before="60" w:after="100" w:line="320" w:lineRule="auto"/>
        <w:ind w:firstLine="440"/>
        <w:jc w:val="both"/>
      </w:pPr>
      <w:r>
        <w:rPr>
          <w:rFonts w:eastAsia="Arial"/>
          <w:color w:val="1A1A1A"/>
        </w:rPr>
        <w:t>本项目作为课程实训项目，在当前阶段不以商业销售为直接目标，但其技术成果（尤其是YOLO检测模型和完整的后端系统）具有明确的商业推广价值。以下从三种场景分别制定定价策略：</w:t>
      </w:r>
    </w:p>
    <w:p>
      <w:pPr>
        <w:pStyle w:val="3"/>
      </w:pPr>
      <w:bookmarkStart w:id="52" w:name="_Toc231569770"/>
      <w:r>
        <w:t>9.2 成本加成定价（Cost-Plus Pricing）</w:t>
      </w:r>
      <w:bookmarkEnd w:id="52"/>
    </w:p>
    <w:p>
      <w:pPr>
        <w:spacing w:before="60" w:after="100" w:line="320" w:lineRule="auto"/>
        <w:ind w:firstLine="440"/>
        <w:jc w:val="both"/>
      </w:pPr>
      <w:r>
        <w:rPr>
          <w:rFonts w:eastAsia="Arial"/>
          <w:color w:val="1A1A1A"/>
        </w:rPr>
        <w:t>以软件开发成本为基础，叠加合理利润率进行定价，适用于对价格敏感度较高的客户（如中小型物业公司）。</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3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定价项目</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金额（元）</w:t>
            </w:r>
          </w:p>
        </w:tc>
        <w:tc>
          <w:tcPr>
            <w:tcW w:w="3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基础开发成本</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24,546</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GB/T 36964估算结果（参考值）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系统集成与定制成本</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+8,000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针对特定客户环境的定制适配费用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培训与上线支持</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+3,000</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初期使用培训、文档交付、上线指导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第一年维护费</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+2,400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200元/月，包含bug修复和小版本更新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利润加成（30%）</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+11,384</w:t>
            </w:r>
          </w:p>
        </w:tc>
        <w:tc>
          <w:tcPr>
            <w:tcW w:w="3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30%利润率，行业正常水平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最终报价（一次性）</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约49,330</w:t>
            </w:r>
          </w:p>
        </w:tc>
        <w:tc>
          <w:tcPr>
            <w:tcW w:w="3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适用于一次性买断定价模式</w:t>
            </w:r>
          </w:p>
        </w:tc>
      </w:tr>
    </w:tbl>
    <w:p>
      <w:pPr>
        <w:pStyle w:val="3"/>
      </w:pPr>
      <w:bookmarkStart w:id="53" w:name="_Toc231569771"/>
      <w:r>
        <w:t>9.3 SaaS订阅定价（Subscription Pricing）</w:t>
      </w:r>
      <w:bookmarkEnd w:id="53"/>
    </w:p>
    <w:p>
      <w:pPr>
        <w:spacing w:before="60" w:after="100" w:line="320" w:lineRule="auto"/>
        <w:ind w:firstLine="440"/>
        <w:jc w:val="both"/>
      </w:pPr>
      <w:r>
        <w:rPr>
          <w:rFonts w:eastAsia="Arial"/>
          <w:color w:val="1A1A1A"/>
        </w:rPr>
        <w:t>以云端SaaS形式提供服务，按月/年订阅收费，降低客户采购门槛，适用于中大型物业管理公司或建筑维护服务商。</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500"/>
        <w:gridCol w:w="3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套餐</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月费（元）</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年费（元）</w:t>
            </w:r>
          </w:p>
        </w:tc>
        <w:tc>
          <w:tcPr>
            <w:tcW w:w="3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包含内容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基础版</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299</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2,990（9折）</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5用户，500次/月检测，基础历史记录查询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专业版</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799</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7,990（8.3折）</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20用户，不限次数检测，高级历史分析，PDF报告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企业版</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定制</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定制</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不限用户，私有化部署，专属技术支持，API接入</w:t>
            </w:r>
          </w:p>
        </w:tc>
      </w:tr>
    </w:tbl>
    <w:p>
      <w:pPr>
        <w:pStyle w:val="3"/>
      </w:pPr>
      <w:bookmarkStart w:id="54" w:name="_Toc231569772"/>
      <w:r>
        <w:t>9.4 基于价值的定价（Value-Based Pricing）</w:t>
      </w:r>
      <w:bookmarkEnd w:id="54"/>
    </w:p>
    <w:p>
      <w:pPr>
        <w:spacing w:before="60" w:after="100" w:line="320" w:lineRule="auto"/>
        <w:ind w:firstLine="440"/>
        <w:jc w:val="both"/>
      </w:pPr>
      <w:r>
        <w:rPr>
          <w:rFonts w:eastAsia="Arial"/>
          <w:color w:val="1A1A1A"/>
        </w:rPr>
        <w:t>从客户获得的商业价值出发进行定价。对于中等规模的建筑维护公司，采用本系统后：每月节省巡检人工约20人·天（按日薪500元计算=10,000元）；减少高空作业相关保险和安全成本约2,000元/月；合计每月可量化价值约12,000元。依据"客户每月获得价值的5%作为合理订阅费"原则，月订阅定价在600元区间合理，与专业版定价（799元）高度吻合，体现了定价策略的内在一致性。</w:t>
      </w:r>
    </w:p>
    <w:p>
      <w:pPr>
        <w:pStyle w:val="2"/>
        <w:pBdr>
          <w:bottom w:val="single" w:color="2E75B6" w:sz="8" w:space="6"/>
        </w:pBdr>
      </w:pPr>
      <w:bookmarkStart w:id="55" w:name="_Toc231569773"/>
      <w:r>
        <w:t>第十章  资金筹集</w:t>
      </w:r>
      <w:bookmarkEnd w:id="55"/>
    </w:p>
    <w:p>
      <w:pPr>
        <w:pStyle w:val="3"/>
      </w:pPr>
      <w:bookmarkStart w:id="56" w:name="_Toc231569774"/>
      <w:r>
        <w:t>10.1 当前项目资金来源</w:t>
      </w:r>
      <w:bookmarkEnd w:id="56"/>
    </w:p>
    <w:p>
      <w:pPr>
        <w:spacing w:before="60" w:after="100" w:line="320" w:lineRule="auto"/>
        <w:ind w:firstLine="440"/>
        <w:jc w:val="both"/>
      </w:pPr>
      <w:r>
        <w:rPr>
          <w:rFonts w:eastAsia="Arial"/>
          <w:color w:val="1A1A1A"/>
        </w:rPr>
        <w:t>本项目作为同济大学课程实训项目，当前阶段资金来源较为简单：</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4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资金来源</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金额（元）</w:t>
            </w:r>
          </w:p>
        </w:tc>
        <w:tc>
          <w:tcPr>
            <w:tcW w:w="4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课程项目经费（个人垫付）</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900</w:t>
            </w:r>
          </w:p>
        </w:tc>
        <w:tc>
          <w:tcPr>
            <w:tcW w:w="4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服务器租赁、开发工具、API费用等直接支出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学校/学院算力资源（实物支持）</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（折算约500）</w:t>
            </w:r>
          </w:p>
        </w:tc>
        <w:tc>
          <w:tcPr>
            <w:tcW w:w="4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使用学院GPU集群进行部分模型训练，无需额外付费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开源工具节省成本</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（折算约3,000）</w:t>
            </w:r>
          </w:p>
        </w:tc>
        <w:tc>
          <w:tcPr>
            <w:tcW w:w="4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FastAPI、PyTorch、Vue3、Docker等开源工具，避免商业软件授权费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合计实际支出</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约900</w:t>
            </w:r>
          </w:p>
        </w:tc>
        <w:tc>
          <w:tcPr>
            <w:tcW w:w="4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不含人力成本的实际现金支出</w:t>
            </w:r>
          </w:p>
        </w:tc>
      </w:tr>
    </w:tbl>
    <w:p>
      <w:pPr>
        <w:pStyle w:val="3"/>
      </w:pPr>
      <w:bookmarkStart w:id="57" w:name="_Toc231569775"/>
      <w:r>
        <w:t>10.2 商业化阶段资金筹集策略</w:t>
      </w:r>
      <w:bookmarkEnd w:id="57"/>
    </w:p>
    <w:p>
      <w:pPr>
        <w:spacing w:before="60" w:after="100" w:line="320" w:lineRule="auto"/>
        <w:ind w:firstLine="440"/>
        <w:jc w:val="both"/>
      </w:pPr>
      <w:r>
        <w:rPr>
          <w:rFonts w:eastAsia="Arial"/>
          <w:color w:val="1A1A1A"/>
        </w:rPr>
        <w:t>若本项目未来进行商业化推广，可考虑以下资金筹集路径：</w:t>
      </w:r>
    </w:p>
    <w:p>
      <w:pPr>
        <w:pStyle w:val="4"/>
      </w:pPr>
      <w:bookmarkStart w:id="58" w:name="_Toc231569776"/>
      <w:r>
        <w:t>10.2.1 自筹资金阶段（0-6个月）</w:t>
      </w:r>
      <w:bookmarkEnd w:id="58"/>
    </w:p>
    <w:p>
      <w:pPr>
        <w:pStyle w:val="20"/>
        <w:numPr>
          <w:ilvl w:val="0"/>
          <w:numId w:val="1"/>
        </w:numPr>
        <w:spacing w:before="40" w:after="40" w:line="300" w:lineRule="auto"/>
      </w:pPr>
      <w:r>
        <w:rPr>
          <w:rFonts w:eastAsia="Arial"/>
          <w:color w:val="1A1A1A"/>
        </w:rPr>
        <w:t>利用现有开发成果（代码、模型）作为核心资产，以最小可行产品（MVP）形式部署至云端</w:t>
      </w:r>
    </w:p>
    <w:p>
      <w:pPr>
        <w:pStyle w:val="20"/>
        <w:numPr>
          <w:ilvl w:val="0"/>
          <w:numId w:val="1"/>
        </w:numPr>
        <w:spacing w:before="40" w:after="40" w:line="300" w:lineRule="auto"/>
      </w:pPr>
      <w:r>
        <w:rPr>
          <w:rFonts w:eastAsia="Arial"/>
          <w:color w:val="1A1A1A"/>
        </w:rPr>
        <w:t>通过SaaS早期用户的订阅费用实现自我造血，重点目标客户为中小型物业管理公司</w:t>
      </w:r>
    </w:p>
    <w:p>
      <w:pPr>
        <w:pStyle w:val="20"/>
        <w:numPr>
          <w:ilvl w:val="0"/>
          <w:numId w:val="1"/>
        </w:numPr>
        <w:spacing w:before="40" w:after="40" w:line="300" w:lineRule="auto"/>
      </w:pPr>
      <w:r>
        <w:rPr>
          <w:rFonts w:eastAsia="Arial"/>
          <w:color w:val="1A1A1A"/>
        </w:rPr>
        <w:t>预期月收入：若获取5个基础版用户，月收入约1,495元，可覆盖云服务器运营成本（约500元/月）</w:t>
      </w:r>
    </w:p>
    <w:p>
      <w:pPr>
        <w:pStyle w:val="4"/>
      </w:pPr>
      <w:bookmarkStart w:id="59" w:name="_Toc231569777"/>
      <w:r>
        <w:t>10.2.2 种子融资阶段（6-18个月）</w:t>
      </w:r>
      <w:bookmarkEnd w:id="59"/>
    </w:p>
    <w:p>
      <w:pPr>
        <w:pStyle w:val="20"/>
        <w:numPr>
          <w:ilvl w:val="0"/>
          <w:numId w:val="1"/>
        </w:numPr>
        <w:spacing w:before="40" w:after="40" w:line="300" w:lineRule="auto"/>
      </w:pPr>
      <w:r>
        <w:rPr>
          <w:rFonts w:eastAsia="Arial"/>
          <w:color w:val="1A1A1A"/>
        </w:rPr>
        <w:t>申请大学生创新创业项目基金：同济大学设有相关扶持资金，单笔支持额度5-20万元</w:t>
      </w:r>
    </w:p>
    <w:p>
      <w:pPr>
        <w:pStyle w:val="20"/>
        <w:numPr>
          <w:ilvl w:val="0"/>
          <w:numId w:val="1"/>
        </w:numPr>
        <w:spacing w:before="40" w:after="40" w:line="300" w:lineRule="auto"/>
      </w:pPr>
      <w:r>
        <w:rPr>
          <w:rFonts w:eastAsia="Arial"/>
          <w:color w:val="1A1A1A"/>
        </w:rPr>
        <w:t>参加创业大赛：通过"互联网+"、"挑战杯"等赛事获取奖金和曝光度</w:t>
      </w:r>
    </w:p>
    <w:p>
      <w:pPr>
        <w:pStyle w:val="20"/>
        <w:numPr>
          <w:ilvl w:val="0"/>
          <w:numId w:val="1"/>
        </w:numPr>
        <w:spacing w:before="40" w:after="40" w:line="300" w:lineRule="auto"/>
      </w:pPr>
      <w:r>
        <w:rPr>
          <w:rFonts w:eastAsia="Arial"/>
          <w:color w:val="1A1A1A"/>
        </w:rPr>
        <w:t>争取天使轮投资：智慧建筑/IoT赛道的天使投资机构关注此类AI检测细分场景，预期融资额度50-200万元</w:t>
      </w:r>
    </w:p>
    <w:p>
      <w:pPr>
        <w:pStyle w:val="4"/>
      </w:pPr>
      <w:bookmarkStart w:id="60" w:name="_Toc231569778"/>
      <w:r>
        <w:t>10.2.3 商业贷款与补贴</w:t>
      </w:r>
      <w:bookmarkEnd w:id="60"/>
    </w:p>
    <w:p>
      <w:pPr>
        <w:pStyle w:val="20"/>
        <w:numPr>
          <w:ilvl w:val="0"/>
          <w:numId w:val="1"/>
        </w:numPr>
        <w:spacing w:before="40" w:after="40" w:line="300" w:lineRule="auto"/>
      </w:pPr>
      <w:r>
        <w:rPr>
          <w:rFonts w:eastAsia="Arial"/>
          <w:color w:val="1A1A1A"/>
        </w:rPr>
        <w:t>申请高新技术企业认定后，享受地方政府对人工智能企业的财税补贴和贴息贷款</w:t>
      </w:r>
    </w:p>
    <w:p>
      <w:pPr>
        <w:pStyle w:val="20"/>
        <w:numPr>
          <w:ilvl w:val="0"/>
          <w:numId w:val="1"/>
        </w:numPr>
        <w:spacing w:before="40" w:after="40" w:line="300" w:lineRule="auto"/>
      </w:pPr>
      <w:r>
        <w:rPr>
          <w:rFonts w:eastAsia="Arial"/>
          <w:color w:val="1A1A1A"/>
        </w:rPr>
        <w:t>申报国家自然科学基金或住建部智慧建筑相关科研课题，获取研究经费支持</w:t>
      </w:r>
    </w:p>
    <w:p>
      <w:pPr>
        <w:pStyle w:val="2"/>
        <w:pBdr>
          <w:bottom w:val="single" w:color="2E75B6" w:sz="8" w:space="6"/>
        </w:pBdr>
      </w:pPr>
      <w:bookmarkStart w:id="61" w:name="_Toc231569779"/>
      <w:r>
        <w:rPr>
          <w:rFonts w:hint="eastAsia" w:ascii="宋体" w:hAnsi="宋体" w:eastAsia="宋体" w:cs="宋体"/>
        </w:rPr>
        <w:t>第</w:t>
      </w:r>
      <w:r>
        <w:t>十一章  软件产品的财务评估</w:t>
      </w:r>
      <w:bookmarkEnd w:id="61"/>
    </w:p>
    <w:p>
      <w:pPr>
        <w:pStyle w:val="3"/>
      </w:pPr>
      <w:bookmarkStart w:id="62" w:name="_Toc231569780"/>
      <w:r>
        <w:t>11.1 财务评估基本假设</w:t>
      </w:r>
      <w:bookmarkEnd w:id="62"/>
    </w:p>
    <w:p>
      <w:pPr>
        <w:pStyle w:val="20"/>
        <w:numPr>
          <w:ilvl w:val="0"/>
          <w:numId w:val="1"/>
        </w:numPr>
        <w:spacing w:before="40" w:after="40" w:line="300" w:lineRule="auto"/>
      </w:pPr>
      <w:r>
        <w:rPr>
          <w:rFonts w:eastAsia="Arial"/>
          <w:color w:val="1A1A1A"/>
        </w:rPr>
        <w:t>评估期限：5年（2026年-2030年）</w:t>
      </w:r>
    </w:p>
    <w:p>
      <w:pPr>
        <w:pStyle w:val="20"/>
        <w:numPr>
          <w:ilvl w:val="0"/>
          <w:numId w:val="1"/>
        </w:numPr>
        <w:spacing w:before="40" w:after="40" w:line="300" w:lineRule="auto"/>
      </w:pPr>
      <w:r>
        <w:rPr>
          <w:rFonts w:eastAsia="Arial"/>
          <w:color w:val="1A1A1A"/>
        </w:rPr>
        <w:t>目标市场：中国主要城市的物业管理公司、建筑维护公司，估计目标客户总量约5,000家</w:t>
      </w:r>
    </w:p>
    <w:p>
      <w:pPr>
        <w:pStyle w:val="20"/>
        <w:numPr>
          <w:ilvl w:val="0"/>
          <w:numId w:val="1"/>
        </w:numPr>
        <w:spacing w:before="40" w:after="40" w:line="300" w:lineRule="auto"/>
      </w:pPr>
      <w:r>
        <w:rPr>
          <w:rFonts w:eastAsia="Arial"/>
          <w:color w:val="1A1A1A"/>
        </w:rPr>
        <w:t>市场渗透率假设：第1年0.1%（5家），第2年0.3%（15家），第3年0.8%（40家），第4年1.5%（75家），第5年2.5%（125家）</w:t>
      </w:r>
    </w:p>
    <w:p>
      <w:pPr>
        <w:pStyle w:val="20"/>
        <w:numPr>
          <w:ilvl w:val="0"/>
          <w:numId w:val="1"/>
        </w:numPr>
        <w:spacing w:before="40" w:after="40" w:line="300" w:lineRule="auto"/>
      </w:pPr>
      <w:r>
        <w:rPr>
          <w:rFonts w:eastAsia="Arial"/>
          <w:color w:val="1A1A1A"/>
        </w:rPr>
        <w:t>平均客单价：专业版订阅为主，月均ARPU（每用户平均收入）取700元/月</w:t>
      </w:r>
    </w:p>
    <w:p>
      <w:pPr>
        <w:pStyle w:val="20"/>
        <w:numPr>
          <w:ilvl w:val="0"/>
          <w:numId w:val="1"/>
        </w:numPr>
        <w:spacing w:before="40" w:after="40" w:line="300" w:lineRule="auto"/>
      </w:pPr>
      <w:r>
        <w:rPr>
          <w:rFonts w:eastAsia="Arial"/>
          <w:color w:val="1A1A1A"/>
        </w:rPr>
        <w:t>折现率：10%（考虑创业项目风险溢价）</w:t>
      </w:r>
    </w:p>
    <w:p>
      <w:pPr>
        <w:pStyle w:val="20"/>
        <w:numPr>
          <w:ilvl w:val="0"/>
          <w:numId w:val="1"/>
        </w:numPr>
        <w:spacing w:before="40" w:after="40" w:line="300" w:lineRule="auto"/>
      </w:pPr>
      <w:r>
        <w:rPr>
          <w:rFonts w:eastAsia="Arial"/>
          <w:color w:val="1A1A1A"/>
        </w:rPr>
        <w:t>初始投资：开发成本约2.5万元 + 商业化启动费用约5万元 = 合计7.5万元</w:t>
      </w:r>
    </w:p>
    <w:p>
      <w:pPr>
        <w:pStyle w:val="3"/>
      </w:pPr>
      <w:bookmarkStart w:id="63" w:name="_Toc231569781"/>
      <w:r>
        <w:t>11.2 收入与成本预测</w:t>
      </w:r>
      <w:bookmarkEnd w:id="63"/>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6"/>
        <w:gridCol w:w="1298"/>
        <w:gridCol w:w="1334"/>
        <w:gridCol w:w="1334"/>
        <w:gridCol w:w="1334"/>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财务指标</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第1年 2026</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第2年 2027</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第3年 2028</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第4年 2029</w:t>
            </w:r>
          </w:p>
        </w:tc>
        <w:tc>
          <w:tcPr>
            <w:tcW w:w="1461"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第5年 2030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客户数（家）</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40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75</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年收入（万元）</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4.2</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12.6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33.6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63.0</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运营成本（万元）</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6.0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8.0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14.0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22.0</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净利润（万元）</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-1.8</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19.6</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41.0</w:t>
            </w:r>
          </w:p>
        </w:tc>
        <w:tc>
          <w:tcPr>
            <w:tcW w:w="1461"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累计净利润（万元）</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-1.8</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2.8</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22.4</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63.4</w:t>
            </w:r>
          </w:p>
        </w:tc>
        <w:tc>
          <w:tcPr>
            <w:tcW w:w="1461"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133.4</w:t>
            </w:r>
          </w:p>
        </w:tc>
      </w:tr>
    </w:tbl>
    <w:p>
      <w:pPr>
        <w:spacing w:before="80"/>
        <w:ind w:firstLine="440"/>
      </w:pPr>
    </w:p>
    <w:p>
      <w:pPr>
        <w:spacing w:before="60" w:after="100" w:line="320" w:lineRule="auto"/>
        <w:ind w:firstLine="440"/>
        <w:jc w:val="both"/>
      </w:pPr>
      <w:r>
        <w:rPr>
          <w:rFonts w:eastAsia="Arial"/>
          <w:color w:val="1A1A1A"/>
        </w:rPr>
        <w:t>注：年收入 = 客户数 × 12月 × 700元/月 × 10^-4（转换为万元）。运营成本包括服务器费用、人力成本（按2人全职估算）、销售与市场费用等。</w:t>
      </w:r>
    </w:p>
    <w:p>
      <w:pPr>
        <w:pStyle w:val="3"/>
      </w:pPr>
      <w:bookmarkStart w:id="64" w:name="_Toc231569782"/>
      <w:r>
        <w:t>11.3 关键财务指标</w:t>
      </w:r>
      <w:bookmarkEnd w:id="64"/>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财务指标</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估算值</w:t>
            </w:r>
          </w:p>
        </w:tc>
        <w:tc>
          <w:tcPr>
            <w:tcW w:w="33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投资回收期（Payback Period）</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约18个月</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第2年上半年累计净利润转正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净现值（NPV，5年，折现率10%）</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约+52万元</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项目具有正NPV，在经济上可行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内部收益率（IRR）</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约65%</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远高于折现率10%，投资吸引力强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盈亏平衡点（Break-even）</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约12个订阅用户</w:t>
            </w:r>
          </w:p>
        </w:tc>
        <w:tc>
          <w:tcPr>
            <w:tcW w:w="33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月收入 ≥ 月运营成本（约8,400元/月）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5年ROI（投资回报率）</w:t>
            </w:r>
          </w:p>
        </w:tc>
        <w:tc>
          <w:tcPr>
            <w:tcW w:w="2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约1,779%</w:t>
            </w:r>
          </w:p>
        </w:tc>
        <w:tc>
          <w:tcPr>
            <w:tcW w:w="33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(133.4-7.5)/7.5 × 100%</w:t>
            </w:r>
          </w:p>
        </w:tc>
      </w:tr>
    </w:tbl>
    <w:p>
      <w:pPr>
        <w:spacing w:before="60" w:after="100" w:line="320" w:lineRule="auto"/>
        <w:ind w:firstLine="440"/>
        <w:jc w:val="both"/>
      </w:pPr>
      <w:r>
        <w:rPr>
          <w:rFonts w:eastAsia="Arial"/>
          <w:color w:val="1A1A1A"/>
        </w:rPr>
        <w:t>综合财务评估表明，本项目在5年内具有良好的盈利预期，投资回收期较短（约18个月），NPV为正值，IRR远高于行业基准折现率，整体财务可行性良好。</w:t>
      </w:r>
    </w:p>
    <w:p>
      <w:pPr>
        <w:pStyle w:val="2"/>
        <w:pBdr>
          <w:bottom w:val="single" w:color="2E75B6" w:sz="8" w:space="6"/>
        </w:pBdr>
      </w:pPr>
      <w:bookmarkStart w:id="65" w:name="_Toc231569783"/>
      <w:r>
        <w:t>第十二章  财务风险管理</w:t>
      </w:r>
      <w:bookmarkEnd w:id="65"/>
    </w:p>
    <w:p>
      <w:pPr>
        <w:pStyle w:val="3"/>
      </w:pPr>
      <w:bookmarkStart w:id="66" w:name="_Toc231569784"/>
      <w:r>
        <w:t>12.1 财务风险识别</w:t>
      </w:r>
      <w:bookmarkEnd w:id="66"/>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1756"/>
        <w:gridCol w:w="1041"/>
        <w:gridCol w:w="974"/>
        <w:gridCol w:w="3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编号</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财务风险</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发生概率</w:t>
            </w:r>
          </w:p>
        </w:tc>
        <w:tc>
          <w:tcPr>
            <w:tcW w:w="1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财务影响</w:t>
            </w:r>
          </w:p>
        </w:tc>
        <w:tc>
          <w:tcPr>
            <w:tcW w:w="40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应对措施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FR01</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市场渗透率低于预期（客户获取困难）</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降低定价（推出免费版/试用版）；加强销售渠道；聚焦种子客户案例打造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FR02</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云服务器成本超预期（GPU推理费用）</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中（35%）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引入模型量化（INT8）降低推理成本；使用Spot实例；设置月度费用上限告警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FR03</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竞争对手出现（同类低价产品）</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中（30%）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差异化定位（精度+易用性）；加快新功能迭代；锁定头部客户建立口碑壁垒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FR04</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汇率风险（使用海外服务时）</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低（15%）</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优先选用国内云服务商（阿里云/腾讯云）；本地化采购策略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FR05</w:t>
            </w:r>
          </w:p>
        </w:tc>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融资失败（种子轮未能获取）</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中（40%）</w:t>
            </w:r>
          </w:p>
        </w:tc>
        <w:tc>
          <w:tcPr>
            <w:tcW w:w="1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w:t>
            </w:r>
          </w:p>
        </w:tc>
        <w:tc>
          <w:tcPr>
            <w:tcW w:w="40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保持自我造血能力；优化成本结构；维持精干团队规模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FR06</w:t>
            </w:r>
          </w:p>
        </w:tc>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成本估算严重低估（实际工作量超出预期）</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低（20%）</w:t>
            </w:r>
          </w:p>
        </w:tc>
        <w:tc>
          <w:tcPr>
            <w:tcW w:w="1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中</w:t>
            </w:r>
          </w:p>
        </w:tc>
        <w:tc>
          <w:tcPr>
            <w:tcW w:w="40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引入20%成本储备金；功能优先级管理；MVP优先策略</w:t>
            </w:r>
          </w:p>
        </w:tc>
      </w:tr>
    </w:tbl>
    <w:p>
      <w:pPr>
        <w:pStyle w:val="3"/>
      </w:pPr>
      <w:bookmarkStart w:id="67" w:name="_Toc231569785"/>
      <w:r>
        <w:t>12.2 敏感性分析</w:t>
      </w:r>
      <w:bookmarkEnd w:id="67"/>
    </w:p>
    <w:p>
      <w:pPr>
        <w:spacing w:before="60" w:after="100" w:line="320" w:lineRule="auto"/>
        <w:ind w:firstLine="440"/>
        <w:jc w:val="both"/>
      </w:pPr>
      <w:r>
        <w:rPr>
          <w:rFonts w:eastAsia="Arial"/>
          <w:color w:val="1A1A1A"/>
        </w:rPr>
        <w:t>对影响项目财务结果的关键参数进行敏感性分析，评估其变化对NPV的影响程度：</w:t>
      </w:r>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1442"/>
        <w:gridCol w:w="1452"/>
        <w:gridCol w:w="1458"/>
        <w:gridCol w:w="1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关键参数</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基准值</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-20%情景</w:t>
            </w:r>
          </w:p>
        </w:tc>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+20%情景</w:t>
            </w:r>
          </w:p>
        </w:tc>
        <w:tc>
          <w:tcPr>
            <w:tcW w:w="18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对NPV的影响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月均ARPU（元）</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700</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560 → NPV↓35%</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840 → NPV↑35%</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高度敏感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市场渗透率</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基准预测</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 NPV↓45%</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 NPV↑45%</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最高敏感性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运营成本</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基准预测</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 NPV↑18%</w:t>
            </w:r>
          </w:p>
        </w:tc>
        <w:tc>
          <w:tcPr>
            <w:tcW w:w="15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 NPV↓18%</w:t>
            </w:r>
          </w:p>
        </w:tc>
        <w:tc>
          <w:tcPr>
            <w:tcW w:w="18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jc w:val="center"/>
            </w:pPr>
            <w:r>
              <w:rPr>
                <w:rFonts w:eastAsia="Arial"/>
                <w:color w:val="1A1A1A"/>
                <w:sz w:val="20"/>
                <w:szCs w:val="20"/>
              </w:rPr>
              <w:t>中度敏感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折现率</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10%</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8% → NPV↑12%</w:t>
            </w:r>
          </w:p>
        </w:tc>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12% → NPV↓10%</w:t>
            </w:r>
          </w:p>
        </w:tc>
        <w:tc>
          <w:tcPr>
            <w:tcW w:w="18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jc w:val="center"/>
            </w:pPr>
            <w:r>
              <w:rPr>
                <w:rFonts w:eastAsia="Arial"/>
                <w:color w:val="1A1A1A"/>
                <w:sz w:val="20"/>
                <w:szCs w:val="20"/>
              </w:rPr>
              <w:t>低度敏感</w:t>
            </w:r>
          </w:p>
        </w:tc>
      </w:tr>
    </w:tbl>
    <w:p>
      <w:pPr>
        <w:spacing w:before="80"/>
        <w:ind w:firstLine="440"/>
      </w:pPr>
    </w:p>
    <w:p>
      <w:pPr>
        <w:spacing w:before="60" w:after="100" w:line="320" w:lineRule="auto"/>
        <w:ind w:firstLine="440"/>
        <w:jc w:val="both"/>
      </w:pPr>
      <w:r>
        <w:rPr>
          <w:rFonts w:eastAsia="Arial"/>
          <w:color w:val="1A1A1A"/>
        </w:rPr>
        <w:t>敏感性分析表明，市场渗透率和月均ARPU是影响项目财务结果最关键的两个变量。因此，商业化初期的重点应放在精准客户开发和价值主张验证上，确保用户付费意愿与定价之间的匹配。</w:t>
      </w:r>
    </w:p>
    <w:p>
      <w:pPr>
        <w:pStyle w:val="3"/>
      </w:pPr>
      <w:bookmarkStart w:id="68" w:name="_Toc231569786"/>
      <w:r>
        <w:t>12.3 财务风险管理建议</w:t>
      </w:r>
      <w:bookmarkEnd w:id="68"/>
    </w:p>
    <w:p>
      <w:pPr>
        <w:pStyle w:val="20"/>
        <w:numPr>
          <w:ilvl w:val="0"/>
          <w:numId w:val="2"/>
        </w:numPr>
        <w:spacing w:before="40" w:after="40" w:line="300" w:lineRule="auto"/>
      </w:pPr>
      <w:r>
        <w:rPr>
          <w:rFonts w:eastAsia="Arial"/>
          <w:color w:val="1A1A1A"/>
        </w:rPr>
        <w:t>建立成本预算储备金机制：在项目预算中预留20%的成本储备，专门应对不可预见的开销（如GPU超时费用、紧急功能修复等）</w:t>
      </w:r>
    </w:p>
    <w:p>
      <w:pPr>
        <w:pStyle w:val="20"/>
        <w:numPr>
          <w:ilvl w:val="0"/>
          <w:numId w:val="2"/>
        </w:numPr>
        <w:spacing w:before="40" w:after="40" w:line="300" w:lineRule="auto"/>
      </w:pPr>
      <w:r>
        <w:rPr>
          <w:rFonts w:eastAsia="Arial"/>
          <w:color w:val="1A1A1A"/>
        </w:rPr>
        <w:t>采用精益财务管理策略：在达到盈亏平衡点（12个用户）之前，严格控制非核心支出，避免过早扩招人员或盲目扩展功能</w:t>
      </w:r>
    </w:p>
    <w:p>
      <w:pPr>
        <w:pStyle w:val="20"/>
        <w:numPr>
          <w:ilvl w:val="0"/>
          <w:numId w:val="2"/>
        </w:numPr>
        <w:spacing w:before="40" w:after="40" w:line="300" w:lineRule="auto"/>
      </w:pPr>
      <w:r>
        <w:rPr>
          <w:rFonts w:eastAsia="Arial"/>
          <w:color w:val="1A1A1A"/>
        </w:rPr>
        <w:t>建立月度财务仪表板：定期跟踪实际收入/成本与预算的偏差，当偏差超过15%时触发审查机制</w:t>
      </w:r>
    </w:p>
    <w:p>
      <w:pPr>
        <w:pStyle w:val="20"/>
        <w:numPr>
          <w:ilvl w:val="0"/>
          <w:numId w:val="2"/>
        </w:numPr>
        <w:spacing w:before="40" w:after="40" w:line="300" w:lineRule="auto"/>
      </w:pPr>
      <w:r>
        <w:rPr>
          <w:rFonts w:eastAsia="Arial"/>
          <w:color w:val="1A1A1A"/>
        </w:rPr>
        <w:t>多元化收入来源：除订阅收入外，积极拓展模型授权（针对其他子系统的YOLO模型复用）、定制开发咨询等辅助收入，降低对单一订阅模式的依赖</w:t>
      </w:r>
    </w:p>
    <w:p>
      <w:pPr>
        <w:pStyle w:val="20"/>
        <w:numPr>
          <w:ilvl w:val="0"/>
          <w:numId w:val="2"/>
        </w:numPr>
        <w:spacing w:before="40" w:after="40" w:line="300" w:lineRule="auto"/>
      </w:pPr>
      <w:r>
        <w:rPr>
          <w:rFonts w:eastAsia="Arial"/>
          <w:color w:val="1A1A1A"/>
        </w:rPr>
        <w:t>保险与法律保障：为服务中断、数据丢失等场景购置适当的商业保险；明确在SaaS服务协议中界定数据安全责任边界，降低法律纠纷带来的财务损失风险</w:t>
      </w:r>
    </w:p>
    <w:p>
      <w:pPr>
        <w:pStyle w:val="2"/>
        <w:pBdr>
          <w:bottom w:val="single" w:color="2E75B6" w:sz="8" w:space="6"/>
        </w:pBdr>
      </w:pPr>
      <w:bookmarkStart w:id="69" w:name="_Toc231569787"/>
      <w:r>
        <w:rPr>
          <w:rFonts w:hint="eastAsia" w:ascii="宋体" w:hAnsi="宋体" w:eastAsia="宋体" w:cs="宋体"/>
        </w:rPr>
        <w:t>附</w:t>
      </w:r>
      <w:r>
        <w:t>录：文档参考与数据来源</w:t>
      </w:r>
      <w:bookmarkEnd w:id="69"/>
    </w:p>
    <w:p>
      <w:pPr>
        <w:pStyle w:val="3"/>
      </w:pPr>
      <w:bookmarkStart w:id="70" w:name="_Toc231569788"/>
      <w:r>
        <w:t>A. 项目文档清单</w:t>
      </w:r>
      <w:bookmarkEnd w:id="70"/>
    </w:p>
    <w:p>
      <w:pPr>
        <w:pStyle w:val="20"/>
        <w:numPr>
          <w:ilvl w:val="0"/>
          <w:numId w:val="1"/>
        </w:numPr>
        <w:spacing w:before="40" w:after="40" w:line="300" w:lineRule="auto"/>
      </w:pPr>
      <w:r>
        <w:rPr>
          <w:rFonts w:eastAsia="Arial"/>
          <w:color w:val="1A1A1A"/>
        </w:rPr>
        <w:t>项目定义说明（POS）：石材幕墙污渍检测系统，撰写人：周慧星、于广淳，日期：2026/03/14</w:t>
      </w:r>
    </w:p>
    <w:p>
      <w:pPr>
        <w:pStyle w:val="20"/>
        <w:numPr>
          <w:ilvl w:val="0"/>
          <w:numId w:val="1"/>
        </w:numPr>
        <w:spacing w:before="40" w:after="40" w:line="300" w:lineRule="auto"/>
      </w:pPr>
      <w:r>
        <w:rPr>
          <w:rFonts w:eastAsia="Arial"/>
          <w:color w:val="1A1A1A"/>
        </w:rPr>
        <w:t>项目章程：石材幕墙污渍检测系统，撰写人：于广淳，日期：2026年3月</w:t>
      </w:r>
    </w:p>
    <w:p>
      <w:pPr>
        <w:pStyle w:val="20"/>
        <w:numPr>
          <w:ilvl w:val="0"/>
          <w:numId w:val="1"/>
        </w:numPr>
        <w:spacing w:before="40" w:after="40" w:line="300" w:lineRule="auto"/>
      </w:pPr>
      <w:r>
        <w:rPr>
          <w:rFonts w:eastAsia="Arial"/>
          <w:color w:val="1A1A1A"/>
        </w:rPr>
        <w:t>软件需求规格说明（SRS）：石材幕墙污渍检测系统 v1.4，于广淳、周慧星，2026年6月</w:t>
      </w:r>
    </w:p>
    <w:p>
      <w:pPr>
        <w:pStyle w:val="20"/>
        <w:numPr>
          <w:ilvl w:val="0"/>
          <w:numId w:val="1"/>
        </w:numPr>
        <w:spacing w:before="40" w:after="40" w:line="300" w:lineRule="auto"/>
      </w:pPr>
      <w:r>
        <w:rPr>
          <w:rFonts w:eastAsia="Arial"/>
          <w:color w:val="1A1A1A"/>
        </w:rPr>
        <w:t>软件设计规格说明（SDS）：石材幕墙污渍检测系统，于广淳、周慧星，2026年6月</w:t>
      </w:r>
    </w:p>
    <w:p>
      <w:pPr>
        <w:pStyle w:val="20"/>
        <w:numPr>
          <w:ilvl w:val="0"/>
          <w:numId w:val="1"/>
        </w:numPr>
        <w:spacing w:before="40" w:after="40" w:line="300" w:lineRule="auto"/>
      </w:pPr>
      <w:r>
        <w:rPr>
          <w:rFonts w:eastAsia="Arial"/>
          <w:color w:val="1A1A1A"/>
        </w:rPr>
        <w:t>软件规模度量实验报告：2353740于广淳-2351289周慧星，2026年4月27日</w:t>
      </w:r>
    </w:p>
    <w:p>
      <w:pPr>
        <w:pStyle w:val="20"/>
        <w:numPr>
          <w:ilvl w:val="0"/>
          <w:numId w:val="1"/>
        </w:numPr>
        <w:spacing w:before="40" w:after="40" w:line="300" w:lineRule="auto"/>
      </w:pPr>
      <w:r>
        <w:rPr>
          <w:rFonts w:eastAsia="Arial"/>
          <w:color w:val="1A1A1A"/>
        </w:rPr>
        <w:t>软件成本估算实验报告：2353740于广淳-2351289周慧星，2026年5月16日</w:t>
      </w:r>
    </w:p>
    <w:p>
      <w:pPr>
        <w:pStyle w:val="3"/>
      </w:pPr>
      <w:bookmarkStart w:id="71" w:name="_Toc231569789"/>
      <w:r>
        <w:t>B. 标准与数据来源</w:t>
      </w:r>
      <w:bookmarkEnd w:id="71"/>
    </w:p>
    <w:p>
      <w:pPr>
        <w:pStyle w:val="20"/>
        <w:numPr>
          <w:ilvl w:val="0"/>
          <w:numId w:val="1"/>
        </w:numPr>
        <w:spacing w:before="40" w:after="40" w:line="300" w:lineRule="auto"/>
      </w:pPr>
      <w:r>
        <w:rPr>
          <w:rFonts w:eastAsia="Arial"/>
          <w:color w:val="1A1A1A"/>
        </w:rPr>
        <w:t>GB/T 36964《软件工程 软件开发成本度量规范》，中国标准出版社</w:t>
      </w:r>
    </w:p>
    <w:p>
      <w:pPr>
        <w:pStyle w:val="20"/>
        <w:numPr>
          <w:ilvl w:val="0"/>
          <w:numId w:val="1"/>
        </w:numPr>
        <w:spacing w:before="40" w:after="40" w:line="300" w:lineRule="auto"/>
      </w:pPr>
      <w:r>
        <w:rPr>
          <w:rFonts w:eastAsia="Arial"/>
          <w:color w:val="1A1A1A"/>
        </w:rPr>
        <w:t>IFPUG《功能点计数实践手册》（CPM 4.3.1版本）</w:t>
      </w:r>
    </w:p>
    <w:p>
      <w:pPr>
        <w:pStyle w:val="20"/>
        <w:numPr>
          <w:ilvl w:val="0"/>
          <w:numId w:val="1"/>
        </w:numPr>
        <w:spacing w:before="40" w:after="40" w:line="300" w:lineRule="auto"/>
      </w:pPr>
      <w:r>
        <w:rPr>
          <w:rFonts w:eastAsia="Arial"/>
          <w:color w:val="1A1A1A"/>
        </w:rPr>
        <w:t>北京软件造价评估技术创新联盟（BSCEA）：《2025年中国软件行业基准数据（CSBMK®-202510）》</w:t>
      </w:r>
    </w:p>
    <w:p>
      <w:pPr>
        <w:pStyle w:val="20"/>
        <w:numPr>
          <w:ilvl w:val="0"/>
          <w:numId w:val="1"/>
        </w:numPr>
        <w:spacing w:before="40" w:after="40" w:line="300" w:lineRule="auto"/>
      </w:pPr>
      <w:r>
        <w:rPr>
          <w:rFonts w:eastAsia="Arial"/>
          <w:color w:val="1A1A1A"/>
        </w:rPr>
        <w:t>COCOMO II模型参数来源：USC软件工程中心，Boehm等著《Software Cost Estimation with COCOMO II》</w:t>
      </w:r>
    </w:p>
    <w:p>
      <w:pPr>
        <w:pStyle w:val="20"/>
        <w:numPr>
          <w:ilvl w:val="0"/>
          <w:numId w:val="1"/>
        </w:numPr>
        <w:spacing w:before="40" w:after="40" w:line="300" w:lineRule="auto"/>
      </w:pPr>
      <w:r>
        <w:rPr>
          <w:rFonts w:eastAsia="Arial"/>
          <w:color w:val="1A1A1A"/>
        </w:rPr>
        <w:t>IEEE 830-1998软件需求规格说明标准；IEEE 1016-2009软件设计规格说明标准</w:t>
      </w:r>
    </w:p>
    <w:p>
      <w:pPr>
        <w:pStyle w:val="3"/>
      </w:pPr>
      <w:bookmarkStart w:id="72" w:name="_Toc231569790"/>
      <w:r>
        <w:t>C. 缩略语表</w:t>
      </w:r>
      <w:bookmarkEnd w:id="72"/>
    </w:p>
    <w:p>
      <w:pPr>
        <w:spacing w:before="80"/>
        <w:ind w:firstLine="440"/>
      </w:pP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3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缩略语</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全称</w:t>
            </w:r>
          </w:p>
        </w:tc>
        <w:tc>
          <w:tcPr>
            <w:tcW w:w="3506"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pPr>
              <w:ind w:firstLine="402"/>
              <w:jc w:val="center"/>
            </w:pPr>
            <w:r>
              <w:rPr>
                <w:rFonts w:eastAsia="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FPA</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Function Point Analysis</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功能点分析法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UFP</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Unadjusted Function Points</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未调整功能点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AFP</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Adjusted Function Points</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调整后功能点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VAF</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Value Adjustment Factor</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值调整因子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TDI</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Total Degree of Influence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影响度总和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IFPUG</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International Function Point Users Group</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国际功能点用户组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NESMA</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Netherlands Software Metrics Association</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荷兰软件度量协会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COCOMO II</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Constructive Cost Model II</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构造性成本模型第二版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KSLOC</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Kilo Source Lines of Code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源代码千行数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NPV</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Net Present Value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净现值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IRR</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Internal Rate of Return</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内部收益率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ARPU</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Average Revenue Per User</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每用户平均收入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SaaS</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Software as a Service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软件即服务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WBS</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Work Breakdown Structure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工作分解结构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70" w:type="dxa"/>
              <w:left w:w="120" w:type="dxa"/>
              <w:bottom w:w="70" w:type="dxa"/>
              <w:right w:w="120" w:type="dxa"/>
            </w:tcMar>
            <w:vAlign w:val="center"/>
          </w:tcPr>
          <w:p>
            <w:pPr>
              <w:ind w:firstLine="402"/>
            </w:pPr>
            <w:r>
              <w:rPr>
                <w:rFonts w:eastAsia="Arial"/>
                <w:b/>
                <w:bCs/>
                <w:color w:val="1A1A1A"/>
                <w:sz w:val="20"/>
                <w:szCs w:val="20"/>
              </w:rPr>
              <w:t>YOLO</w:t>
            </w:r>
          </w:p>
        </w:tc>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You Only Look Once</w:t>
            </w:r>
          </w:p>
        </w:tc>
        <w:tc>
          <w:tcPr>
            <w:tcW w:w="3506" w:type="dxa"/>
            <w:tcBorders>
              <w:top w:val="single" w:color="BFBFBF" w:sz="0" w:space="0"/>
              <w:left w:val="single" w:color="BFBFBF" w:sz="0" w:space="0"/>
              <w:bottom w:val="single" w:color="BFBFBF" w:sz="0" w:space="0"/>
              <w:right w:val="single" w:color="BFBFBF" w:sz="0" w:space="0"/>
            </w:tcBorders>
            <w:shd w:val="clear" w:color="auto" w:fill="EBF3FB"/>
            <w:tcMar>
              <w:top w:w="70" w:type="dxa"/>
              <w:left w:w="120" w:type="dxa"/>
              <w:bottom w:w="70" w:type="dxa"/>
              <w:right w:w="120" w:type="dxa"/>
            </w:tcMar>
            <w:vAlign w:val="center"/>
          </w:tcPr>
          <w:p>
            <w:pPr>
              <w:ind w:firstLine="400"/>
            </w:pPr>
            <w:r>
              <w:rPr>
                <w:rFonts w:eastAsia="Arial"/>
                <w:color w:val="1A1A1A"/>
                <w:sz w:val="20"/>
                <w:szCs w:val="20"/>
              </w:rPr>
              <w:t>一种实时目标检测算法系列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2"/>
            </w:pPr>
            <w:r>
              <w:rPr>
                <w:rFonts w:eastAsia="Arial"/>
                <w:b/>
                <w:bCs/>
                <w:color w:val="1A1A1A"/>
                <w:sz w:val="20"/>
                <w:szCs w:val="20"/>
              </w:rPr>
              <w:t>OSS</w:t>
            </w:r>
          </w:p>
        </w:tc>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Object Storage Service</w:t>
            </w:r>
          </w:p>
        </w:tc>
        <w:tc>
          <w:tcPr>
            <w:tcW w:w="3506" w:type="dxa"/>
            <w:tcBorders>
              <w:top w:val="single" w:color="BFBFBF" w:sz="0" w:space="0"/>
              <w:left w:val="single" w:color="BFBFBF" w:sz="0" w:space="0"/>
              <w:bottom w:val="single" w:color="BFBFBF" w:sz="0" w:space="0"/>
              <w:right w:val="single" w:color="BFBFBF" w:sz="0" w:space="0"/>
            </w:tcBorders>
            <w:shd w:val="clear" w:color="auto" w:fill="FFFFFF"/>
            <w:tcMar>
              <w:top w:w="70" w:type="dxa"/>
              <w:left w:w="120" w:type="dxa"/>
              <w:bottom w:w="70" w:type="dxa"/>
              <w:right w:w="120" w:type="dxa"/>
            </w:tcMar>
            <w:vAlign w:val="center"/>
          </w:tcPr>
          <w:p>
            <w:pPr>
              <w:ind w:firstLine="400"/>
            </w:pPr>
            <w:r>
              <w:rPr>
                <w:rFonts w:eastAsia="Arial"/>
                <w:color w:val="1A1A1A"/>
                <w:sz w:val="20"/>
                <w:szCs w:val="20"/>
              </w:rPr>
              <w:t>对象存储服务</w:t>
            </w:r>
          </w:p>
        </w:tc>
      </w:tr>
    </w:tbl>
    <w:p>
      <w:pPr>
        <w:pBdr>
          <w:top w:val="single" w:color="2E75B6" w:sz="6" w:space="8"/>
        </w:pBdr>
        <w:spacing w:before="400" w:after="200"/>
        <w:ind w:firstLine="440"/>
      </w:pPr>
    </w:p>
    <w:sectPr>
      <w:headerReference r:id="rId5" w:type="default"/>
      <w:footerReference r:id="rId6" w:type="default"/>
      <w:pgSz w:w="11906" w:h="16838"/>
      <w:pgMar w:top="1800" w:right="1800" w:bottom="180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40"/>
      </w:pPr>
      <w:r>
        <w:separator/>
      </w:r>
    </w:p>
  </w:endnote>
  <w:endnote w:type="continuationSeparator" w:id="1">
    <w:p>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6" w:space="4"/>
      </w:pBdr>
      <w:tabs>
        <w:tab w:val="right" w:pos="8306"/>
      </w:tabs>
      <w:ind w:firstLine="360"/>
    </w:pPr>
    <w:r>
      <w:rPr>
        <w:rFonts w:eastAsia="Arial"/>
        <w:color w:val="595959"/>
        <w:sz w:val="18"/>
        <w:szCs w:val="18"/>
      </w:rPr>
      <w:t>同济大学软件工程专业开发团队 | 2026年6月</w:t>
    </w:r>
    <w:r>
      <w:rPr>
        <w:rFonts w:eastAsia="Arial"/>
        <w:color w:val="595959"/>
        <w:sz w:val="18"/>
        <w:szCs w:val="18"/>
      </w:rPr>
      <w:tab/>
    </w:r>
    <w:r>
      <w:rPr>
        <w:rFonts w:eastAsia="Arial"/>
        <w:color w:val="595959"/>
        <w:sz w:val="18"/>
        <w:szCs w:val="18"/>
      </w:rPr>
      <w:t xml:space="preserve">第 </w:t>
    </w:r>
    <w:r>
      <w:rPr>
        <w:color w:val="595959"/>
        <w:sz w:val="18"/>
        <w:szCs w:val="18"/>
      </w:rPr>
      <w:fldChar w:fldCharType="begin"/>
    </w:r>
    <w:r>
      <w:rPr>
        <w:rFonts w:eastAsia="Arial"/>
        <w:color w:val="595959"/>
        <w:sz w:val="18"/>
        <w:szCs w:val="18"/>
      </w:rPr>
      <w:instrText xml:space="preserve">PAGE</w:instrText>
    </w:r>
    <w:r>
      <w:rPr>
        <w:color w:val="595959"/>
        <w:sz w:val="18"/>
        <w:szCs w:val="18"/>
      </w:rPr>
      <w:fldChar w:fldCharType="separate"/>
    </w:r>
    <w:r>
      <w:rPr>
        <w:rFonts w:eastAsia="Arial"/>
        <w:color w:val="595959"/>
        <w:sz w:val="18"/>
        <w:szCs w:val="18"/>
      </w:rPr>
      <w:t>1</w:t>
    </w:r>
    <w:r>
      <w:rPr>
        <w:color w:val="595959"/>
        <w:sz w:val="18"/>
        <w:szCs w:val="18"/>
      </w:rPr>
      <w:fldChar w:fldCharType="end"/>
    </w:r>
    <w:r>
      <w:rPr>
        <w:rFonts w:eastAsia="Arial"/>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40"/>
      </w:pPr>
      <w:r>
        <w:separator/>
      </w:r>
    </w:p>
  </w:footnote>
  <w:footnote w:type="continuationSeparator" w:id="1">
    <w:p>
      <w:pPr>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6" w:space="4"/>
      </w:pBdr>
      <w:tabs>
        <w:tab w:val="right" w:pos="8306"/>
      </w:tabs>
      <w:ind w:firstLine="360"/>
    </w:pPr>
    <w:r>
      <w:rPr>
        <w:rFonts w:eastAsia="Arial"/>
        <w:color w:val="2E75B6"/>
        <w:sz w:val="18"/>
        <w:szCs w:val="18"/>
      </w:rPr>
      <w:t>石材幕墙污渍检测系统</w:t>
    </w:r>
    <w:r>
      <w:rPr>
        <w:rFonts w:eastAsia="Arial"/>
        <w:color w:val="595959"/>
        <w:sz w:val="18"/>
        <w:szCs w:val="18"/>
      </w:rPr>
      <w:tab/>
    </w:r>
    <w:r>
      <w:rPr>
        <w:rFonts w:eastAsia="Arial"/>
        <w:color w:val="595959"/>
        <w:sz w:val="18"/>
        <w:szCs w:val="18"/>
      </w:rPr>
      <w:t>项目管理与经济分析报告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2010F"/>
    <w:multiLevelType w:val="multilevel"/>
    <w:tmpl w:val="1C7201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EA67569"/>
    <w:multiLevelType w:val="multilevel"/>
    <w:tmpl w:val="4EA67569"/>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375"/>
    <w:rsid w:val="00383BAB"/>
    <w:rsid w:val="004678E2"/>
    <w:rsid w:val="00545375"/>
    <w:rsid w:val="005E7931"/>
    <w:rsid w:val="00645980"/>
    <w:rsid w:val="00653007"/>
    <w:rsid w:val="006B0A75"/>
    <w:rsid w:val="006E3E15"/>
    <w:rsid w:val="00790FF6"/>
    <w:rsid w:val="00943047"/>
    <w:rsid w:val="00BA476B"/>
    <w:rsid w:val="00CC3075"/>
    <w:rsid w:val="00DB4BCA"/>
    <w:rsid w:val="00DE1414"/>
    <w:rsid w:val="00F158F3"/>
    <w:rsid w:val="00FC6339"/>
    <w:rsid w:val="77F45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pPr>
    <w:rPr>
      <w:rFonts w:ascii="Arial" w:hAnsi="Arial" w:cs="Arial" w:eastAsiaTheme="minorEastAsia"/>
      <w:sz w:val="22"/>
      <w:szCs w:val="22"/>
      <w:lang w:val="en-US" w:eastAsia="zh-CN" w:bidi="ar-SA"/>
    </w:rPr>
  </w:style>
  <w:style w:type="paragraph" w:styleId="2">
    <w:name w:val="heading 1"/>
    <w:next w:val="1"/>
    <w:qFormat/>
    <w:uiPriority w:val="9"/>
    <w:pPr>
      <w:spacing w:before="360" w:after="120"/>
      <w:outlineLvl w:val="0"/>
    </w:pPr>
    <w:rPr>
      <w:rFonts w:ascii="Arial" w:hAnsi="Arial" w:eastAsia="Arial" w:cs="Arial"/>
      <w:b/>
      <w:bCs/>
      <w:color w:val="1F4E79"/>
      <w:sz w:val="36"/>
      <w:szCs w:val="36"/>
      <w:lang w:val="en-US" w:eastAsia="zh-CN" w:bidi="ar-SA"/>
    </w:rPr>
  </w:style>
  <w:style w:type="paragraph" w:styleId="3">
    <w:name w:val="heading 2"/>
    <w:next w:val="1"/>
    <w:unhideWhenUsed/>
    <w:qFormat/>
    <w:uiPriority w:val="9"/>
    <w:pPr>
      <w:spacing w:before="280" w:after="80"/>
      <w:outlineLvl w:val="1"/>
    </w:pPr>
    <w:rPr>
      <w:rFonts w:ascii="Arial" w:hAnsi="Arial" w:eastAsia="Arial" w:cs="Arial"/>
      <w:b/>
      <w:bCs/>
      <w:color w:val="2E75B6"/>
      <w:sz w:val="28"/>
      <w:szCs w:val="28"/>
      <w:lang w:val="en-US" w:eastAsia="zh-CN" w:bidi="ar-SA"/>
    </w:rPr>
  </w:style>
  <w:style w:type="paragraph" w:styleId="4">
    <w:name w:val="heading 3"/>
    <w:next w:val="1"/>
    <w:unhideWhenUsed/>
    <w:qFormat/>
    <w:uiPriority w:val="9"/>
    <w:pPr>
      <w:spacing w:before="200" w:after="60"/>
      <w:outlineLvl w:val="2"/>
    </w:pPr>
    <w:rPr>
      <w:rFonts w:ascii="Arial" w:hAnsi="Arial" w:eastAsia="Arial" w:cs="Arial"/>
      <w:b/>
      <w:bCs/>
      <w:color w:val="1F4E79"/>
      <w:sz w:val="24"/>
      <w:szCs w:val="24"/>
      <w:lang w:val="en-US" w:eastAsia="zh-CN" w:bidi="ar-SA"/>
    </w:rPr>
  </w:style>
  <w:style w:type="paragraph" w:styleId="5">
    <w:name w:val="heading 4"/>
    <w:next w:val="1"/>
    <w:semiHidden/>
    <w:unhideWhenUsed/>
    <w:qFormat/>
    <w:uiPriority w:val="9"/>
    <w:pPr>
      <w:outlineLvl w:val="3"/>
    </w:pPr>
    <w:rPr>
      <w:rFonts w:ascii="Arial" w:hAnsi="Arial" w:cs="Arial" w:eastAsiaTheme="minorEastAsia"/>
      <w:i/>
      <w:iCs/>
      <w:color w:val="2E74B5"/>
      <w:sz w:val="22"/>
      <w:szCs w:val="22"/>
      <w:lang w:val="en-US" w:eastAsia="zh-CN" w:bidi="ar-SA"/>
    </w:rPr>
  </w:style>
  <w:style w:type="paragraph" w:styleId="6">
    <w:name w:val="heading 5"/>
    <w:next w:val="1"/>
    <w:semiHidden/>
    <w:unhideWhenUsed/>
    <w:qFormat/>
    <w:uiPriority w:val="9"/>
    <w:pPr>
      <w:outlineLvl w:val="4"/>
    </w:pPr>
    <w:rPr>
      <w:rFonts w:ascii="Arial" w:hAnsi="Arial" w:cs="Arial" w:eastAsiaTheme="minorEastAsia"/>
      <w:color w:val="2E74B5"/>
      <w:sz w:val="22"/>
      <w:szCs w:val="22"/>
      <w:lang w:val="en-US" w:eastAsia="zh-CN" w:bidi="ar-SA"/>
    </w:rPr>
  </w:style>
  <w:style w:type="paragraph" w:styleId="7">
    <w:name w:val="heading 6"/>
    <w:next w:val="1"/>
    <w:semiHidden/>
    <w:unhideWhenUsed/>
    <w:qFormat/>
    <w:uiPriority w:val="9"/>
    <w:pPr>
      <w:outlineLvl w:val="5"/>
    </w:pPr>
    <w:rPr>
      <w:rFonts w:ascii="Arial" w:hAnsi="Arial" w:cs="Arial" w:eastAsiaTheme="minorEastAsia"/>
      <w:color w:val="1F4D78"/>
      <w:sz w:val="22"/>
      <w:szCs w:val="22"/>
      <w:lang w:val="en-US" w:eastAsia="zh-CN" w:bidi="ar-SA"/>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toc 3"/>
    <w:basedOn w:val="1"/>
    <w:next w:val="1"/>
    <w:unhideWhenUsed/>
    <w:qFormat/>
    <w:uiPriority w:val="39"/>
    <w:pPr>
      <w:ind w:left="840" w:leftChars="400"/>
    </w:pPr>
  </w:style>
  <w:style w:type="paragraph" w:styleId="9">
    <w:name w:val="endnote text"/>
    <w:link w:val="22"/>
    <w:semiHidden/>
    <w:unhideWhenUsed/>
    <w:uiPriority w:val="99"/>
    <w:rPr>
      <w:rFonts w:ascii="Arial" w:hAnsi="Arial" w:cs="Arial" w:eastAsiaTheme="minorEastAsia"/>
      <w:sz w:val="20"/>
      <w:szCs w:val="20"/>
      <w:lang w:val="en-US" w:eastAsia="zh-CN" w:bidi="ar-SA"/>
    </w:rPr>
  </w:style>
  <w:style w:type="paragraph" w:styleId="10">
    <w:name w:val="toc 1"/>
    <w:basedOn w:val="1"/>
    <w:next w:val="1"/>
    <w:unhideWhenUsed/>
    <w:qFormat/>
    <w:uiPriority w:val="39"/>
  </w:style>
  <w:style w:type="paragraph" w:styleId="11">
    <w:name w:val="footnote text"/>
    <w:link w:val="21"/>
    <w:semiHidden/>
    <w:unhideWhenUsed/>
    <w:qFormat/>
    <w:uiPriority w:val="99"/>
    <w:rPr>
      <w:rFonts w:ascii="Arial" w:hAnsi="Arial" w:cs="Arial" w:eastAsiaTheme="minorEastAsia"/>
      <w:sz w:val="20"/>
      <w:szCs w:val="20"/>
      <w:lang w:val="en-US" w:eastAsia="zh-CN" w:bidi="ar-SA"/>
    </w:rPr>
  </w:style>
  <w:style w:type="paragraph" w:styleId="12">
    <w:name w:val="toc 2"/>
    <w:basedOn w:val="1"/>
    <w:next w:val="1"/>
    <w:unhideWhenUsed/>
    <w:uiPriority w:val="39"/>
    <w:pPr>
      <w:ind w:left="420" w:leftChars="200"/>
    </w:pPr>
  </w:style>
  <w:style w:type="paragraph" w:styleId="13">
    <w:name w:val="Title"/>
    <w:qFormat/>
    <w:uiPriority w:val="10"/>
    <w:rPr>
      <w:rFonts w:ascii="Arial" w:hAnsi="Arial" w:cs="Arial" w:eastAsiaTheme="minorEastAsia"/>
      <w:sz w:val="56"/>
      <w:szCs w:val="56"/>
      <w:lang w:val="en-US" w:eastAsia="zh-CN" w:bidi="ar-SA"/>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customStyle="1" w:styleId="19">
    <w:name w:val="要点1"/>
    <w:qFormat/>
    <w:uiPriority w:val="0"/>
    <w:rPr>
      <w:rFonts w:ascii="Arial" w:hAnsi="Arial" w:cs="Arial" w:eastAsiaTheme="minorEastAsia"/>
      <w:b/>
      <w:bCs/>
      <w:sz w:val="22"/>
      <w:szCs w:val="22"/>
      <w:lang w:val="en-US" w:eastAsia="zh-CN" w:bidi="ar-SA"/>
    </w:rPr>
  </w:style>
  <w:style w:type="paragraph" w:styleId="20">
    <w:name w:val="List Paragraph"/>
    <w:qFormat/>
    <w:uiPriority w:val="0"/>
    <w:rPr>
      <w:rFonts w:ascii="Arial" w:hAnsi="Arial" w:cs="Arial" w:eastAsiaTheme="minorEastAsia"/>
      <w:sz w:val="22"/>
      <w:szCs w:val="22"/>
      <w:lang w:val="en-US" w:eastAsia="zh-CN" w:bidi="ar-SA"/>
    </w:rPr>
  </w:style>
  <w:style w:type="character" w:customStyle="1" w:styleId="21">
    <w:name w:val="脚注文本 字符"/>
    <w:link w:val="11"/>
    <w:semiHidden/>
    <w:unhideWhenUsed/>
    <w:uiPriority w:val="99"/>
    <w:rPr>
      <w:sz w:val="20"/>
      <w:szCs w:val="20"/>
    </w:rPr>
  </w:style>
  <w:style w:type="character" w:customStyle="1" w:styleId="22">
    <w:name w:val="尾注文本 字符"/>
    <w:link w:val="9"/>
    <w:semiHidden/>
    <w:unhideWhenUsed/>
    <w:uiPriority w:val="99"/>
    <w:rPr>
      <w:sz w:val="20"/>
      <w:szCs w:val="20"/>
    </w:rPr>
  </w:style>
  <w:style w:type="paragraph" w:customStyle="1" w:styleId="23">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10830</Words>
  <Characters>13937</Characters>
  <Lines>1135</Lines>
  <Paragraphs>1344</Paragraphs>
  <TotalTime>50</TotalTime>
  <ScaleCrop>false</ScaleCrop>
  <LinksUpToDate>false</LinksUpToDate>
  <CharactersWithSpaces>14853</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2026-06-05T07:51:00Z</dcterms:created>
  <dc:creator>Un-named</dc:creator>
  <cp:lastModifiedBy>ygc666</cp:lastModifiedBy>
  <dcterms:modified xsi:type="dcterms:W3CDTF">2026-06-13T16:13:20Z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D3E06EDCF6FF4D52BBEB06666AD80A3A</vt:lpwstr>
  </property>
</Properties>
</file>