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06167">
      <w:pPr>
        <w:spacing w:before="0" w:after="140" w:line="400" w:lineRule="auto"/>
        <w:ind w:firstLine="480"/>
        <w:jc w:val="both"/>
        <w:rPr>
          <w:rFonts w:hint="default" w:ascii="Times New Roman" w:hAnsi="Times New Roman" w:eastAsia="仿宋" w:cs="Times New Roman"/>
          <w:color w:val="000000"/>
          <w:kern w:val="0"/>
          <w:sz w:val="24"/>
          <w:lang w:val="en-US" w:eastAsia="zh-CN"/>
        </w:rPr>
      </w:pPr>
      <w:bookmarkStart w:id="0" w:name="_GoBack"/>
      <w:bookmarkEnd w:id="0"/>
      <w:r>
        <w:rPr>
          <w:rFonts w:ascii="Times New Roman" w:hAnsi="Times New Roman" w:eastAsia="仿宋" w:cs="Times New Roman"/>
          <w:color w:val="000000"/>
          <w:kern w:val="0"/>
          <w:sz w:val="24"/>
          <w:lang/>
        </w:rPr>
        <w:t>基层调解中</w:t>
      </w:r>
      <w:r>
        <w:rPr>
          <w:rFonts w:hint="eastAsia" w:ascii="Times New Roman" w:hAnsi="Times New Roman" w:eastAsia="仿宋" w:cs="Times New Roman"/>
          <w:color w:val="000000"/>
          <w:kern w:val="0"/>
          <w:sz w:val="24"/>
          <w:lang w:val="en-US" w:eastAsia="zh-CN"/>
        </w:rPr>
        <w:t>存在以下的痛点</w:t>
      </w:r>
      <w:r>
        <w:rPr>
          <w:rFonts w:hint="eastAsia" w:ascii="Times New Roman" w:hAnsi="Times New Roman" w:eastAsia="仿宋" w:cs="Times New Roman"/>
          <w:color w:val="000000"/>
          <w:kern w:val="0"/>
          <w:sz w:val="24"/>
          <w:lang w:eastAsia="zh-CN"/>
        </w:rPr>
        <w:t>：</w:t>
      </w:r>
      <w:r>
        <w:rPr>
          <w:rFonts w:ascii="Times New Roman" w:hAnsi="Times New Roman" w:eastAsia="仿宋" w:cs="Times New Roman"/>
          <w:color w:val="000000"/>
          <w:kern w:val="0"/>
          <w:sz w:val="24"/>
          <w:lang/>
        </w:rPr>
        <w:t>甲乙双方诉求表述散乱、争议焦点难以并列对照，调解员又缺乏即时可查的法律条文与裁判文书支撑，往往只能凭经验估算金额、提出方案，专业性与说服力不足。</w:t>
      </w:r>
      <w:r>
        <w:rPr>
          <w:rFonts w:hint="eastAsia" w:ascii="Times New Roman" w:hAnsi="Times New Roman" w:eastAsia="仿宋" w:cs="Times New Roman"/>
          <w:color w:val="000000"/>
          <w:kern w:val="0"/>
          <w:sz w:val="24"/>
          <w:lang w:val="en-US" w:eastAsia="zh-CN"/>
        </w:rPr>
        <w:t>基于该场景，提出AI智能调解场景需求，作为镇街特色AI场景应用，验证可行性后可多镇街、村社推广。</w:t>
      </w:r>
    </w:p>
    <w:p w14:paraId="42092975">
      <w:pPr>
        <w:numPr>
          <w:ilvl w:val="0"/>
          <w:numId w:val="1"/>
        </w:numPr>
        <w:spacing w:before="60" w:after="100" w:line="380" w:lineRule="auto"/>
        <w:ind w:left="720" w:leftChars="0" w:hanging="360" w:firstLineChars="0"/>
        <w:jc w:val="both"/>
        <w:rPr>
          <w:rFonts w:ascii="Times New Roman" w:hAnsi="Times New Roman" w:eastAsia="仿宋" w:cs="Times New Roman"/>
          <w:color w:val="000000"/>
          <w:sz w:val="24"/>
          <w:szCs w:val="24"/>
        </w:rPr>
      </w:pPr>
      <w:r>
        <w:rPr>
          <w:rFonts w:ascii="Times New Roman" w:hAnsi="Times New Roman" w:eastAsia="仿宋" w:cs="Times New Roman"/>
          <w:b w:val="0"/>
          <w:bCs w:val="0"/>
          <w:color w:val="000000"/>
          <w:sz w:val="24"/>
          <w:szCs w:val="24"/>
        </w:rPr>
        <w:t>界面采用左右分栏，按轮次记录甲方、乙方诉求，操作直观，便于区分各方陈述。服务对象包括当事人和基层工作人员，界面应符合</w:t>
      </w:r>
      <w:r>
        <w:rPr>
          <w:rFonts w:hint="eastAsia" w:ascii="Times New Roman" w:hAnsi="Times New Roman" w:eastAsia="仿宋" w:cs="Times New Roman"/>
          <w:b w:val="0"/>
          <w:bCs w:val="0"/>
          <w:color w:val="000000"/>
          <w:sz w:val="24"/>
          <w:szCs w:val="24"/>
          <w:lang w:val="en-US" w:eastAsia="zh-CN"/>
        </w:rPr>
        <w:t>大众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24"/>
          <w:szCs w:val="24"/>
        </w:rPr>
        <w:t>阅读习惯。</w:t>
      </w:r>
    </w:p>
    <w:p w14:paraId="1E9E44DB">
      <w:pPr>
        <w:numPr>
          <w:ilvl w:val="0"/>
          <w:numId w:val="1"/>
        </w:numPr>
        <w:spacing w:before="60" w:after="100" w:line="380" w:lineRule="auto"/>
        <w:ind w:left="720" w:leftChars="0" w:hanging="360" w:firstLineChars="0"/>
        <w:jc w:val="both"/>
        <w:rPr>
          <w:rFonts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000000"/>
          <w:sz w:val="24"/>
          <w:szCs w:val="24"/>
          <w:lang w:val="en-US" w:eastAsia="zh-CN"/>
        </w:rPr>
        <w:t>数据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24"/>
          <w:szCs w:val="24"/>
        </w:rPr>
        <w:t>来源包括持续更新的法律条文和公开裁判文书</w:t>
      </w:r>
      <w:r>
        <w:rPr>
          <w:rFonts w:hint="eastAsia" w:ascii="Times New Roman" w:hAnsi="Times New Roman" w:eastAsia="仿宋" w:cs="Times New Roman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仿宋" w:cs="Times New Roman"/>
          <w:b w:val="0"/>
          <w:bCs w:val="0"/>
          <w:color w:val="000000"/>
          <w:sz w:val="24"/>
          <w:szCs w:val="24"/>
          <w:lang w:val="en-US" w:eastAsia="zh-CN"/>
        </w:rPr>
        <w:t>建议接入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24"/>
          <w:szCs w:val="24"/>
        </w:rPr>
        <w:t>诉前调解案例</w:t>
      </w:r>
      <w:r>
        <w:rPr>
          <w:rFonts w:hint="eastAsia" w:ascii="Times New Roman" w:hAnsi="Times New Roman" w:eastAsia="仿宋" w:cs="Times New Roman"/>
          <w:b w:val="0"/>
          <w:bCs w:val="0"/>
          <w:color w:val="000000"/>
          <w:sz w:val="24"/>
          <w:szCs w:val="24"/>
          <w:lang w:val="en-US" w:eastAsia="zh-CN"/>
        </w:rPr>
        <w:t>数据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24"/>
          <w:szCs w:val="24"/>
        </w:rPr>
        <w:t>。系统输出附带法条的调解建议及同类案例处置区间，供调解员参考。双方主张差距较大时，可依据判例区间缩小差距，降低调解员反复协调的难度。</w:t>
      </w:r>
    </w:p>
    <w:p w14:paraId="4F49BB7D">
      <w:pPr>
        <w:numPr>
          <w:ilvl w:val="0"/>
          <w:numId w:val="1"/>
        </w:numPr>
        <w:spacing w:before="60" w:after="100" w:line="380" w:lineRule="auto"/>
        <w:ind w:left="720" w:leftChars="0" w:hanging="360" w:firstLineChars="0"/>
        <w:jc w:val="both"/>
        <w:rPr>
          <w:rFonts w:ascii="Times New Roman" w:hAnsi="Times New Roman" w:eastAsia="仿宋" w:cs="Times New Roman"/>
          <w:color w:val="000000"/>
          <w:sz w:val="24"/>
          <w:szCs w:val="24"/>
        </w:rPr>
      </w:pPr>
      <w:r>
        <w:rPr>
          <w:rFonts w:ascii="Times New Roman" w:hAnsi="Times New Roman" w:eastAsia="仿宋" w:cs="Times New Roman"/>
          <w:b w:val="0"/>
          <w:bCs w:val="0"/>
          <w:color w:val="000000"/>
          <w:sz w:val="24"/>
          <w:szCs w:val="24"/>
        </w:rPr>
        <w:t>人工智能定位为辅助工具。</w:t>
      </w:r>
      <w:r>
        <w:rPr>
          <w:rFonts w:hint="eastAsia" w:ascii="Times New Roman" w:hAnsi="Times New Roman" w:eastAsia="仿宋" w:cs="Times New Roman"/>
          <w:b w:val="0"/>
          <w:bCs w:val="0"/>
          <w:color w:val="000000"/>
          <w:sz w:val="24"/>
          <w:szCs w:val="24"/>
          <w:lang w:val="en-US" w:eastAsia="zh-CN"/>
        </w:rPr>
        <w:t>涉及到调解金额估算的事项，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24"/>
          <w:szCs w:val="24"/>
        </w:rPr>
        <w:t>直接向当事人展示系统结论存在风险，应防止出现不合理的赔偿数额。</w:t>
      </w:r>
      <w:r>
        <w:rPr>
          <w:rFonts w:hint="eastAsia" w:ascii="Times New Roman" w:hAnsi="Times New Roman" w:eastAsia="仿宋" w:cs="Times New Roman"/>
          <w:b w:val="0"/>
          <w:bCs w:val="0"/>
          <w:color w:val="000000"/>
          <w:sz w:val="24"/>
          <w:szCs w:val="24"/>
          <w:lang w:val="en-US" w:eastAsia="zh-CN"/>
        </w:rPr>
        <w:t>此类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24"/>
          <w:szCs w:val="24"/>
        </w:rPr>
        <w:t>调解建议须先提交后台，经管理员审核后，方可投放大屏。</w:t>
      </w:r>
    </w:p>
    <w:p w14:paraId="755A7C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仿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F5718"/>
    <w:multiLevelType w:val="singleLevel"/>
    <w:tmpl w:val="F7FF571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9FA6AD"/>
    <w:rsid w:val="BE9FA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2026-09-30T10:13:00Z</dcterms:created>
  <dc:creator>________________________________</dc:creator>
  <cp:lastModifiedBy>________________________________</cp:lastModifiedBy>
  <dcterms:modified xsi:type="dcterms:W3CDTF">2026-09-30T10:14:22Z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ECAC65B9BACC02B35070BC6AACCB918A_41</vt:lpwstr>
  </property>
</Properties>
</file>