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论文题名"/>
      </w:pPr>
      <w:r>
        <w:t>基于模拟数据的社区高血压随访提醒效果评估</w:t>
      </w:r>
    </w:p>
    <w:p>
      <w:pPr>
        <w:pStyle w:val="作者信息"/>
      </w:pPr>
      <w:r>
        <w:t>格式演示稿</w:t>
      </w:r>
    </w:p>
    <w:p>
      <w:pPr>
        <w:pStyle w:val="演示说明"/>
      </w:pPr>
      <w:r>
        <w:t>作者、样本与结果均为虚构内容，仅展示论文排版；不构成临床证据或医疗建议。</w:t>
      </w:r>
    </w:p>
    <w:p>
      <w:pPr>
        <w:pStyle w:val="摘要标题"/>
      </w:pPr>
      <w:r>
        <w:t>摘要</w:t>
      </w:r>
    </w:p>
    <w:p>
      <w:pPr>
        <w:pStyle w:val="摘要正文"/>
      </w:pPr>
      <w:r>
        <w:t>目的：展示医学论文摘要的结构化表达与 Word 样式设置。方法：构造 120 例虚拟样本，比较短信提醒组与常规管理组在 8 周随访中的完成情况。结果：模拟数据中，两组分别有 49/60 例（81.7%）和 37/60 例（61.7%）完成随访。结论：该样稿用于演示摘要、分级标题、表格和图表交叉引用的排版方式；结果完全虚构，不能推断真实干预效果。</w:t>
      </w:r>
    </w:p>
    <w:p>
      <w:pPr>
        <w:pStyle w:val="关键词"/>
      </w:pPr>
      <w:r>
        <w:t>关键词：高血压；随访管理；短信提醒；格式演示</w:t>
      </w:r>
    </w:p>
    <w:p>
      <w:pPr>
        <w:pStyle w:val="一级标题"/>
      </w:pPr>
      <w:r>
        <w:t>1 引言</w:t>
      </w:r>
    </w:p>
    <w:p>
      <w:pPr>
        <w:pStyle w:val="论文正文"/>
      </w:pPr>
      <w:r>
        <w:t>高血压需要长期管理，规范随访有助于监测治疗过程。世界卫生组织成人高血压药物治疗指南对治疗启动、血压目标及随访间隔提出了建议</w:t>
      </w:r>
      <w:r>
        <w:rPr>
          <w:vertAlign w:val="superscript"/>
        </w:rPr>
        <w:t>[1]</w:t>
      </w:r>
      <w:r>
        <w:t>。本示例仅用虚构数据演示如何在正文中引用文献及关联图表，不评价真实患者的治疗或随访策略。</w:t>
      </w:r>
    </w:p>
    <w:p>
      <w:pPr>
        <w:pStyle w:val="一级标题"/>
      </w:pPr>
      <w:r>
        <w:t>2 方法</w:t>
      </w:r>
    </w:p>
    <w:p>
      <w:pPr>
        <w:pStyle w:val="二级标题"/>
      </w:pPr>
      <w:r>
        <w:t>2.1 研究设计</w:t>
      </w:r>
    </w:p>
    <w:p>
      <w:pPr>
        <w:pStyle w:val="论文正文"/>
      </w:pPr>
      <w:r>
        <w:t>本演示构造 120 例虚拟记录，按 1∶1 分为短信提醒组和常规管理组，每组 60 例。观察期设为 8 周，主要展示指标为期间是否完成随访。所有样本与数字均为排版演示而生成，不来自患者或真实数据库。</w:t>
      </w:r>
    </w:p>
    <w:p>
      <w:pPr>
        <w:pStyle w:val="二级标题"/>
      </w:pPr>
      <w:r>
        <w:t>2.2 演示数据</w:t>
      </w:r>
    </w:p>
    <w:p>
      <w:pPr>
        <w:pStyle w:val="论文正文"/>
      </w:pPr>
      <w:r>
        <w:t>基线变量和随访完成情况列于表 1。正文的表号由 Word 交叉引用域生成，更新题注后可随之更新。</w:t>
      </w:r>
    </w:p>
    <w:p>
      <w:pPr>
        <w:pStyle w:val="表题"/>
      </w:pPr>
      <w:r>
        <w:rPr>
          <w:rFonts w:ascii="Times New Roman" w:hAnsi="Times New Roman" w:eastAsia="宋体"/>
          <w:sz w:val="19"/>
        </w:rPr>
        <w:t>表</w:t>
      </w:r>
      <w:bookmarkStart w:id="1" w:name="tbl_demo_1"/>
      <w:fldSimple w:instr=" SEQ Table \* ARABIC ">
        <w:r>
          <w:t>1</w:t>
        </w:r>
      </w:fldSimple>
      <w:bookmarkEnd w:id="1"/>
      <w:r>
        <w:rPr>
          <w:rFonts w:ascii="Times New Roman" w:hAnsi="Times New Roman" w:eastAsia="宋体"/>
          <w:sz w:val="19"/>
        </w:rPr>
        <w:t xml:space="preserve"> 模拟样本特征与随访完成情况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type="dxa" w:w="2268"/>
            <w:vAlign w:val="center"/>
            <w:shd w:fill="E9EFF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2" w:color="333333"/>
              <w:left w:val="nil"/>
              <w:bottom w:val="single" w:sz="10" w:color="333333"/>
              <w:right w:val="nil"/>
              <w:insideH w:val="nil"/>
              <w:insideV w:val="nil"/>
            </w:tcBorders>
          </w:tcPr>
          <w:p>
            <w:pPr>
              <w:pStyle w:val="表格表头"/>
            </w:pPr>
            <w:r/>
            <w:r>
              <w:t>指标</w:t>
            </w:r>
          </w:p>
        </w:tc>
        <w:tc>
          <w:tcPr>
            <w:tcW w:type="dxa" w:w="1928"/>
            <w:vAlign w:val="center"/>
            <w:shd w:fill="E9EFF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2" w:color="333333"/>
              <w:left w:val="nil"/>
              <w:bottom w:val="single" w:sz="10" w:color="333333"/>
              <w:right w:val="nil"/>
              <w:insideH w:val="nil"/>
              <w:insideV w:val="nil"/>
            </w:tcBorders>
          </w:tcPr>
          <w:p>
            <w:pPr>
              <w:pStyle w:val="表格表头"/>
            </w:pPr>
            <w:r/>
            <w:r>
              <w:t>短信提醒组（n=60）</w:t>
            </w:r>
          </w:p>
        </w:tc>
        <w:tc>
          <w:tcPr>
            <w:tcW w:type="dxa" w:w="1928"/>
            <w:vAlign w:val="center"/>
            <w:shd w:fill="E9EFF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2" w:color="333333"/>
              <w:left w:val="nil"/>
              <w:bottom w:val="single" w:sz="10" w:color="333333"/>
              <w:right w:val="nil"/>
              <w:insideH w:val="nil"/>
              <w:insideV w:val="nil"/>
            </w:tcBorders>
          </w:tcPr>
          <w:p>
            <w:pPr>
              <w:pStyle w:val="表格表头"/>
            </w:pPr>
            <w:r/>
            <w:r>
              <w:t>常规管理组（n=60）</w:t>
            </w:r>
          </w:p>
        </w:tc>
        <w:tc>
          <w:tcPr>
            <w:tcW w:type="dxa" w:w="2268"/>
            <w:vAlign w:val="center"/>
            <w:shd w:fill="E9EFF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2" w:color="333333"/>
              <w:left w:val="nil"/>
              <w:bottom w:val="single" w:sz="10" w:color="333333"/>
              <w:right w:val="nil"/>
              <w:insideH w:val="nil"/>
              <w:insideV w:val="nil"/>
            </w:tcBorders>
          </w:tcPr>
          <w:p>
            <w:pPr>
              <w:pStyle w:val="表格表头"/>
            </w:pPr>
            <w:r/>
            <w: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0" w:color="333333"/>
              <w:left w:val="nil"/>
              <w:bottom w:val="single" w:sz="0" w:color="333333"/>
              <w:right w:val="nil"/>
              <w:insideH w:val="nil"/>
              <w:insideV w:val="nil"/>
            </w:tcBorders>
          </w:tcPr>
          <w:p>
            <w:pPr>
              <w:pStyle w:val="表格正文"/>
            </w:pPr>
            <w:r/>
            <w:r>
              <w:t>年龄（岁），均值±标准差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0" w:color="333333"/>
              <w:left w:val="nil"/>
              <w:bottom w:val="single" w:sz="0" w:color="333333"/>
              <w:right w:val="nil"/>
              <w:insideH w:val="nil"/>
              <w:insideV w:val="nil"/>
            </w:tcBorders>
          </w:tcPr>
          <w:p>
            <w:pPr>
              <w:pStyle w:val="表格正文"/>
            </w:pPr>
            <w:r/>
            <w:r>
              <w:t>54.2±8.6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0" w:color="333333"/>
              <w:left w:val="nil"/>
              <w:bottom w:val="single" w:sz="0" w:color="333333"/>
              <w:right w:val="nil"/>
              <w:insideH w:val="nil"/>
              <w:insideV w:val="nil"/>
            </w:tcBorders>
          </w:tcPr>
          <w:p>
            <w:pPr>
              <w:pStyle w:val="表格正文"/>
            </w:pPr>
            <w:r/>
            <w:r>
              <w:t>53.8±9.0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0" w:color="333333"/>
              <w:left w:val="nil"/>
              <w:bottom w:val="single" w:sz="0" w:color="333333"/>
              <w:right w:val="nil"/>
              <w:insideH w:val="nil"/>
              <w:insideV w:val="nil"/>
            </w:tcBorders>
          </w:tcPr>
          <w:p>
            <w:pPr>
              <w:pStyle w:val="表格正文"/>
            </w:pPr>
            <w:r/>
            <w:r>
              <w:t>虚构基线数据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0" w:color="333333"/>
              <w:left w:val="nil"/>
              <w:bottom w:val="single" w:sz="0" w:color="333333"/>
              <w:right w:val="nil"/>
              <w:insideH w:val="nil"/>
              <w:insideV w:val="nil"/>
            </w:tcBorders>
          </w:tcPr>
          <w:p>
            <w:pPr>
              <w:pStyle w:val="表格正文"/>
            </w:pPr>
            <w:r/>
            <w:r>
              <w:t>女性，例（%）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0" w:color="333333"/>
              <w:left w:val="nil"/>
              <w:bottom w:val="single" w:sz="0" w:color="333333"/>
              <w:right w:val="nil"/>
              <w:insideH w:val="nil"/>
              <w:insideV w:val="nil"/>
            </w:tcBorders>
          </w:tcPr>
          <w:p>
            <w:pPr>
              <w:pStyle w:val="表格正文"/>
            </w:pPr>
            <w:r/>
            <w:r>
              <w:t>33（55.0）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0" w:color="333333"/>
              <w:left w:val="nil"/>
              <w:bottom w:val="single" w:sz="0" w:color="333333"/>
              <w:right w:val="nil"/>
              <w:insideH w:val="nil"/>
              <w:insideV w:val="nil"/>
            </w:tcBorders>
          </w:tcPr>
          <w:p>
            <w:pPr>
              <w:pStyle w:val="表格正文"/>
            </w:pPr>
            <w:r/>
            <w:r>
              <w:t>31（51.7）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0" w:color="333333"/>
              <w:left w:val="nil"/>
              <w:bottom w:val="single" w:sz="0" w:color="333333"/>
              <w:right w:val="nil"/>
              <w:insideH w:val="nil"/>
              <w:insideV w:val="nil"/>
            </w:tcBorders>
          </w:tcPr>
          <w:p>
            <w:pPr>
              <w:pStyle w:val="表格正文"/>
            </w:pPr>
            <w:r/>
            <w:r>
              <w:t>虚构基线数据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0" w:color="333333"/>
              <w:left w:val="nil"/>
              <w:bottom w:val="single" w:sz="10" w:color="333333"/>
              <w:right w:val="nil"/>
              <w:insideH w:val="nil"/>
              <w:insideV w:val="nil"/>
            </w:tcBorders>
          </w:tcPr>
          <w:p>
            <w:pPr>
              <w:pStyle w:val="表格正文"/>
            </w:pPr>
            <w:r/>
            <w:r>
              <w:t>完成随访，例（%）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0" w:color="333333"/>
              <w:left w:val="nil"/>
              <w:bottom w:val="single" w:sz="10" w:color="333333"/>
              <w:right w:val="nil"/>
              <w:insideH w:val="nil"/>
              <w:insideV w:val="nil"/>
            </w:tcBorders>
          </w:tcPr>
          <w:p>
            <w:pPr>
              <w:pStyle w:val="表格正文"/>
            </w:pPr>
            <w:r/>
            <w:r>
              <w:t>49（81.7）</w:t>
            </w:r>
          </w:p>
        </w:tc>
        <w:tc>
          <w:tcPr>
            <w:tcW w:type="dxa" w:w="19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0" w:color="333333"/>
              <w:left w:val="nil"/>
              <w:bottom w:val="single" w:sz="10" w:color="333333"/>
              <w:right w:val="nil"/>
              <w:insideH w:val="nil"/>
              <w:insideV w:val="nil"/>
            </w:tcBorders>
          </w:tcPr>
          <w:p>
            <w:pPr>
              <w:pStyle w:val="表格正文"/>
            </w:pPr>
            <w:r/>
            <w:r>
              <w:t>37（61.7）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0" w:color="333333"/>
              <w:left w:val="nil"/>
              <w:bottom w:val="single" w:sz="10" w:color="333333"/>
              <w:right w:val="nil"/>
              <w:insideH w:val="nil"/>
              <w:insideV w:val="nil"/>
            </w:tcBorders>
          </w:tcPr>
          <w:p>
            <w:pPr>
              <w:pStyle w:val="表格正文"/>
            </w:pPr>
            <w:r/>
            <w:r>
              <w:t>虚构观察结果</w:t>
            </w:r>
          </w:p>
        </w:tc>
      </w:tr>
    </w:tbl>
    <w:p>
      <w:pPr>
        <w:pStyle w:val="论文正文"/>
      </w:pPr>
      <w:r>
        <w:t>模拟基线数据与随访完成情况见表</w:t>
      </w:r>
      <w:fldSimple w:instr=" REF tbl_demo_1 \h \* MERGEFORMAT ">
        <w:r>
          <w:t>1</w:t>
        </w:r>
      </w:fldSimple>
      <w:r>
        <w:t>。</w:t>
      </w:r>
    </w:p>
    <w:p>
      <w:pPr>
        <w:pStyle w:val="一级标题"/>
      </w:pPr>
      <w:r>
        <w:t>3 结果</w:t>
      </w:r>
    </w:p>
    <w:p>
      <w:pPr>
        <w:pStyle w:val="二级标题"/>
      </w:pPr>
      <w:r>
        <w:t>3.1 随访完成情况</w:t>
      </w:r>
    </w:p>
    <w:p>
      <w:pPr>
        <w:pStyle w:val="论文正文"/>
      </w:pPr>
      <w:r>
        <w:t>模拟短信提醒组完成随访 49 例，常规管理组完成 37 例。两组比例的可视化比较见图 1；该图只呈现虚构数据，不代表统计推断或临床效果。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2590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模拟随访完成率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59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图题"/>
      </w:pPr>
      <w:r>
        <w:rPr>
          <w:rFonts w:ascii="Times New Roman" w:hAnsi="Times New Roman" w:eastAsia="宋体"/>
          <w:sz w:val="19"/>
        </w:rPr>
        <w:t>图</w:t>
      </w:r>
      <w:bookmarkStart w:id="2" w:name="fig_demo_1"/>
      <w:fldSimple w:instr=" SEQ Figure \* ARABIC ">
        <w:r>
          <w:t>1</w:t>
        </w:r>
      </w:fldSimple>
      <w:bookmarkEnd w:id="2"/>
      <w:r>
        <w:rPr>
          <w:rFonts w:ascii="Times New Roman" w:hAnsi="Times New Roman" w:eastAsia="宋体"/>
          <w:sz w:val="19"/>
        </w:rPr>
        <w:t xml:space="preserve"> 两组模拟随访完成率比较</w:t>
      </w:r>
    </w:p>
    <w:p>
      <w:pPr>
        <w:pStyle w:val="论文正文"/>
      </w:pPr>
      <w:r>
        <w:t>如图</w:t>
      </w:r>
      <w:fldSimple w:instr=" REF fig_demo_1 \h \* MERGEFORMAT ">
        <w:r>
          <w:t>1</w:t>
        </w:r>
      </w:fldSimple>
      <w:r>
        <w:t>所示，短信提醒组与常规管理组的模拟完成率分别为 81.7% 和 61.7%。</w:t>
      </w:r>
    </w:p>
    <w:p>
      <w:pPr>
        <w:pStyle w:val="一级标题"/>
      </w:pPr>
      <w:r>
        <w:t>4 讨论</w:t>
      </w:r>
    </w:p>
    <w:p>
      <w:pPr>
        <w:pStyle w:val="论文正文"/>
      </w:pPr>
      <w:r>
        <w:t>本演示稿展示了摘要、标题层级、表格题注、三线表、图题和正文交叉引用之间的格式关系。模拟数据不能用于估计真实人群效果；真实研究还需预先制定方案、说明伦理审查与数据来源，并按适当统计方法分析。</w:t>
      </w:r>
    </w:p>
    <w:p>
      <w:pPr>
        <w:pStyle w:val="一级标题"/>
      </w:pPr>
      <w:r>
        <w:t>5 结论</w:t>
      </w:r>
    </w:p>
    <w:p>
      <w:pPr>
        <w:pStyle w:val="论文正文"/>
      </w:pPr>
      <w:r>
        <w:t>（1）本演示展示了 Word 标题、摘要、正文和参考文献段落样式的建立与应用。</w:t>
      </w:r>
    </w:p>
    <w:p>
      <w:pPr>
        <w:pStyle w:val="论文正文"/>
      </w:pPr>
      <w:r>
        <w:t>（2）表 1 和图 1 的题注编号与正文指代使用域和书签关联，适合在内容调整后更新。</w:t>
      </w:r>
    </w:p>
    <w:p>
      <w:pPr>
        <w:pStyle w:val="论文正文"/>
      </w:pPr>
      <w:r>
        <w:t>（3）文内数据均为虚构，仅供格式展示，不应解读为医疗证据。</w:t>
      </w:r>
    </w:p>
    <w:p>
      <w:pPr>
        <w:pStyle w:val="参考文献标题"/>
      </w:pPr>
      <w:r>
        <w:t>参考文献</w:t>
      </w:r>
    </w:p>
    <w:p>
      <w:pPr>
        <w:pStyle w:val="参考文献条目"/>
      </w:pPr>
      <w:r>
        <w:t>[1] World Health Organization. Guideline for the pharmacological treatment of hypertension in adults[M/OL]. Geneva: World Health Organization, 2021. https://www.who.int/publications/i/item/9789240033986.</w:t>
      </w:r>
    </w:p>
    <w:sectPr w:rsidR="00FC693F" w:rsidRPr="0006063C" w:rsidSect="00034616">
      <w:footerReference w:type="default" r:id="rId10"/>
      <w:pgSz w:w="11906" w:h="16838"/>
      <w:pgMar w:top="1247" w:right="1417" w:bottom="119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论文题名">
    <w:name w:val="论文题名"/>
    <w:basedOn w:val="Title"/>
    <w:pPr>
      <w:keepNext/>
      <w:spacing w:before="0" w:after="160" w:line="264" w:lineRule="auto"/>
      <w:jc w:val="center"/>
    </w:pPr>
    <w:rPr>
      <w:rFonts w:ascii="Times New Roman" w:hAnsi="Times New Roman" w:eastAsia="宋体"/>
      <w:b/>
      <w:color w:val="000000"/>
      <w:sz w:val="36"/>
    </w:rPr>
  </w:style>
  <w:style w:type="paragraph" w:customStyle="1" w:styleId="作者信息">
    <w:name w:val="作者信息"/>
    <w:basedOn w:val="Normal"/>
    <w:pPr>
      <w:spacing w:before="0" w:after="60" w:line="264" w:lineRule="auto"/>
      <w:jc w:val="center"/>
    </w:pPr>
    <w:rPr>
      <w:rFonts w:ascii="Times New Roman" w:hAnsi="Times New Roman" w:eastAsia="宋体"/>
      <w:b w:val="0"/>
      <w:sz w:val="20"/>
    </w:rPr>
  </w:style>
  <w:style w:type="paragraph" w:customStyle="1" w:styleId="演示说明">
    <w:name w:val="演示说明"/>
    <w:basedOn w:val="Normal"/>
    <w:pPr>
      <w:spacing w:before="0" w:after="240" w:line="264" w:lineRule="auto"/>
      <w:jc w:val="center"/>
    </w:pPr>
    <w:rPr>
      <w:rFonts w:ascii="Times New Roman" w:hAnsi="Times New Roman" w:eastAsia="宋体"/>
      <w:b w:val="0"/>
      <w:sz w:val="18"/>
    </w:rPr>
  </w:style>
  <w:style w:type="paragraph" w:customStyle="1" w:styleId="摘要标题">
    <w:name w:val="摘要标题"/>
    <w:basedOn w:val="Normal"/>
    <w:pPr>
      <w:keepNext/>
      <w:spacing w:before="80" w:after="80" w:line="264" w:lineRule="auto"/>
      <w:jc w:val="center"/>
    </w:pPr>
    <w:rPr>
      <w:rFonts w:ascii="Times New Roman" w:hAnsi="Times New Roman" w:eastAsia="宋体"/>
      <w:b/>
      <w:sz w:val="22"/>
    </w:rPr>
  </w:style>
  <w:style w:type="paragraph" w:customStyle="1" w:styleId="摘要正文">
    <w:name w:val="摘要正文"/>
    <w:basedOn w:val="Normal"/>
    <w:pPr>
      <w:spacing w:before="0" w:after="80" w:line="300" w:lineRule="auto"/>
    </w:pPr>
    <w:rPr>
      <w:rFonts w:ascii="Times New Roman" w:hAnsi="Times New Roman" w:eastAsia="宋体"/>
      <w:b w:val="0"/>
      <w:sz w:val="19"/>
    </w:rPr>
  </w:style>
  <w:style w:type="paragraph" w:customStyle="1" w:styleId="关键词">
    <w:name w:val="关键词"/>
    <w:basedOn w:val="Normal"/>
    <w:pPr>
      <w:spacing w:before="0" w:after="200" w:line="288" w:lineRule="auto"/>
    </w:pPr>
    <w:rPr>
      <w:rFonts w:ascii="Times New Roman" w:hAnsi="Times New Roman" w:eastAsia="宋体"/>
      <w:b w:val="0"/>
      <w:sz w:val="19"/>
    </w:rPr>
  </w:style>
  <w:style w:type="paragraph" w:customStyle="1" w:styleId="一级标题">
    <w:name w:val="一级标题"/>
    <w:basedOn w:val="Heading1"/>
    <w:pPr>
      <w:keepNext/>
      <w:spacing w:before="240" w:after="120" w:line="276" w:lineRule="auto"/>
      <w:outlineLvl w:val="0"/>
    </w:pPr>
    <w:rPr>
      <w:rFonts w:ascii="Times New Roman" w:hAnsi="Times New Roman" w:eastAsia="宋体"/>
      <w:b/>
      <w:color w:val="000000"/>
      <w:sz w:val="28"/>
    </w:rPr>
  </w:style>
  <w:style w:type="paragraph" w:customStyle="1" w:styleId="二级标题">
    <w:name w:val="二级标题"/>
    <w:basedOn w:val="Heading2"/>
    <w:pPr>
      <w:keepNext/>
      <w:spacing w:before="160" w:after="80" w:line="276" w:lineRule="auto"/>
      <w:outlineLvl w:val="1"/>
    </w:pPr>
    <w:rPr>
      <w:rFonts w:ascii="Times New Roman" w:hAnsi="Times New Roman" w:eastAsia="宋体"/>
      <w:b/>
      <w:color w:val="000000"/>
      <w:sz w:val="23"/>
    </w:rPr>
  </w:style>
  <w:style w:type="paragraph" w:customStyle="1" w:styleId="论文正文">
    <w:name w:val="论文正文"/>
    <w:basedOn w:val="Normal"/>
    <w:pPr>
      <w:spacing w:before="0" w:after="100" w:line="324" w:lineRule="auto"/>
      <w:ind w:firstLine="420"/>
    </w:pPr>
    <w:rPr>
      <w:rFonts w:ascii="Times New Roman" w:hAnsi="Times New Roman" w:eastAsia="宋体"/>
      <w:b w:val="0"/>
      <w:sz w:val="21"/>
    </w:rPr>
  </w:style>
  <w:style w:type="paragraph" w:customStyle="1" w:styleId="图题">
    <w:name w:val="图题"/>
    <w:basedOn w:val="Caption"/>
    <w:pPr>
      <w:keepNext/>
      <w:spacing w:before="100" w:after="160" w:line="264" w:lineRule="auto"/>
      <w:jc w:val="center"/>
    </w:pPr>
    <w:rPr>
      <w:rFonts w:ascii="Times New Roman" w:hAnsi="Times New Roman" w:eastAsia="宋体"/>
      <w:b w:val="0"/>
      <w:color w:val="000000"/>
      <w:sz w:val="19"/>
    </w:rPr>
  </w:style>
  <w:style w:type="paragraph" w:customStyle="1" w:styleId="表题">
    <w:name w:val="表题"/>
    <w:basedOn w:val="Caption"/>
    <w:pPr>
      <w:keepNext/>
      <w:spacing w:before="160" w:after="80" w:line="264" w:lineRule="auto"/>
      <w:jc w:val="center"/>
    </w:pPr>
    <w:rPr>
      <w:rFonts w:ascii="Times New Roman" w:hAnsi="Times New Roman" w:eastAsia="宋体"/>
      <w:b w:val="0"/>
      <w:color w:val="000000"/>
      <w:sz w:val="19"/>
    </w:rPr>
  </w:style>
  <w:style w:type="paragraph" w:customStyle="1" w:styleId="表格表头">
    <w:name w:val="表格表头"/>
    <w:basedOn w:val="Normal"/>
    <w:pPr>
      <w:spacing w:before="0" w:after="0" w:line="264" w:lineRule="auto"/>
      <w:jc w:val="center"/>
    </w:pPr>
    <w:rPr>
      <w:rFonts w:ascii="Times New Roman" w:hAnsi="Times New Roman" w:eastAsia="宋体"/>
      <w:b/>
      <w:sz w:val="18"/>
    </w:rPr>
  </w:style>
  <w:style w:type="paragraph" w:customStyle="1" w:styleId="表格正文">
    <w:name w:val="表格正文"/>
    <w:basedOn w:val="Normal"/>
    <w:pPr>
      <w:spacing w:before="0" w:after="0" w:line="264" w:lineRule="auto"/>
      <w:jc w:val="center"/>
    </w:pPr>
    <w:rPr>
      <w:rFonts w:ascii="Times New Roman" w:hAnsi="Times New Roman" w:eastAsia="宋体"/>
      <w:b w:val="0"/>
      <w:sz w:val="18"/>
    </w:rPr>
  </w:style>
  <w:style w:type="paragraph" w:customStyle="1" w:styleId="参考文献标题">
    <w:name w:val="参考文献标题"/>
    <w:basedOn w:val="Normal"/>
    <w:pPr>
      <w:keepNext/>
      <w:spacing w:before="200" w:after="100" w:line="264" w:lineRule="auto"/>
    </w:pPr>
    <w:rPr>
      <w:rFonts w:ascii="Times New Roman" w:hAnsi="Times New Roman" w:eastAsia="宋体"/>
      <w:b/>
      <w:sz w:val="24"/>
    </w:rPr>
  </w:style>
  <w:style w:type="paragraph" w:customStyle="1" w:styleId="参考文献条目">
    <w:name w:val="参考文献条目"/>
    <w:basedOn w:val="Normal"/>
    <w:pPr>
      <w:spacing w:before="0" w:after="60" w:line="264" w:lineRule="auto"/>
      <w:ind w:left="340" w:hanging="340"/>
    </w:pPr>
    <w:rPr>
      <w:rFonts w:ascii="Times New Roman" w:hAnsi="Times New Roman" w:eastAsia="宋体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基于模拟数据的社区高血压随访提醒效果评估（格式演示）</dc:title>
  <dc:subject>虚构医学论文排版演示；不构成临床证据</dc:subject>
  <dc:creator>论文格式一键排版示例</dc:creator>
  <cp:keywords/>
  <dc:description>样本、数据和结果均为虚构，仅用于展示格式功能。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