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D13C9E" w14:textId="6763775A" w:rsidR="00567C74" w:rsidRPr="00567C74" w:rsidRDefault="00052AF5" w:rsidP="00567C74">
      <w:pPr>
        <w:pStyle w:val="ListParagraph"/>
        <w:numPr>
          <w:ilvl w:val="0"/>
          <w:numId w:val="3"/>
        </w:numPr>
        <w:spacing w:before="100" w:beforeAutospacing="1" w:after="100" w:afterAutospacing="1" w:line="360" w:lineRule="auto"/>
        <w:ind w:left="0"/>
        <w:jc w:val="both"/>
        <w:outlineLvl w:val="2"/>
        <w:rPr>
          <w:rFonts w:ascii="Times New Roman" w:eastAsia="Times New Roman" w:hAnsi="Times New Roman" w:cs="Times New Roman"/>
          <w:b/>
          <w:bCs/>
          <w:kern w:val="0"/>
          <w14:ligatures w14:val="none"/>
        </w:rPr>
      </w:pPr>
      <w:r w:rsidRPr="00E87C8C">
        <w:rPr>
          <w:rFonts w:ascii="Times New Roman" w:eastAsia="Times New Roman" w:hAnsi="Times New Roman" w:cs="Times New Roman"/>
          <w:b/>
          <w:bCs/>
          <w:kern w:val="0"/>
          <w14:ligatures w14:val="none"/>
        </w:rPr>
        <w:t>Introduction</w:t>
      </w:r>
    </w:p>
    <w:p w14:paraId="656A6BA6" w14:textId="3115260E" w:rsidR="002E15F0" w:rsidRDefault="0058033D" w:rsidP="00567C74">
      <w:pPr>
        <w:spacing w:before="100" w:beforeAutospacing="1" w:after="100" w:afterAutospacing="1" w:line="360" w:lineRule="auto"/>
        <w:jc w:val="both"/>
        <w:rPr>
          <w:rFonts w:ascii="Times New Roman" w:hAnsi="Times New Roman" w:cs="Times New Roman"/>
          <w:kern w:val="0"/>
          <w14:ligatures w14:val="none"/>
        </w:rPr>
      </w:pPr>
      <w:r w:rsidRPr="0058033D">
        <w:rPr>
          <w:rFonts w:ascii="Times New Roman" w:hAnsi="Times New Roman" w:cs="Times New Roman"/>
          <w:kern w:val="0"/>
          <w14:ligatures w14:val="none"/>
        </w:rPr>
        <w:t>However, wide</w:t>
      </w:r>
      <w:r w:rsidR="007B1058">
        <w:rPr>
          <w:rFonts w:ascii="Times New Roman" w:hAnsi="Times New Roman" w:cs="Times New Roman"/>
          <w:kern w:val="0"/>
          <w14:ligatures w14:val="none"/>
        </w:rPr>
        <w:t>-</w:t>
      </w:r>
      <w:r w:rsidRPr="0058033D">
        <w:rPr>
          <w:rFonts w:ascii="Times New Roman" w:hAnsi="Times New Roman" w:cs="Times New Roman"/>
          <w:kern w:val="0"/>
          <w14:ligatures w14:val="none"/>
        </w:rPr>
        <w:t>bandgap mixed</w:t>
      </w:r>
      <w:r w:rsidR="007B1058">
        <w:rPr>
          <w:rFonts w:ascii="Times New Roman" w:hAnsi="Times New Roman" w:cs="Times New Roman"/>
          <w:kern w:val="0"/>
          <w14:ligatures w14:val="none"/>
        </w:rPr>
        <w:t>-</w:t>
      </w:r>
      <w:r w:rsidRPr="0058033D">
        <w:rPr>
          <w:rFonts w:ascii="Times New Roman" w:hAnsi="Times New Roman" w:cs="Times New Roman"/>
          <w:kern w:val="0"/>
          <w14:ligatures w14:val="none"/>
        </w:rPr>
        <w:t>halide perovskites used in tandem solar cells, which typically exhibit bandgaps of 1.65</w:t>
      </w:r>
      <w:r w:rsidR="002C0B0C">
        <w:rPr>
          <w:rFonts w:ascii="Times New Roman" w:hAnsi="Times New Roman" w:cs="Times New Roman"/>
          <w:kern w:val="0"/>
          <w14:ligatures w14:val="none"/>
        </w:rPr>
        <w:t>-</w:t>
      </w:r>
      <w:r w:rsidRPr="0058033D">
        <w:rPr>
          <w:rFonts w:ascii="Times New Roman" w:hAnsi="Times New Roman" w:cs="Times New Roman"/>
          <w:kern w:val="0"/>
          <w14:ligatures w14:val="none"/>
        </w:rPr>
        <w:t>1.8 eV, generally suffer from poorer stability than their narrow</w:t>
      </w:r>
      <w:r w:rsidR="007B1058">
        <w:rPr>
          <w:rFonts w:ascii="Times New Roman" w:hAnsi="Times New Roman" w:cs="Times New Roman"/>
          <w:kern w:val="0"/>
          <w14:ligatures w14:val="none"/>
        </w:rPr>
        <w:t>-</w:t>
      </w:r>
      <w:r w:rsidRPr="0058033D">
        <w:rPr>
          <w:rFonts w:ascii="Times New Roman" w:hAnsi="Times New Roman" w:cs="Times New Roman"/>
          <w:kern w:val="0"/>
          <w14:ligatures w14:val="none"/>
        </w:rPr>
        <w:t xml:space="preserve">bandgap </w:t>
      </w:r>
      <w:r w:rsidR="0035644A" w:rsidRPr="0058033D">
        <w:rPr>
          <w:rFonts w:ascii="Times New Roman" w:hAnsi="Times New Roman" w:cs="Times New Roman"/>
          <w:kern w:val="0"/>
          <w14:ligatures w14:val="none"/>
        </w:rPr>
        <w:t>counterparts.</w:t>
      </w:r>
      <w:r w:rsidR="0035644A" w:rsidRPr="00567C74">
        <w:rPr>
          <w:rFonts w:ascii="Times New Roman" w:hAnsi="Times New Roman" w:cs="Times New Roman"/>
          <w:kern w:val="0"/>
          <w14:ligatures w14:val="none"/>
        </w:rPr>
        <w:t xml:space="preserve"> The</w:t>
      </w:r>
      <w:r w:rsidR="00567C74" w:rsidRPr="00567C74">
        <w:rPr>
          <w:rFonts w:ascii="Times New Roman" w:hAnsi="Times New Roman" w:cs="Times New Roman"/>
          <w:kern w:val="0"/>
          <w14:ligatures w14:val="none"/>
        </w:rPr>
        <w:t xml:space="preserve"> elevated bromide content required to widen the bandgap generally increases deep defect densities, accelerates ion migration and, most critically, induces light</w:t>
      </w:r>
      <w:r w:rsidR="007B1058">
        <w:rPr>
          <w:rFonts w:ascii="Times New Roman" w:hAnsi="Times New Roman" w:cs="Times New Roman"/>
          <w:kern w:val="0"/>
          <w14:ligatures w14:val="none"/>
        </w:rPr>
        <w:t>-</w:t>
      </w:r>
      <w:r w:rsidR="00567C74" w:rsidRPr="00567C74">
        <w:rPr>
          <w:rFonts w:ascii="Times New Roman" w:hAnsi="Times New Roman" w:cs="Times New Roman"/>
          <w:kern w:val="0"/>
          <w14:ligatures w14:val="none"/>
        </w:rPr>
        <w:t xml:space="preserve"> and bias</w:t>
      </w:r>
      <w:r w:rsidR="007B1058">
        <w:rPr>
          <w:rFonts w:ascii="Times New Roman" w:hAnsi="Times New Roman" w:cs="Times New Roman"/>
          <w:kern w:val="0"/>
          <w14:ligatures w14:val="none"/>
        </w:rPr>
        <w:t>-</w:t>
      </w:r>
      <w:r w:rsidR="00567C74" w:rsidRPr="00567C74">
        <w:rPr>
          <w:rFonts w:ascii="Times New Roman" w:hAnsi="Times New Roman" w:cs="Times New Roman"/>
          <w:kern w:val="0"/>
          <w14:ligatures w14:val="none"/>
        </w:rPr>
        <w:t xml:space="preserve">driven Br/I phase segregation. This compositional demixing results in local bandgap narrowing, photovoltage loss </w:t>
      </w:r>
      <w:r w:rsidR="00567C74" w:rsidRPr="004A0259">
        <w:rPr>
          <w:rFonts w:ascii="Times New Roman" w:hAnsi="Times New Roman" w:cs="Times New Roman"/>
          <w:kern w:val="0"/>
          <w14:ligatures w14:val="none"/>
        </w:rPr>
        <w:t>and progressive efficiency degradation during operation</w:t>
      </w:r>
      <w:r w:rsidR="00567C74" w:rsidRPr="004A0259">
        <w:rPr>
          <w:rFonts w:ascii="Times New Roman" w:hAnsi="Times New Roman" w:cs="Times New Roman" w:hint="eastAsia"/>
          <w:kern w:val="0"/>
          <w14:ligatures w14:val="none"/>
        </w:rPr>
        <w:t xml:space="preserve"> </w:t>
      </w:r>
      <w:r w:rsidR="004A0259" w:rsidRPr="004A0259">
        <w:rPr>
          <w:rFonts w:ascii="Times New Roman" w:hAnsi="Times New Roman" w:cs="Times New Roman"/>
          <w:kern w:val="0"/>
          <w14:ligatures w14:val="none"/>
        </w:rPr>
        <w:fldChar w:fldCharType="begin"/>
      </w:r>
      <w:r w:rsidR="00C72A16">
        <w:rPr>
          <w:rFonts w:ascii="Times New Roman" w:hAnsi="Times New Roman" w:cs="Times New Roman"/>
          <w:kern w:val="0"/>
          <w14:ligatures w14:val="none"/>
        </w:rPr>
        <w:instrText xml:space="preserve"> ADDIN ZOTERO_ITEM CSL_CITATION {"citationID":"JfSSLfI7","properties":{"formattedCitation":"[1\\uc0\\u8211{}3]","plainCitation":"[1–3]","noteIndex":0},"citationItems":[{"id":156,"uris":["http://zotero.org/users/17929675/items/BCX3P2DY"],"itemData":{"id":156,"type":"article-journal","abstract":"We report on reversible, light-induced transformations in (CH3NH3)Pb(BrxI1−x)3. Photoluminescence (PL) spectra of these perovskites develop a new, red-shifted peak at 1.68 eV that grows in intensity under constant, 1-sun illumination in less than a minute. This is accompanied by an increase in sub-bandgap absorption at </w:instrText>
      </w:r>
      <w:r w:rsidR="00C72A16">
        <w:rPr>
          <w:rFonts w:ascii="Cambria Math" w:hAnsi="Cambria Math" w:cs="Cambria Math"/>
          <w:kern w:val="0"/>
          <w14:ligatures w14:val="none"/>
        </w:rPr>
        <w:instrText>∼</w:instrText>
      </w:r>
      <w:r w:rsidR="00C72A16">
        <w:rPr>
          <w:rFonts w:ascii="Times New Roman" w:hAnsi="Times New Roman" w:cs="Times New Roman"/>
          <w:kern w:val="0"/>
          <w14:ligatures w14:val="none"/>
        </w:rPr>
        <w:instrText xml:space="preserve">1.7 eV, indicating the formation of luminescent trap states. Light soaking causes a splitting of X-ray diffraction (XRD) peaks, suggesting segregation into two crystalline phases. Surprisingly, these photo-induced changes are fully reversible; the XRD patterns and the PL and absorption spectra revert to their initial states after the materials are left for a few minutes in the dark. We speculate that photoexcitation may cause halide segregation into iodide-rich minority and bromide-enriched majority domains, the former acting as a recombination center trap. This instability may limit achievable voltages from some mixed-halide perovskite solar cells and could have implications for the photostability of halide perovskites used in optoelectronics.","container-title":"Chemical Science","DOI":"10.1039/C4SC03141E","ISSN":"2041-6539","issue":"1","journalAbbreviation":"Chem. Sci.","language":"en","page":"613-617","publisher":"The Royal Society of Chemistry","source":"pubs.rsc.org","title":"Reversible photo-induced trap formation in mixed-halide hybrid perovskites for photovoltaics","volume":"6","author":[{"family":"Hoke","given":"Eric T."},{"family":"Slotcavage","given":"Daniel J."},{"family":"Dohner","given":"Emma R."},{"family":"Bowring","given":"Andrea R."},{"family":"Karunadasa","given":"Hemamala I."},{"family":"McGehee","given":"Michael D."}],"issued":{"date-parts":[["2014",12,1]]}}},{"id":159,"uris":["http://zotero.org/users/17929675/items/SXKQNWRE"],"itemData":{"id":159,"type":"article-journal","abstract":"In the few short years since the inception of single-junction perovskite solar cells, their efficiencies have skyrocketed. Perovskite absorbers have at least as much to offer tandem solar cells as they do for single-junction cells due in large part to their tunable band gaps. However, modifying the perovskite band structure via halide substitution, the method that has been most effective at tuning band gaps, leads to instabilities in the material for some compositions. Here, we discuss the thermodynamic origin and consequences of light-induced phase segregation observed in mixed-halide perovskites. We propose that, as the phase segregation is rooted in halide migration and possibly affected by lattice strain, modifying the perovskite composition and lattice structure, increasing compositional uniformity, and reducing defect concentrations could significantly improve stability.","container-title":"ACS Energy Letters","DOI":"10.1021/acsenergylett.6b00495","issue":"6","journalAbbreviation":"ACS Energy Lett.","page":"1199-1205","publisher":"American Chemical Society","source":"ACS Publications","title":"Light-Induced Phase Segregation in Halide-Perovskite Absorbers","volume":"1","author":[{"family":"Slotcavage","given":"Daniel J."},{"family":"Karunadasa","given":"Hemamala I."},{"family":"McGehee","given":"Michael D."}],"issued":{"date-parts":[["2016",12,9]]}}},{"id":160,"uris":["http://zotero.org/users/17929675/items/DRBXAPA6"],"itemData":{"id":160,"type":"article-journal","abstract":"Perovskite material with a bandgap of 1.7–1.8 eV is highly desirable for the top cell in a tandem configuration with a lower bandgap bottom cell, such as a silicon cell. This can be achieved by alloying iodide and bromide anions, but light-induced phase-segregation phenomena are often observed in perovskite films of this kind, with implications for solar cell efficiency. Here, we investigate light-induced phase segregation inside quadruple-cation perovskite material in a complete cell structure and find that the magnitude of this phenomenon is dependent on the operating condition of the solar cell. Under short-circuit and even maximum power point conditions, phase segregation is found to be negligible compared to the magnitude of segregation under open-circuit conditions. In accordance with the finding, perovskite cells based on quadruple-cation perovskite with 1.73 eV bandgap retain 94% of the original efficiency after 12 h operation at the maximum power point, while the cell only retains 82% of the original efficiency after 12 h operation at the open-circuit condition. This result highlights the need to have standard methods including light/dark and bias condition for testing the stability of perovskite solar cells. Additionally, phase segregation is observed when the cell was forward biased at 1.2 V in the dark, which indicates that photoexcitation is not required to induce phase segregation.","container-title":"ACS Applied Materials &amp; Interfaces","DOI":"10.1021/acsami.7b06816","ISSN":"1944-8244","issue":"32","journalAbbreviation":"ACS Appl. Mater. Interfaces","page":"26859-26866","publisher":"American Chemical Society","source":"ACS Publications","title":"Light and Electrically Induced Phase Segregation and Its Impact on the Stability of Quadruple Cation High Bandgap Perovskite Solar Cells","volume":"9","author":[{"family":"Duong","given":"The"},{"family":"Mulmudi","given":"Hemant Kumar"},{"family":"Wu","given":"YiLiang"},{"family":"Fu","given":"Xiao"},{"family":"Shen","given":"Heping"},{"family":"Peng","given":"Jun"},{"family":"Wu","given":"Nandi"},{"family":"Nguyen","given":"Hieu T."},{"family":"Macdonald","given":"Daniel"},{"family":"Lockrey","given":"Mark"},{"family":"White","given":"Thomas P."},{"family":"Weber","given":"Klaus"},{"family":"Catchpole","given":"Kylie"}],"issued":{"date-parts":[["2017",8,16]]}}}],"schema":"https://github.com/citation-style-language/schema/raw/master/csl-citation.json"} </w:instrText>
      </w:r>
      <w:r w:rsidR="004A0259" w:rsidRPr="004A0259">
        <w:rPr>
          <w:rFonts w:ascii="Times New Roman" w:hAnsi="Times New Roman" w:cs="Times New Roman"/>
          <w:kern w:val="0"/>
          <w14:ligatures w14:val="none"/>
        </w:rPr>
        <w:fldChar w:fldCharType="separate"/>
      </w:r>
      <w:r w:rsidR="00C72A16" w:rsidRPr="00C72A16">
        <w:rPr>
          <w:rFonts w:ascii="Times New Roman" w:hAnsi="Times New Roman" w:cs="Times New Roman"/>
          <w:kern w:val="0"/>
        </w:rPr>
        <w:t>[1–3]</w:t>
      </w:r>
      <w:r w:rsidR="004A0259" w:rsidRPr="004A0259">
        <w:rPr>
          <w:rFonts w:ascii="Times New Roman" w:hAnsi="Times New Roman" w:cs="Times New Roman"/>
          <w:kern w:val="0"/>
          <w14:ligatures w14:val="none"/>
        </w:rPr>
        <w:fldChar w:fldCharType="end"/>
      </w:r>
      <w:r w:rsidR="00567C74" w:rsidRPr="004A0259">
        <w:rPr>
          <w:rFonts w:ascii="Times New Roman" w:hAnsi="Times New Roman" w:cs="Times New Roman"/>
          <w:kern w:val="0"/>
          <w14:ligatures w14:val="none"/>
        </w:rPr>
        <w:t xml:space="preserve">. </w:t>
      </w:r>
      <w:r w:rsidR="003B6DB5" w:rsidRPr="003B6DB5">
        <w:rPr>
          <w:rFonts w:ascii="Times New Roman" w:hAnsi="Times New Roman" w:cs="Times New Roman"/>
          <w:kern w:val="0"/>
          <w14:ligatures w14:val="none"/>
        </w:rPr>
        <w:t>Significant progress has been made through compositional engineering, strain management and interfacial passivation</w:t>
      </w:r>
      <w:r w:rsidR="00554B2A">
        <w:rPr>
          <w:rFonts w:ascii="Times New Roman" w:hAnsi="Times New Roman" w:cs="Times New Roman"/>
          <w:kern w:val="0"/>
          <w14:ligatures w14:val="none"/>
        </w:rPr>
        <w:fldChar w:fldCharType="begin"/>
      </w:r>
      <w:r w:rsidR="00C72A16">
        <w:rPr>
          <w:rFonts w:ascii="Times New Roman" w:hAnsi="Times New Roman" w:cs="Times New Roman"/>
          <w:kern w:val="0"/>
          <w14:ligatures w14:val="none"/>
        </w:rPr>
        <w:instrText xml:space="preserve"> ADDIN ZOTERO_ITEM CSL_CITATION {"citationID":"NQiZVZPk","properties":{"formattedCitation":"[4\\uc0\\u8211{}6]","plainCitation":"[4–6]","noteIndex":0},"citationItems":[{"id":151,"uris":["http://zotero.org/users/17929675/items/BLV4JDM8"],"itemData":{"id":151,"type":"article-journal","abstract":"The efficiency and stability of perovskite solar cells (PSCs) are critically dependent on the robust charge transport and thermal dissipation within the perovskite film. Here, a high-quality perovskite film with thermal and electrical conductivity dual enhancement are successfully constructed by using the self-synthesized conductive and thermally conductive self-healing supramolecular ionic polymer/hydroxylated boron nitride quantum dots (SMIP/h-BNQDs) additives to fabricate high-performance carbon-based PSCs without hole transport layer (HTL). Theoretical and experimental results indicate that the introduction of highly thermally conductive SMIP/h-BNQDs additives not only delays the crystallization process and passivates defects of perovskite film through the strong interactions of coordination and hydrogen bonds formed between them and perovskite components for improved film quality, but also accelerates heat transfer and dissipation within the perovskite film, thereby reducing the device operating temperature. The electrical conductivity of the perovskite film is also enhanced due to the incorporation of conductive SMIP/h-BNQDs, which facilitates charge transport. Moreover, the introduction of the self-healing SMIP/h-BNQDs additives significantly releases the residual tensile strain and suppresses the phase separation of the wind-bandgap perovskite film, endowing it with self-repair capability under mild thermal treatment. Consequently, the carbon-based HTL-free wide-bandgap PSCs fabricated in ambient air achieve a remarkable power conversion efficiency of 17.49 % and excellent operational stability under continuous illumination. The optimal device maintains 84.8 % of the initial efficiency after being stored for 432 h under air conditions of 25 °C and 25 % relative humidity, and the efficiency is restored to 93.4 % of the initial value after thermal treatment at 60 °C, demonstrating outstanding stability and self-healing performance.","container-title":"Nano Energy","DOI":"10.1016/j.nanoen.2025.111696","ISSN":"2211-2855","journalAbbreviation":"Nano Energy","page":"111696","source":"ScienceDirect","title":"Thermal-electrical dual management for efficient and stable wide-bandgap perovskite solar cells","volume":"148","author":[{"family":"Feng","given":"Jiangjingzi"},{"family":"He","given":"Benlin"},{"family":"Yang","given":"Zhe"},{"family":"Li","given":"Jia"},{"family":"Zhang","given":"Minghao"},{"family":"Yang","given":"Bangbang"},{"family":"Wu","given":"Zhenwei"},{"family":"Chen","given":"Haiyan"},{"family":"Duan","given":"Jialong"},{"family":"Tang","given":"Qunwei"}],"issued":{"date-parts":[["2026",2,1]]}}},{"id":153,"uris":["http://zotero.org/users/17929675/items/B2PKVFD2"],"itemData":{"id":153,"type":"article-journal","abstract":"Light-induced halide segregation presents a fundamental barrier to the longevity of wide-bandgap (WBG) mixed-halide perovskites. Herein, a multifunctional ionic polymer, polyquaternium-37, is reported as an effective grain boundary passivator to inhibit the degradation pathway. This dual-interaction mechanism concertedly arrests halide migration at grain boundaries, thereby suppressing local electric-field and ultimately curbing light-induced phase separation. Consequently, the modified WBG perovskites demonstrate robust photostability under light stress. The champion inverted perovskite photovoltaic device delivers a power conversion efficiency (PCE) of 22.86% under AM 1.5G illumination and an outstanding indoor PCE of 43.19% under 1000 lux. Remarkably, the modified device exhibits a projected T90 lifetime exceeding 10 000 h under continuous indoor light cycling. This work pioneers a facile solution to halide segregation via grain boundary engineering, paving the way for operationally stable WBG perovskite photovoltaics.","container-title":"Advanced Materials","DOI":"10.1002/adma.202518492","ISSN":"1521-4095","issue":"7","language":"en","license":"© 2025 Wiley-VCH GmbH","note":"_eprint: https://advanced.onlinelibrary.wiley.com/doi/pdf/10.1002/adma.202518492","page":"e18492","source":"Wiley Online Library","title":"Stopping Phase Separation Enables Durable Wide-Bandgap Photovoltaic Perovskites","volume":"38","author":[{"family":"He","given":"Xiao-Ying"},{"family":"Song","given":"Bin"},{"family":"Wang","given":"Kai-Li"},{"family":"Li","given":"Nan"},{"family":"Huang","given":"Lei"},{"family":"Qin","given":"Rui-Hao"},{"family":"Chen","given":"Jing"},{"family":"Chen","given":"Chun-Hao"},{"family":"Xia","given":"Yu"},{"family":"Yavuz","given":"Ilhan"},{"family":"Lou","given":"Yan-Hui"},{"family":"Wang","given":"Zhao-Kui"}],"issued":{"date-parts":[["2026"]]}}},{"id":162,"uris":["http://zotero.org/users/17929675/items/CE4DRD67"],"itemData":{"id":162,"type":"article-journal","abstract":"High-performance wide-bandgap (WBG) perovskite solar cells are expected to play a key role in next-generation multi-junction solar cells. However, several challenges remain to be overcome, such as large photovoltage loss, poor stability and scalable fabrication in ambient air, which hinder the commercialization of this technology. Here we incorporate a reductive methylhydrazinium cation into WBG perovskites, which not only reduces defect density but also suppresses iodide oxidation and halide demixing, enabling scalable fabrication of efficient and stable WBG solar cells and modules in ambient air. Remarkably, the champion WBG perovskite solar cells achieve a power conversion efficiency (PCE) of 23.3% with an open-circuit voltage of 1.28 V, corresponding to a record low voltage loss of 0.37 V. The WBG mini modules deliver a stabilized PCE of 19.8% with an aperture area of 25 cm2. The mini modules can keep 94% of the initial PCE after 700 hours of operation under continuous light soaking at 1-sun illumination at 55 ± 5 °C. This work suggests a viable route to the sustainable harvesting of solar energy.","container-title":"Nature Sustainability","DOI":"10.1038/s41893-025-01529-5","ISSN":"2398-9629","issue":"4","journalAbbreviation":"Nat Sustain","language":"en","license":"2025 The Author(s), under exclusive licence to Springer Nature Limited","page":"456-463","publisher":"Nature Publishing Group","source":"www.nature.com","title":"Reductive cation for scalable wide-bandgap perovskite solar cells in ambient air","volume":"8","author":[{"family":"Yang","given":"Guang"},{"family":"Gu","given":"Hangyu"},{"family":"Yin","given":"Jun"},{"family":"Fei","given":"Chengbin"},{"family":"Shi","given":"Zhifang"},{"family":"Shi","given":"Xiaoqiang"},{"family":"Ying","given":"Xingjian"},{"family":"Huang","given":"Jinsong"}],"issued":{"date-parts":[["2025",4]]}}}],"schema":"https://github.com/citation-style-language/schema/raw/master/csl-citation.json"} </w:instrText>
      </w:r>
      <w:r w:rsidR="00554B2A">
        <w:rPr>
          <w:rFonts w:ascii="Times New Roman" w:hAnsi="Times New Roman" w:cs="Times New Roman"/>
          <w:kern w:val="0"/>
          <w14:ligatures w14:val="none"/>
        </w:rPr>
        <w:fldChar w:fldCharType="separate"/>
      </w:r>
      <w:r w:rsidR="00C72A16" w:rsidRPr="00C72A16">
        <w:rPr>
          <w:rFonts w:ascii="Times New Roman" w:hAnsi="Times New Roman" w:cs="Times New Roman"/>
          <w:kern w:val="0"/>
        </w:rPr>
        <w:t>[4–6]</w:t>
      </w:r>
      <w:r w:rsidR="00554B2A">
        <w:rPr>
          <w:rFonts w:ascii="Times New Roman" w:hAnsi="Times New Roman" w:cs="Times New Roman"/>
          <w:kern w:val="0"/>
          <w14:ligatures w14:val="none"/>
        </w:rPr>
        <w:fldChar w:fldCharType="end"/>
      </w:r>
      <w:r w:rsidR="00567C74" w:rsidRPr="00567C74">
        <w:rPr>
          <w:rFonts w:ascii="Times New Roman" w:hAnsi="Times New Roman" w:cs="Times New Roman"/>
          <w:kern w:val="0"/>
          <w14:ligatures w14:val="none"/>
        </w:rPr>
        <w:t>,</w:t>
      </w:r>
      <w:r w:rsidR="003D17F0" w:rsidRPr="003D17F0">
        <w:t xml:space="preserve"> </w:t>
      </w:r>
      <w:r w:rsidR="003D17F0" w:rsidRPr="003D17F0">
        <w:rPr>
          <w:rFonts w:ascii="Times New Roman" w:hAnsi="Times New Roman" w:cs="Times New Roman"/>
          <w:kern w:val="0"/>
          <w14:ligatures w14:val="none"/>
        </w:rPr>
        <w:t>yet most devices still exhibit sizeable</w:t>
      </w:r>
      <w:r w:rsidR="0035644A">
        <w:rPr>
          <w:rFonts w:ascii="Times New Roman" w:hAnsi="Times New Roman" w:cs="Times New Roman" w:hint="eastAsia"/>
          <w:kern w:val="0"/>
          <w14:ligatures w14:val="none"/>
        </w:rPr>
        <w:t xml:space="preserve"> </w:t>
      </w:r>
      <w:r w:rsidR="0035644A">
        <w:rPr>
          <w:rFonts w:ascii="Times New Roman" w:hAnsi="Times New Roman" w:cs="Times New Roman"/>
        </w:rPr>
        <w:t>V</w:t>
      </w:r>
      <w:r w:rsidR="0035644A" w:rsidRPr="0035644A">
        <w:rPr>
          <w:rFonts w:ascii="Times New Roman" w:hAnsi="Times New Roman" w:cs="Times New Roman" w:hint="eastAsia"/>
          <w:vertAlign w:val="subscript"/>
        </w:rPr>
        <w:t>oc</w:t>
      </w:r>
      <w:r w:rsidR="003D17F0" w:rsidRPr="003D17F0">
        <w:rPr>
          <w:rFonts w:ascii="Times New Roman" w:hAnsi="Times New Roman" w:cs="Times New Roman"/>
          <w:kern w:val="0"/>
          <w14:ligatures w14:val="none"/>
        </w:rPr>
        <w:t xml:space="preserve"> deficits and only partial resistance to prolonged light soaking</w:t>
      </w:r>
      <w:r w:rsidR="003B6DB5">
        <w:rPr>
          <w:rFonts w:ascii="Times New Roman" w:hAnsi="Times New Roman" w:cs="Times New Roman" w:hint="eastAsia"/>
          <w:kern w:val="0"/>
          <w14:ligatures w14:val="none"/>
        </w:rPr>
        <w:t>.</w:t>
      </w:r>
      <w:r w:rsidR="00567C74" w:rsidRPr="00567C74">
        <w:rPr>
          <w:rFonts w:ascii="Times New Roman" w:hAnsi="Times New Roman" w:cs="Times New Roman"/>
          <w:kern w:val="0"/>
          <w14:ligatures w14:val="none"/>
        </w:rPr>
        <w:t xml:space="preserve"> </w:t>
      </w:r>
    </w:p>
    <w:p w14:paraId="09D16F10" w14:textId="0E751B75" w:rsidR="002E15F0" w:rsidRPr="002E15F0" w:rsidRDefault="00567C74" w:rsidP="002E15F0">
      <w:pPr>
        <w:spacing w:before="100" w:beforeAutospacing="1" w:after="100" w:afterAutospacing="1" w:line="360" w:lineRule="auto"/>
        <w:jc w:val="both"/>
        <w:rPr>
          <w:rFonts w:ascii="Times New Roman" w:hAnsi="Times New Roman" w:cs="Times New Roman"/>
          <w:kern w:val="0"/>
          <w14:ligatures w14:val="none"/>
        </w:rPr>
      </w:pPr>
      <w:r w:rsidRPr="00567C74">
        <w:rPr>
          <w:rFonts w:ascii="Times New Roman" w:hAnsi="Times New Roman" w:cs="Times New Roman"/>
          <w:kern w:val="0"/>
          <w14:ligatures w14:val="none"/>
        </w:rPr>
        <w:t>Recent studies increasingly highlight that achieving both high efficiency and long</w:t>
      </w:r>
      <w:r w:rsidR="007B1058">
        <w:rPr>
          <w:rFonts w:ascii="Times New Roman" w:hAnsi="Times New Roman" w:cs="Times New Roman"/>
          <w:kern w:val="0"/>
          <w14:ligatures w14:val="none"/>
        </w:rPr>
        <w:t>-</w:t>
      </w:r>
      <w:r w:rsidRPr="00567C74">
        <w:rPr>
          <w:rFonts w:ascii="Times New Roman" w:hAnsi="Times New Roman" w:cs="Times New Roman"/>
          <w:kern w:val="0"/>
          <w14:ligatures w14:val="none"/>
        </w:rPr>
        <w:t>term stability in WBG perovskites requires controlling not only bulk composition but also crystallization pathways, defect distributions and ion</w:t>
      </w:r>
      <w:r w:rsidR="007B1058">
        <w:rPr>
          <w:rFonts w:ascii="Times New Roman" w:hAnsi="Times New Roman" w:cs="Times New Roman"/>
          <w:kern w:val="0"/>
          <w14:ligatures w14:val="none"/>
        </w:rPr>
        <w:t>-</w:t>
      </w:r>
      <w:r w:rsidRPr="00567C74">
        <w:rPr>
          <w:rFonts w:ascii="Times New Roman" w:hAnsi="Times New Roman" w:cs="Times New Roman"/>
          <w:kern w:val="0"/>
          <w14:ligatures w14:val="none"/>
        </w:rPr>
        <w:t>transport channels within the film</w:t>
      </w:r>
      <w:r w:rsidR="00BC4806">
        <w:rPr>
          <w:rFonts w:ascii="Times New Roman" w:hAnsi="Times New Roman" w:cs="Times New Roman"/>
          <w:kern w:val="0"/>
          <w14:ligatures w14:val="none"/>
        </w:rPr>
        <w:fldChar w:fldCharType="begin"/>
      </w:r>
      <w:r w:rsidR="00C72A16">
        <w:rPr>
          <w:rFonts w:ascii="Times New Roman" w:hAnsi="Times New Roman" w:cs="Times New Roman"/>
          <w:kern w:val="0"/>
          <w14:ligatures w14:val="none"/>
        </w:rPr>
        <w:instrText xml:space="preserve"> ADDIN ZOTERO_ITEM CSL_CITATION {"citationID":"CEvuRgJC","properties":{"formattedCitation":"[7,8]","plainCitation":"[7,8]","noteIndex":0},"citationItems":[{"id":166,"uris":["http://zotero.org/users/17929675/items/4NI4XWSP"],"itemData":{"id":166,"type":"article-journal","abstract":"Wide-bandgap (WBG) perovskites with bandgaps exceeding 1.8 eV are suitable for perovskite/organic or multi-junction tandem solar cell (TSC) applications. However, their complex components easily induce hardly controlled phase heterogeneity and defects during the crystallization process. Herein, we propose a multifunctional additive, DL-methionine methylsulfonium chloride, with a unique combination of functional groups to regulate the crystallization thermodynamics and passivate defects of WBG perovskites. Our comprehensive experimental and computational results reveal that the additive synergistically promotes the nucleation kinetics and improves phase homogeneity during the crystallization process, thereby achieving uniform and low-defect perovskite films, significantly suppressing the non-radiative recombination and phase segregation. Consequently, the single-junction 1.83 eV-WBG perovskite solar cells demonstrate a champion power conversion efficiency (PCE) of 20.4% and notably enhanced operational stability. Furthermore, impressive PCEs of 26.0% and 22.1% are achieved for rigid and flexible perovskite/organic TSCs, respectively, showing great promise for pursuing flexible tandem applications.","container-title":"Nature Communications","DOI":"10.1038/s41467-025-68125-1","ISSN":"2041-1723","issue":"1","journalAbbreviation":"Nat Commun","language":"en","license":"2026 The Author(s)","page":"1375","publisher":"Nature Publishing Group","source":"www.nature.com","title":"Crystallization modulation for wide-bandgap perovskites with universal defect passivation toward efficient perovskite/organic tandem photovoltaics","volume":"17","author":[{"family":"Jiang","given":"Ruixuan"},{"family":"Yun","given":"Yikai"},{"family":"Sun","given":"Kexuan"},{"family":"Cui","given":"Xinyue"},{"family":"Zhang","given":"Qi"},{"family":"Hu","given":"Chang"},{"family":"Jin","given":"Chengkai"},{"family":"Kong","given":"Qiumin"},{"family":"Liu","given":"Yuqiang"},{"family":"Gong","given":"Junbo"},{"family":"He","given":"Sisi"},{"family":"Qiu","given":"Longbin"},{"family":"Liu","given":"Chang"},{"family":"Bai","given":"Sai"},{"family":"Li","given":"Cheng"},{"family":"Bo","given":"Zhishan"},{"family":"Huang","given":"Fuzhi"},{"family":"Cheng","given":"Yi-Bing"},{"family":"Bu","given":"Tongle"}],"issued":{"date-parts":[["2026",1,3]]}}},{"id":168,"uris":["http://zotero.org/users/17929675/items/HRDLQ3SP"],"itemData":{"id":168,"type":"article-journal","container-title":"Journal of Materials Chemistry A","DOI":"10.1039/D5TA10296K","language":"en","publisher":"Royal Society of Chemistry","source":"pubs.rsc.org","title":"Mechanistic insights into defect-governed ion migration and phase instability in mixed-halide perovskites","URL":"https://pubs.rsc.org/en/content/articlelanding/2026/ta/d5ta10296k","author":[{"family":"Xiang","given":"Yueran"},{"family":"Xin","given":"Haimeng"},{"family":"Wang","given":"Chenyu"},{"family":"Zhou","given":"Fuyi"},{"family":"Zhang","given":"Hengyu"},{"family":"Hang","given":"Pengjie"},{"family":"Xu","given":"Lingbo"},{"family":"Yu","given":"Xuegong"},{"family":"Xue","given":"Jingjing"},{"family":"Yang","given":"Deren"},{"family":"Ni","given":"Zhenyi"}],"accessed":{"date-parts":[["2026",4,20]]},"issued":{"date-parts":[["2026"]]}}}],"schema":"https://github.com/citation-style-language/schema/raw/master/csl-citation.json"} </w:instrText>
      </w:r>
      <w:r w:rsidR="00BC4806">
        <w:rPr>
          <w:rFonts w:ascii="Times New Roman" w:hAnsi="Times New Roman" w:cs="Times New Roman"/>
          <w:kern w:val="0"/>
          <w14:ligatures w14:val="none"/>
        </w:rPr>
        <w:fldChar w:fldCharType="separate"/>
      </w:r>
      <w:r w:rsidR="00C72A16" w:rsidRPr="00C72A16">
        <w:rPr>
          <w:rFonts w:ascii="Times New Roman" w:hAnsi="Times New Roman" w:cs="Times New Roman"/>
        </w:rPr>
        <w:t>[7,8]</w:t>
      </w:r>
      <w:r w:rsidR="00BC4806">
        <w:rPr>
          <w:rFonts w:ascii="Times New Roman" w:hAnsi="Times New Roman" w:cs="Times New Roman"/>
          <w:kern w:val="0"/>
          <w14:ligatures w14:val="none"/>
        </w:rPr>
        <w:fldChar w:fldCharType="end"/>
      </w:r>
      <w:r w:rsidRPr="00567C74">
        <w:rPr>
          <w:rFonts w:ascii="Times New Roman" w:hAnsi="Times New Roman" w:cs="Times New Roman"/>
          <w:kern w:val="0"/>
          <w14:ligatures w14:val="none"/>
        </w:rPr>
        <w:t>.</w:t>
      </w:r>
      <w:r w:rsidR="002E15F0" w:rsidRPr="002E15F0">
        <w:t xml:space="preserve"> </w:t>
      </w:r>
      <w:r w:rsidR="002E15F0" w:rsidRPr="002E15F0">
        <w:rPr>
          <w:rFonts w:ascii="Times New Roman" w:hAnsi="Times New Roman" w:cs="Times New Roman"/>
          <w:kern w:val="0"/>
          <w14:ligatures w14:val="none"/>
        </w:rPr>
        <w:t>In this context, the two step deposition strategy offers distinct advantages over one step routes</w:t>
      </w:r>
      <w:r w:rsidR="003B177E">
        <w:rPr>
          <w:rFonts w:ascii="Times New Roman" w:hAnsi="Times New Roman" w:cs="Times New Roman" w:hint="eastAsia"/>
          <w:kern w:val="0"/>
          <w14:ligatures w14:val="none"/>
        </w:rPr>
        <w:t xml:space="preserve"> </w:t>
      </w:r>
      <w:r w:rsidR="002E15F0" w:rsidRPr="002E15F0">
        <w:rPr>
          <w:rFonts w:ascii="Times New Roman" w:hAnsi="Times New Roman" w:cs="Times New Roman"/>
          <w:kern w:val="0"/>
          <w14:ligatures w14:val="none"/>
        </w:rPr>
        <w:t>because it enables more precise control over nucleation and crystal growth. As a result, two step processing can produce dense, vertically oriented, and low defect perovskite films, and has already delivered excellent device performance in narrow bandgap perovskite systems.</w:t>
      </w:r>
      <w:r w:rsidR="00102F80" w:rsidRPr="00102F80">
        <w:rPr>
          <w:rFonts w:ascii="Times New Roman" w:hAnsi="Times New Roman" w:cs="Times New Roman"/>
          <w:kern w:val="0"/>
          <w14:ligatures w14:val="none"/>
        </w:rPr>
        <w:t xml:space="preserve"> </w:t>
      </w:r>
      <w:r w:rsidR="00102F80">
        <w:rPr>
          <w:rFonts w:ascii="Times New Roman" w:hAnsi="Times New Roman" w:cs="Times New Roman"/>
          <w:kern w:val="0"/>
          <w14:ligatures w14:val="none"/>
        </w:rPr>
        <w:fldChar w:fldCharType="begin"/>
      </w:r>
      <w:r w:rsidR="00C72A16">
        <w:rPr>
          <w:rFonts w:ascii="Times New Roman" w:hAnsi="Times New Roman" w:cs="Times New Roman"/>
          <w:kern w:val="0"/>
          <w14:ligatures w14:val="none"/>
        </w:rPr>
        <w:instrText xml:space="preserve"> ADDIN ZOTERO_ITEM CSL_CITATION {"citationID":"bfzzqdvI","properties":{"formattedCitation":"[9\\uc0\\u8211{}11]","plainCitation":"[9–11]","noteIndex":0},"citationItems":[{"id":149,"uris":["http://zotero.org/users/17929675/items/S6QCXK6G"],"itemData":{"id":149,"type":"article-journal","abstract":"The mesoscopic perovskite solar cells (M-PSCs) were synthesized with MAPbI3 perovskite layers as light harvesters, which were grown with one-step and two-step solution process, respectively. A comparative study was performed through the quantitative correlation of resulting device performance and the crystalline quality of perovskite layers. Comparing with the one-step counterpart, a pronounced improvement in the steady-state power conversion efficiencies (PCEs) by 56.86% was achieved with two-step process, which was mainly resulted from the significant enhancement in fill factor (FF) from 48% to 77% without sacrificing the open circuit voltage (Voc) and short circuit current (Jsc). The enhanced FF was attributed to the reduced non-radiative recombination channels due to the better crystalline quality and larger grain size with the two-step processed perovskite layer. Moreover, the superiority of two-step over one-step process was demonstrated with rather good reproducibility.","container-title":"Chemical Physics Letters","DOI":"10.1016/j.cplett.2017.12.012","ISSN":"0009-2614","journalAbbreviation":"Chemical Physics Letters","page":"44-49","source":"ScienceDirect","title":"A comparative study of one-step and two-step approaches for MAPbI3 perovskite layer and its influence on the performance of mesoscopic perovskite solar cell","volume":"692","author":[{"family":"Wang","given":"Minhuan"},{"family":"Feng","given":"Yulin"},{"family":"Bian","given":"Jiming"},{"family":"Liu","given":"Hongzhu"},{"family":"Shi","given":"Yantao"}],"issued":{"date-parts":[["2018",1,16]]}}},{"id":170,"uris":["http://zotero.org/users/17929675/items/RTYSC4SQ"],"itemData":{"id":170,"type":"article-journal","abstract":"Sequential deposition has been extensively used for the fabrication of perovskite solar cells. Nevertheless, fundamental aspects of the kinetics of methylammonium lead iodide perovskite formation remain obscure. We scrutinize the individual stages of the reaction and investigate the crystallization of the lead iodide film, which occurs before the intercalation of methylammonium iodide commences. Our study identifies the presence of mixed crystalline aggregates composed of perovskite and lead iodide during intercalation and structural reorganization. Furthermore, Ostwald ripening occurs in the film for reaction times beyond the point of conversion to perovskite. Using cross-sectional confocal laser scanning microscopy for the first time, we reveal that lead iodide in the over-layer and at the bottom of the mesoporous layer converts first. We identify unreacted lead iodide trapped in the mesoporous layer for samples of complete conversion. We acquire kinetic data by varying different parameters and find that the Avrami models best represent them. The model facilitates the rapid estimation of the reaction time for complete conversion for a variety of reaction conditions, thereby ascertaining a major factor previously determined by extensive experimentation. This comprehensive picture of the sequential deposition is essential for control over the perovskite film quality, which determines solar cell efficiency. Our results provide key insights to realize high-quality perovskite films for optoelectronic applications.","container-title":"Science Advances","DOI":"10.1126/sciadv.1701402","issue":"2","page":"e1701402","publisher":"American Association for the Advancement of Science","source":"science.org (Atypon)","title":"Revealing the detailed path of sequential deposition for metal halide perovskite formation","volume":"4","author":[{"family":"Ummadisingu","given":"Amita"},{"family":"Grätzel","given":"Michael"}],"issued":{"date-parts":[["2018",2,2]]}}},{"id":172,"uris":["http://zotero.org/users/17929675/items/VTXMJA33"],"itemData":{"id":172,"type":"article-journal","abstract":"A method of producing perovskite-sensitized solar cells by sequential — as opposed to single-step — deposition of the perovskite’s components onto a nanoporous titanium oxide film allows for greater reproducibility of device performance and a record power conversion efficiency of 15 per cent.","container-title":"Nature","DOI":"10.1038/nature12340","ISSN":"1476-4687","issue":"7458","language":"en","license":"2013 Springer Nature Limited","page":"316-319","publisher":"Nature Publishing Group","source":"www.nature.com","title":"Sequential deposition as a route to high-performance perovskite-sensitized solar cells","volume":"499","author":[{"family":"Burschka","given":"Julian"},{"family":"Pellet","given":"Norman"},{"family":"Moon","given":"Soo-Jin"},{"family":"Humphry-Baker","given":"Robin"},{"family":"Gao","given":"Peng"},{"family":"Nazeeruddin","given":"Mohammad K."},{"family":"Grätzel","given":"Michael"}],"issued":{"date-parts":[["2013",7]]}}}],"schema":"https://github.com/citation-style-language/schema/raw/master/csl-citation.json"} </w:instrText>
      </w:r>
      <w:r w:rsidR="00102F80">
        <w:rPr>
          <w:rFonts w:ascii="Times New Roman" w:hAnsi="Times New Roman" w:cs="Times New Roman"/>
          <w:kern w:val="0"/>
          <w14:ligatures w14:val="none"/>
        </w:rPr>
        <w:fldChar w:fldCharType="separate"/>
      </w:r>
      <w:r w:rsidR="00C72A16" w:rsidRPr="00C72A16">
        <w:rPr>
          <w:rFonts w:ascii="Times New Roman" w:hAnsi="Times New Roman" w:cs="Times New Roman"/>
          <w:kern w:val="0"/>
        </w:rPr>
        <w:t>[9–11]</w:t>
      </w:r>
      <w:r w:rsidR="00102F80">
        <w:rPr>
          <w:rFonts w:ascii="Times New Roman" w:hAnsi="Times New Roman" w:cs="Times New Roman"/>
          <w:kern w:val="0"/>
          <w14:ligatures w14:val="none"/>
        </w:rPr>
        <w:fldChar w:fldCharType="end"/>
      </w:r>
    </w:p>
    <w:p w14:paraId="2C881FC0" w14:textId="0E1B3521" w:rsidR="00FA1F51" w:rsidRPr="00FA1F51" w:rsidRDefault="002E15F0" w:rsidP="00567C74">
      <w:pPr>
        <w:spacing w:before="100" w:beforeAutospacing="1" w:after="100" w:afterAutospacing="1" w:line="360" w:lineRule="auto"/>
        <w:jc w:val="both"/>
        <w:rPr>
          <w:rFonts w:ascii="Times New Roman" w:hAnsi="Times New Roman" w:cs="Times New Roman"/>
          <w:kern w:val="0"/>
          <w14:ligatures w14:val="none"/>
        </w:rPr>
      </w:pPr>
      <w:r w:rsidRPr="002E15F0">
        <w:rPr>
          <w:rFonts w:ascii="Times New Roman" w:hAnsi="Times New Roman" w:cs="Times New Roman"/>
          <w:kern w:val="0"/>
          <w14:ligatures w14:val="none"/>
        </w:rPr>
        <w:t xml:space="preserve">Generally, two step approaches can be classified into evaporation based and </w:t>
      </w:r>
      <w:r w:rsidR="00102F80" w:rsidRPr="002E15F0">
        <w:rPr>
          <w:rFonts w:ascii="Times New Roman" w:hAnsi="Times New Roman" w:cs="Times New Roman"/>
          <w:kern w:val="0"/>
          <w14:ligatures w14:val="none"/>
        </w:rPr>
        <w:t>solution</w:t>
      </w:r>
      <w:r w:rsidR="007B1058">
        <w:rPr>
          <w:rFonts w:ascii="Times New Roman" w:hAnsi="Times New Roman" w:cs="Times New Roman"/>
          <w:kern w:val="0"/>
          <w14:ligatures w14:val="none"/>
        </w:rPr>
        <w:t>-</w:t>
      </w:r>
      <w:r w:rsidR="00102F80" w:rsidRPr="002E15F0">
        <w:rPr>
          <w:rFonts w:ascii="Times New Roman" w:hAnsi="Times New Roman" w:cs="Times New Roman"/>
          <w:kern w:val="0"/>
          <w14:ligatures w14:val="none"/>
        </w:rPr>
        <w:t>based</w:t>
      </w:r>
      <w:r w:rsidRPr="002E15F0">
        <w:rPr>
          <w:rFonts w:ascii="Times New Roman" w:hAnsi="Times New Roman" w:cs="Times New Roman"/>
          <w:kern w:val="0"/>
          <w14:ligatures w14:val="none"/>
        </w:rPr>
        <w:t xml:space="preserve"> routes. Although evaporation based </w:t>
      </w:r>
      <w:r w:rsidR="007B04CA" w:rsidRPr="002E15F0">
        <w:rPr>
          <w:rFonts w:ascii="Times New Roman" w:hAnsi="Times New Roman" w:cs="Times New Roman"/>
          <w:kern w:val="0"/>
          <w14:ligatures w14:val="none"/>
        </w:rPr>
        <w:t>two</w:t>
      </w:r>
      <w:r w:rsidR="007B1058">
        <w:rPr>
          <w:rFonts w:ascii="Times New Roman" w:hAnsi="Times New Roman" w:cs="Times New Roman"/>
          <w:kern w:val="0"/>
          <w14:ligatures w14:val="none"/>
        </w:rPr>
        <w:t>-</w:t>
      </w:r>
      <w:r w:rsidR="007B04CA" w:rsidRPr="002E15F0">
        <w:rPr>
          <w:rFonts w:ascii="Times New Roman" w:hAnsi="Times New Roman" w:cs="Times New Roman"/>
          <w:kern w:val="0"/>
          <w14:ligatures w14:val="none"/>
        </w:rPr>
        <w:t>step</w:t>
      </w:r>
      <w:r w:rsidRPr="002E15F0">
        <w:rPr>
          <w:rFonts w:ascii="Times New Roman" w:hAnsi="Times New Roman" w:cs="Times New Roman"/>
          <w:kern w:val="0"/>
          <w14:ligatures w14:val="none"/>
        </w:rPr>
        <w:t xml:space="preserve"> deposition provides high uniformity, it typically relies on complex </w:t>
      </w:r>
      <w:r w:rsidR="00102F80" w:rsidRPr="002E15F0">
        <w:rPr>
          <w:rFonts w:ascii="Times New Roman" w:hAnsi="Times New Roman" w:cs="Times New Roman"/>
          <w:kern w:val="0"/>
          <w14:ligatures w14:val="none"/>
        </w:rPr>
        <w:t>multi</w:t>
      </w:r>
      <w:r w:rsidR="007B1058">
        <w:rPr>
          <w:rFonts w:ascii="Times New Roman" w:hAnsi="Times New Roman" w:cs="Times New Roman"/>
          <w:kern w:val="0"/>
          <w14:ligatures w14:val="none"/>
        </w:rPr>
        <w:t>-</w:t>
      </w:r>
      <w:r w:rsidR="00102F80" w:rsidRPr="002E15F0">
        <w:rPr>
          <w:rFonts w:ascii="Times New Roman" w:hAnsi="Times New Roman" w:cs="Times New Roman"/>
          <w:kern w:val="0"/>
          <w14:ligatures w14:val="none"/>
        </w:rPr>
        <w:t>source</w:t>
      </w:r>
      <w:r w:rsidRPr="002E15F0">
        <w:rPr>
          <w:rFonts w:ascii="Times New Roman" w:hAnsi="Times New Roman" w:cs="Times New Roman"/>
          <w:kern w:val="0"/>
          <w14:ligatures w14:val="none"/>
        </w:rPr>
        <w:t xml:space="preserve"> co evaporation control and high vacuum infrastructure, which increases processing cost and limits manufacturing flexibility.</w:t>
      </w:r>
      <w:r w:rsidR="00102F80" w:rsidRPr="00102F80">
        <w:rPr>
          <w:rFonts w:ascii="Times New Roman" w:hAnsi="Times New Roman" w:cs="Times New Roman"/>
          <w:kern w:val="0"/>
          <w14:ligatures w14:val="none"/>
        </w:rPr>
        <w:t xml:space="preserve"> </w:t>
      </w:r>
      <w:r w:rsidR="00102F80">
        <w:rPr>
          <w:rFonts w:ascii="Times New Roman" w:hAnsi="Times New Roman" w:cs="Times New Roman"/>
          <w:kern w:val="0"/>
          <w14:ligatures w14:val="none"/>
        </w:rPr>
        <w:fldChar w:fldCharType="begin"/>
      </w:r>
      <w:r w:rsidR="00C72A16">
        <w:rPr>
          <w:rFonts w:ascii="Times New Roman" w:hAnsi="Times New Roman" w:cs="Times New Roman"/>
          <w:kern w:val="0"/>
          <w14:ligatures w14:val="none"/>
        </w:rPr>
        <w:instrText xml:space="preserve"> ADDIN ZOTERO_ITEM CSL_CITATION {"citationID":"tjhP02cm","properties":{"formattedCitation":"[12]","plainCitation":"[12]","noteIndex":0},"citationItems":[{"id":61,"uris":["http://zotero.org/users/17929675/items/6FEHZI76"],"itemData":{"id":61,"type":"article-journal","DOI":"10.1039/D3EE03273F","language":"en","publisher":"Royal Society of Chemistry","source":"pubs.rsc.org","title":"Vapor phase deposition of perovskite photovoltaics: short track to commercialization?","title-short":"Vapor phase deposition of perovskite photovoltaics","URL":"https://pubs.rsc.org/en/content/articlehtml/2024/ee/d3ee03273f?utm_source=chatgpt.com","author":[{"family":"Abzieher","given":"Tobias"},{"family":"T. Moore","given":"David"},{"family":"Roß","given":"Marcel"},{"family":"Albrecht","given":"Steve"},{"family":"Silvia","given":"Jared"},{"family":"Tan","given":"Hairen"},{"family":"Jeangros","given":"Quentin"},{"family":"Ballif","given":"Christophe"},{"family":"T. Hoerantner","given":"Maximilian"},{"family":"Kim","given":"Beom-Soo"},{"family":"J. Bolink","given":"Henk"},{"family":"Pistor","given":"Paul"},{"family":"Christoph Goldschmidt","given":"Jan"},{"family":"Chiang","given":"Yu-Hsien"},{"family":"D. Stranks","given":"Samuel"},{"family":"Borchert","given":"Juliane"},{"family":"D. McGehee","given":"Michael"},{"family":"Morales-Masis","given":"Monica"},{"family":"B. Patel","given":"Jay"},{"family":"Bruno","given":"Annalisa"},{"family":"W. Paetzold","given":"Ulrich"}],"accessed":{"date-parts":[["2026",2,11]]},"issued":{"date-parts":[["2024",3,5]]}}}],"schema":"https://github.com/citation-style-language/schema/raw/master/csl-citation.json"} </w:instrText>
      </w:r>
      <w:r w:rsidR="00102F80">
        <w:rPr>
          <w:rFonts w:ascii="Times New Roman" w:hAnsi="Times New Roman" w:cs="Times New Roman"/>
          <w:kern w:val="0"/>
          <w14:ligatures w14:val="none"/>
        </w:rPr>
        <w:fldChar w:fldCharType="separate"/>
      </w:r>
      <w:r w:rsidR="00C72A16" w:rsidRPr="00C72A16">
        <w:rPr>
          <w:rFonts w:ascii="Times New Roman" w:hAnsi="Times New Roman" w:cs="Times New Roman"/>
        </w:rPr>
        <w:t>[12]</w:t>
      </w:r>
      <w:r w:rsidR="00102F80">
        <w:rPr>
          <w:rFonts w:ascii="Times New Roman" w:hAnsi="Times New Roman" w:cs="Times New Roman"/>
          <w:kern w:val="0"/>
          <w14:ligatures w14:val="none"/>
        </w:rPr>
        <w:fldChar w:fldCharType="end"/>
      </w:r>
      <w:r w:rsidRPr="002E15F0">
        <w:rPr>
          <w:rFonts w:ascii="Times New Roman" w:hAnsi="Times New Roman" w:cs="Times New Roman"/>
          <w:kern w:val="0"/>
          <w14:ligatures w14:val="none"/>
        </w:rPr>
        <w:t xml:space="preserve"> By contrast, fully solution processed two step methods are inherently more compatible with scalable and </w:t>
      </w:r>
      <w:r w:rsidR="00102F80" w:rsidRPr="002E15F0">
        <w:rPr>
          <w:rFonts w:ascii="Times New Roman" w:hAnsi="Times New Roman" w:cs="Times New Roman"/>
          <w:kern w:val="0"/>
          <w14:ligatures w14:val="none"/>
        </w:rPr>
        <w:t>low</w:t>
      </w:r>
      <w:r w:rsidR="007B1058">
        <w:rPr>
          <w:rFonts w:ascii="Times New Roman" w:hAnsi="Times New Roman" w:cs="Times New Roman"/>
          <w:kern w:val="0"/>
          <w14:ligatures w14:val="none"/>
        </w:rPr>
        <w:t>-</w:t>
      </w:r>
      <w:r w:rsidR="00102F80" w:rsidRPr="002E15F0">
        <w:rPr>
          <w:rFonts w:ascii="Times New Roman" w:hAnsi="Times New Roman" w:cs="Times New Roman"/>
          <w:kern w:val="0"/>
          <w14:ligatures w14:val="none"/>
        </w:rPr>
        <w:t>cost</w:t>
      </w:r>
      <w:r w:rsidRPr="002E15F0">
        <w:rPr>
          <w:rFonts w:ascii="Times New Roman" w:hAnsi="Times New Roman" w:cs="Times New Roman"/>
          <w:kern w:val="0"/>
          <w14:ligatures w14:val="none"/>
        </w:rPr>
        <w:t xml:space="preserve"> coating technologies, such as blade coating, slot die </w:t>
      </w:r>
      <w:r w:rsidR="00102F80" w:rsidRPr="002E15F0">
        <w:rPr>
          <w:rFonts w:ascii="Times New Roman" w:hAnsi="Times New Roman" w:cs="Times New Roman"/>
          <w:kern w:val="0"/>
          <w14:ligatures w14:val="none"/>
        </w:rPr>
        <w:t>coating and</w:t>
      </w:r>
      <w:r w:rsidRPr="002E15F0">
        <w:rPr>
          <w:rFonts w:ascii="Times New Roman" w:hAnsi="Times New Roman" w:cs="Times New Roman"/>
          <w:kern w:val="0"/>
          <w14:ligatures w14:val="none"/>
        </w:rPr>
        <w:t xml:space="preserve"> roll to roll manufacturing on industrially relevant substrates. Therefore, </w:t>
      </w:r>
      <w:r w:rsidR="00102F80" w:rsidRPr="002E15F0">
        <w:rPr>
          <w:rFonts w:ascii="Times New Roman" w:hAnsi="Times New Roman" w:cs="Times New Roman"/>
          <w:kern w:val="0"/>
          <w14:ligatures w14:val="none"/>
        </w:rPr>
        <w:t>solution</w:t>
      </w:r>
      <w:r w:rsidR="007B1058">
        <w:rPr>
          <w:rFonts w:ascii="Times New Roman" w:hAnsi="Times New Roman" w:cs="Times New Roman"/>
          <w:kern w:val="0"/>
          <w14:ligatures w14:val="none"/>
        </w:rPr>
        <w:t>-</w:t>
      </w:r>
      <w:r w:rsidR="00102F80" w:rsidRPr="002E15F0">
        <w:rPr>
          <w:rFonts w:ascii="Times New Roman" w:hAnsi="Times New Roman" w:cs="Times New Roman"/>
          <w:kern w:val="0"/>
          <w14:ligatures w14:val="none"/>
        </w:rPr>
        <w:t>based</w:t>
      </w:r>
      <w:r w:rsidRPr="002E15F0">
        <w:rPr>
          <w:rFonts w:ascii="Times New Roman" w:hAnsi="Times New Roman" w:cs="Times New Roman"/>
          <w:kern w:val="0"/>
          <w14:ligatures w14:val="none"/>
        </w:rPr>
        <w:t xml:space="preserve"> </w:t>
      </w:r>
      <w:r w:rsidR="00102F80" w:rsidRPr="002E15F0">
        <w:rPr>
          <w:rFonts w:ascii="Times New Roman" w:hAnsi="Times New Roman" w:cs="Times New Roman"/>
          <w:kern w:val="0"/>
          <w14:ligatures w14:val="none"/>
        </w:rPr>
        <w:t>two</w:t>
      </w:r>
      <w:r w:rsidR="007B1058">
        <w:rPr>
          <w:rFonts w:ascii="Times New Roman" w:hAnsi="Times New Roman" w:cs="Times New Roman"/>
          <w:kern w:val="0"/>
          <w14:ligatures w14:val="none"/>
        </w:rPr>
        <w:t>-</w:t>
      </w:r>
      <w:r w:rsidR="00102F80" w:rsidRPr="002E15F0">
        <w:rPr>
          <w:rFonts w:ascii="Times New Roman" w:hAnsi="Times New Roman" w:cs="Times New Roman"/>
          <w:kern w:val="0"/>
          <w14:ligatures w14:val="none"/>
        </w:rPr>
        <w:t>step</w:t>
      </w:r>
      <w:r w:rsidRPr="002E15F0">
        <w:rPr>
          <w:rFonts w:ascii="Times New Roman" w:hAnsi="Times New Roman" w:cs="Times New Roman"/>
          <w:kern w:val="0"/>
          <w14:ligatures w14:val="none"/>
        </w:rPr>
        <w:t xml:space="preserve"> deposition combines the advantages of controllable crystallization kinetics with practical scalability, making it a highly promising platform for fabricating WBG perovskite top cells for monolithic tandem solar modules.</w:t>
      </w:r>
    </w:p>
    <w:p w14:paraId="1C0C671C" w14:textId="474A1F6B" w:rsidR="005B0CB4" w:rsidRDefault="00410A2A" w:rsidP="005B0CB4">
      <w:pPr>
        <w:spacing w:before="100" w:beforeAutospacing="1" w:after="100" w:afterAutospacing="1" w:line="360" w:lineRule="auto"/>
        <w:jc w:val="both"/>
        <w:rPr>
          <w:rFonts w:ascii="Times New Roman" w:hAnsi="Times New Roman" w:cs="Times New Roman"/>
          <w:kern w:val="0"/>
          <w14:ligatures w14:val="none"/>
        </w:rPr>
      </w:pPr>
      <w:r w:rsidRPr="00410A2A">
        <w:rPr>
          <w:rFonts w:ascii="Times New Roman" w:hAnsi="Times New Roman" w:cs="Times New Roman"/>
          <w:kern w:val="0"/>
          <w14:ligatures w14:val="none"/>
        </w:rPr>
        <w:t>Nevertheless, despite this potential, its application in tandem devices still lags behind that of other fabrication routes. One major limitation is the inefficient and poorly controlled incorporation of bromide into the perovskite lattice, which is crucial for achieving the desired wide bandgap.</w:t>
      </w:r>
      <w:r w:rsidR="009242C8">
        <w:rPr>
          <w:rFonts w:ascii="Times New Roman" w:hAnsi="Times New Roman" w:cs="Times New Roman" w:hint="eastAsia"/>
          <w:kern w:val="0"/>
          <w14:ligatures w14:val="none"/>
        </w:rPr>
        <w:t xml:space="preserve"> </w:t>
      </w:r>
      <w:r w:rsidR="005B0CB4" w:rsidRPr="005B0CB4">
        <w:rPr>
          <w:rFonts w:ascii="Times New Roman" w:hAnsi="Times New Roman" w:cs="Times New Roman"/>
          <w:kern w:val="0"/>
          <w14:ligatures w14:val="none"/>
        </w:rPr>
        <w:t>Introducing bromide via PbBr</w:t>
      </w:r>
      <w:r w:rsidR="005B0CB4" w:rsidRPr="005B0CB4">
        <w:rPr>
          <w:rFonts w:ascii="Times New Roman" w:hAnsi="Times New Roman" w:cs="Times New Roman"/>
          <w:kern w:val="0"/>
          <w:vertAlign w:val="subscript"/>
          <w14:ligatures w14:val="none"/>
        </w:rPr>
        <w:t>2</w:t>
      </w:r>
      <w:r w:rsidR="005B0CB4" w:rsidRPr="005B0CB4">
        <w:rPr>
          <w:rFonts w:ascii="Times New Roman" w:hAnsi="Times New Roman" w:cs="Times New Roman"/>
          <w:kern w:val="0"/>
          <w14:ligatures w14:val="none"/>
        </w:rPr>
        <w:t xml:space="preserve"> in the first deposition step often promotes the formation of bulky, poorly reactive Pb</w:t>
      </w:r>
      <w:r w:rsidR="007B1058">
        <w:rPr>
          <w:rFonts w:ascii="Times New Roman" w:hAnsi="Times New Roman" w:cs="Times New Roman" w:hint="eastAsia"/>
          <w:kern w:val="0"/>
          <w14:ligatures w14:val="none"/>
        </w:rPr>
        <w:t>-</w:t>
      </w:r>
      <w:r w:rsidR="005B0CB4" w:rsidRPr="005B0CB4">
        <w:rPr>
          <w:rFonts w:ascii="Times New Roman" w:hAnsi="Times New Roman" w:cs="Times New Roman"/>
          <w:kern w:val="0"/>
          <w14:ligatures w14:val="none"/>
        </w:rPr>
        <w:t>Br</w:t>
      </w:r>
      <w:r w:rsidR="007B1058">
        <w:rPr>
          <w:rFonts w:ascii="Times New Roman" w:hAnsi="Times New Roman" w:cs="Times New Roman" w:hint="eastAsia"/>
          <w:kern w:val="0"/>
          <w14:ligatures w14:val="none"/>
        </w:rPr>
        <w:t>-</w:t>
      </w:r>
      <w:r w:rsidR="005B0CB4" w:rsidRPr="005B0CB4">
        <w:rPr>
          <w:rFonts w:ascii="Times New Roman" w:hAnsi="Times New Roman" w:cs="Times New Roman"/>
          <w:kern w:val="0"/>
          <w14:ligatures w14:val="none"/>
        </w:rPr>
        <w:t>rich crystallites, leading to incomplete conversion and substantial residual PbI</w:t>
      </w:r>
      <w:r w:rsidR="005B0CB4" w:rsidRPr="005B0CB4">
        <w:rPr>
          <w:rFonts w:ascii="Times New Roman" w:hAnsi="Times New Roman" w:cs="Times New Roman"/>
          <w:kern w:val="0"/>
          <w:vertAlign w:val="subscript"/>
          <w14:ligatures w14:val="none"/>
        </w:rPr>
        <w:t>2</w:t>
      </w:r>
      <w:r w:rsidR="005B0CB4" w:rsidRPr="005B0CB4">
        <w:rPr>
          <w:rFonts w:ascii="Times New Roman" w:hAnsi="Times New Roman" w:cs="Times New Roman"/>
          <w:kern w:val="0"/>
          <w14:ligatures w14:val="none"/>
        </w:rPr>
        <w:t xml:space="preserve"> after the second</w:t>
      </w:r>
      <w:r w:rsidR="007B1058">
        <w:rPr>
          <w:rFonts w:ascii="Times New Roman" w:hAnsi="Times New Roman" w:cs="Times New Roman"/>
          <w:kern w:val="0"/>
          <w14:ligatures w14:val="none"/>
        </w:rPr>
        <w:t>-</w:t>
      </w:r>
      <w:r w:rsidR="005B0CB4" w:rsidRPr="005B0CB4">
        <w:rPr>
          <w:rFonts w:ascii="Times New Roman" w:hAnsi="Times New Roman" w:cs="Times New Roman"/>
          <w:kern w:val="0"/>
          <w14:ligatures w14:val="none"/>
        </w:rPr>
        <w:t>step reaction</w:t>
      </w:r>
      <w:r w:rsidR="005B0CB4" w:rsidRPr="00881899">
        <w:rPr>
          <w:rFonts w:ascii="Times New Roman" w:eastAsia="Times New Roman" w:hAnsi="Times New Roman" w:cs="Times New Roman"/>
          <w:kern w:val="0"/>
          <w14:ligatures w14:val="none"/>
        </w:rPr>
        <w:fldChar w:fldCharType="begin"/>
      </w:r>
      <w:r w:rsidR="00C72A16">
        <w:rPr>
          <w:rFonts w:ascii="Times New Roman" w:eastAsia="Times New Roman" w:hAnsi="Times New Roman" w:cs="Times New Roman"/>
          <w:kern w:val="0"/>
          <w14:ligatures w14:val="none"/>
        </w:rPr>
        <w:instrText xml:space="preserve"> ADDIN ZOTERO_ITEM CSL_CITATION {"citationID":"9DyOTt0B","properties":{"formattedCitation":"[13\\uc0\\u8211{}15]","plainCitation":"[13–15]","noteIndex":0},"citationItems":[{"id":12,"uris":["http://zotero.org/users/17929675/items/W8BMTA4I"],"itemData":{"id":12,"type":"webpage","title":"Inorganic–organic hybrid materials based on PbBr2 and pyridine–hydrazone blocks – structural and theoretical study - RSC Advances (RSC Publishing)","URL":"https://pubs.rsc.org/en/content/articlelanding/2016/ra/c6ra13462a","accessed":{"date-parts":[["2025",9,5]]}}},{"id":14,"uris":["http://zotero.org/users/17929675/items/4MPEKUWF"],"itemData":{"id":14,"type":"article-journal","abstract":"For the first time, we have synthesized APbBr3 (A = Cs+/MA+/FA+, where MA+ = CH3NH3+ and FA+ = CH(NH2)2+) bulk as well as nanoparticles (NPs) by solid-state reactions at room temperature. This facile strategy yields different shape structures e.g. square and rectangular (CsPbBr3), spherical (MAPbBr3) and parallelogram (FAPbBr3) NPs.","container-title":"Chemical Communications","DOI":"10.1039/C7CC00666G","ISSN":"1364-548X","issue":"21","journalAbbreviation":"Chem. Commun.","language":"en","page":"3046-3049","publisher":"The Royal Society of Chemistry","source":"pubs.rsc.org","title":"Solvent-free, mechanochemical syntheses of bulk trihalide perovskites and their nanoparticles","volume":"53","author":[{"family":"Jana","given":"Atanu"},{"family":"Mittal","given":"Mona"},{"family":"Singla","given":"Aayushi"},{"family":"Sapra","given":"Sameer"}],"issued":{"date-parts":[["2017",3,9]]}}},{"id":17,"uris":["http://zotero.org/users/17929675/items/YUAA3LPS"],"itemData":{"id":17,"type":"article-journal","abstract":"The performance of perovskite solar cells (PSCs) relies on the synthesis method and chemical composition of the perovskite materials. So far, PSCs that have adopted two-step sequential deposited perovskite with the state-of-art composition (FAPbI3)1−x(MAPbBr3)x (x &lt; 0.05) have achieved record power conversion efficiency (PCE), while their one-step antisolvent dripping counterparts with typical composition Cs0.05FA0.81MA0.14Pb(I0.85Br0.15)3 with more bromine have exhibited much better long-term operational stability. Thus, halogen engineering that aims to elevate bromine content in sequential deposited perovskite film would push operational stability of PSCs toward that of antisolvent dripping deposited perovskite materials. Here, a Br-rich seeding growth method is devised and perovskite seed solution with high bromine content is introduced into a PbI2 precursor, leading to bromine incorporation in the resulting perovskite film. Photovoltaic devices fabricated by Br-rich seeding growth method exhibit a PCE of 21.5%, similar to 21.6% for PSCs having lower bromine content. Whereas, the operational stability of PSCs with higher bromine content is significantly enhanced, with over 80% of initial PCE retained after 500 h tracking at maximum power point under 1-sun illumination. This work highlights the vital importance of halogen composition for the operational stability of PSCs, and introduces an effective way to incorporate bromine into mixed-cation-halide perovskite film via sequential deposition method.","container-title":"Advanced Energy Materials","DOI":"10.1002/aenm.201902239","ISSN":"1614-6840","issue":"46","language":"en","note":"_eprint: https://advanced.onlinelibrary.wiley.com/doi/pdf/10.1002/aenm.201902239","page":"1902239","source":"Wiley Online Library","title":"Halogen Engineering for Operationally Stable Perovskite Solar Cells via Sequential Deposition","volume":"9","author":[{"family":"Li","given":"Qi"},{"family":"Zhao","given":"Yao"},{"family":"Zhou","given":"Wenke"},{"family":"Han","given":"Zhengyuan"},{"family":"Fu","given":"Rui"},{"family":"Lin","given":"Fang"},{"family":"Yu","given":"Dapeng"},{"family":"Zhao","given":"Qing"}],"issued":{"date-parts":[["2019"]]}}}],"schema":"https://github.com/citation-style-language/schema/raw/master/csl-citation.json"} </w:instrText>
      </w:r>
      <w:r w:rsidR="005B0CB4" w:rsidRPr="00881899">
        <w:rPr>
          <w:rFonts w:ascii="Times New Roman" w:eastAsia="Times New Roman" w:hAnsi="Times New Roman" w:cs="Times New Roman"/>
          <w:kern w:val="0"/>
          <w14:ligatures w14:val="none"/>
        </w:rPr>
        <w:fldChar w:fldCharType="separate"/>
      </w:r>
      <w:r w:rsidR="00C72A16" w:rsidRPr="00C72A16">
        <w:rPr>
          <w:rFonts w:ascii="Times New Roman" w:hAnsi="Times New Roman" w:cs="Times New Roman"/>
          <w:kern w:val="0"/>
        </w:rPr>
        <w:t>[13–15]</w:t>
      </w:r>
      <w:r w:rsidR="005B0CB4" w:rsidRPr="00881899">
        <w:rPr>
          <w:rFonts w:ascii="Times New Roman" w:eastAsia="Times New Roman" w:hAnsi="Times New Roman" w:cs="Times New Roman"/>
          <w:kern w:val="0"/>
          <w14:ligatures w14:val="none"/>
        </w:rPr>
        <w:fldChar w:fldCharType="end"/>
      </w:r>
      <w:r w:rsidR="005B0CB4" w:rsidRPr="005B0CB4">
        <w:rPr>
          <w:rFonts w:ascii="Times New Roman" w:hAnsi="Times New Roman" w:cs="Times New Roman"/>
          <w:kern w:val="0"/>
          <w14:ligatures w14:val="none"/>
        </w:rPr>
        <w:t>. Alternatively, supplying Br</w:t>
      </w:r>
      <w:r w:rsidR="005B0CB4" w:rsidRPr="005B0CB4">
        <w:rPr>
          <w:rFonts w:ascii="Times New Roman" w:hAnsi="Times New Roman" w:cs="Times New Roman"/>
          <w:kern w:val="0"/>
          <w:vertAlign w:val="superscript"/>
          <w14:ligatures w14:val="none"/>
        </w:rPr>
        <w:t>⁻</w:t>
      </w:r>
      <w:r w:rsidR="005B0CB4">
        <w:rPr>
          <w:rFonts w:ascii="Times New Roman" w:hAnsi="Times New Roman" w:cs="Times New Roman" w:hint="eastAsia"/>
          <w:kern w:val="0"/>
          <w:vertAlign w:val="superscript"/>
          <w14:ligatures w14:val="none"/>
        </w:rPr>
        <w:t xml:space="preserve"> </w:t>
      </w:r>
      <w:r w:rsidR="005B0CB4" w:rsidRPr="005B0CB4">
        <w:rPr>
          <w:rFonts w:ascii="Times New Roman" w:hAnsi="Times New Roman" w:cs="Times New Roman"/>
          <w:kern w:val="0"/>
          <w14:ligatures w14:val="none"/>
        </w:rPr>
        <w:t>predominantly through the second</w:t>
      </w:r>
      <w:r w:rsidR="007B1058">
        <w:rPr>
          <w:rFonts w:ascii="Times New Roman" w:hAnsi="Times New Roman" w:cs="Times New Roman"/>
          <w:kern w:val="0"/>
          <w14:ligatures w14:val="none"/>
        </w:rPr>
        <w:t>-</w:t>
      </w:r>
      <w:r w:rsidR="005B0CB4" w:rsidRPr="005B0CB4">
        <w:rPr>
          <w:rFonts w:ascii="Times New Roman" w:hAnsi="Times New Roman" w:cs="Times New Roman"/>
          <w:kern w:val="0"/>
          <w14:ligatures w14:val="none"/>
        </w:rPr>
        <w:t>step organic salts, such as formamidinium bromide or methylammonium bromide, is kinetically constrained by the slow diffusion and exchange of Br</w:t>
      </w:r>
      <w:r w:rsidR="005B0CB4" w:rsidRPr="005B0CB4">
        <w:rPr>
          <w:rFonts w:ascii="Times New Roman" w:hAnsi="Times New Roman" w:cs="Times New Roman"/>
          <w:kern w:val="0"/>
          <w:vertAlign w:val="superscript"/>
          <w14:ligatures w14:val="none"/>
        </w:rPr>
        <w:t xml:space="preserve">⁻ </w:t>
      </w:r>
      <w:r w:rsidR="005B0CB4" w:rsidRPr="005B0CB4">
        <w:rPr>
          <w:rFonts w:ascii="Times New Roman" w:hAnsi="Times New Roman" w:cs="Times New Roman"/>
          <w:kern w:val="0"/>
          <w14:ligatures w14:val="none"/>
        </w:rPr>
        <w:t>through dense PbI</w:t>
      </w:r>
      <w:r w:rsidR="005B0CB4" w:rsidRPr="005B0CB4">
        <w:rPr>
          <w:rFonts w:ascii="Times New Roman" w:hAnsi="Times New Roman" w:cs="Times New Roman"/>
          <w:kern w:val="0"/>
          <w:vertAlign w:val="subscript"/>
          <w14:ligatures w14:val="none"/>
        </w:rPr>
        <w:t>2</w:t>
      </w:r>
      <w:r w:rsidR="005B0CB4" w:rsidRPr="005B0CB4">
        <w:rPr>
          <w:rFonts w:ascii="Times New Roman" w:hAnsi="Times New Roman" w:cs="Times New Roman"/>
          <w:kern w:val="0"/>
          <w14:ligatures w14:val="none"/>
        </w:rPr>
        <w:t xml:space="preserve"> or PbC</w:t>
      </w:r>
      <w:r w:rsidR="005B0CB4">
        <w:rPr>
          <w:rFonts w:ascii="Times New Roman" w:hAnsi="Times New Roman" w:cs="Times New Roman" w:hint="eastAsia"/>
          <w:kern w:val="0"/>
          <w14:ligatures w14:val="none"/>
        </w:rPr>
        <w:t>l</w:t>
      </w:r>
      <w:r w:rsidR="005B0CB4" w:rsidRPr="005B0CB4">
        <w:rPr>
          <w:rFonts w:ascii="Times New Roman" w:hAnsi="Times New Roman" w:cs="Times New Roman" w:hint="eastAsia"/>
          <w:kern w:val="0"/>
          <w:vertAlign w:val="subscript"/>
          <w14:ligatures w14:val="none"/>
        </w:rPr>
        <w:t>2</w:t>
      </w:r>
      <w:r w:rsidR="007B1058">
        <w:rPr>
          <w:rFonts w:ascii="Times New Roman" w:hAnsi="Times New Roman" w:cs="Times New Roman" w:hint="eastAsia"/>
          <w:kern w:val="0"/>
          <w14:ligatures w14:val="none"/>
        </w:rPr>
        <w:t>-</w:t>
      </w:r>
      <w:r w:rsidR="005B0CB4" w:rsidRPr="005B0CB4">
        <w:rPr>
          <w:rFonts w:ascii="Times New Roman" w:hAnsi="Times New Roman" w:cs="Times New Roman"/>
          <w:kern w:val="0"/>
          <w14:ligatures w14:val="none"/>
        </w:rPr>
        <w:t xml:space="preserve">derived </w:t>
      </w:r>
      <w:r w:rsidR="00F83090" w:rsidRPr="005B0CB4">
        <w:rPr>
          <w:rFonts w:ascii="Times New Roman" w:hAnsi="Times New Roman" w:cs="Times New Roman"/>
          <w:kern w:val="0"/>
          <w14:ligatures w14:val="none"/>
        </w:rPr>
        <w:t>matrices</w:t>
      </w:r>
      <w:r w:rsidR="00F83090" w:rsidRPr="00717D10">
        <w:rPr>
          <w:rFonts w:ascii="Times New Roman" w:hAnsi="Times New Roman" w:cs="Times New Roman"/>
          <w:kern w:val="0"/>
        </w:rPr>
        <w:t xml:space="preserve"> [</w:t>
      </w:r>
      <w:r w:rsidR="00717D10" w:rsidRPr="00717D10">
        <w:rPr>
          <w:rFonts w:ascii="Times New Roman" w:hAnsi="Times New Roman" w:cs="Times New Roman"/>
          <w:kern w:val="0"/>
        </w:rPr>
        <w:t>17</w:t>
      </w:r>
      <w:r w:rsidR="002C0B0C">
        <w:rPr>
          <w:rFonts w:ascii="Times New Roman" w:hAnsi="Times New Roman" w:cs="Times New Roman"/>
          <w:kern w:val="0"/>
        </w:rPr>
        <w:t>-</w:t>
      </w:r>
      <w:r w:rsidR="00717D10" w:rsidRPr="00717D10">
        <w:rPr>
          <w:rFonts w:ascii="Times New Roman" w:hAnsi="Times New Roman" w:cs="Times New Roman"/>
          <w:kern w:val="0"/>
        </w:rPr>
        <w:t>19]</w:t>
      </w:r>
      <w:r w:rsidR="005B0CB4" w:rsidRPr="005B0CB4">
        <w:rPr>
          <w:rFonts w:ascii="Times New Roman" w:hAnsi="Times New Roman" w:cs="Times New Roman"/>
          <w:kern w:val="0"/>
          <w14:ligatures w14:val="none"/>
        </w:rPr>
        <w:t>. As a consequence, films typically suffer from incomplete conversion, vertical halide inhomogeneity and elevated trap densities</w:t>
      </w:r>
      <w:r w:rsidR="000E7E65">
        <w:rPr>
          <w:rFonts w:ascii="Times New Roman" w:hAnsi="Times New Roman" w:cs="Times New Roman" w:hint="eastAsia"/>
          <w:kern w:val="0"/>
          <w14:ligatures w14:val="none"/>
        </w:rPr>
        <w:t>,</w:t>
      </w:r>
      <w:r w:rsidR="005B0CB4" w:rsidRPr="005B0CB4">
        <w:rPr>
          <w:rFonts w:ascii="Times New Roman" w:hAnsi="Times New Roman" w:cs="Times New Roman"/>
          <w:kern w:val="0"/>
          <w14:ligatures w14:val="none"/>
        </w:rPr>
        <w:t xml:space="preserve"> which in turn exacerbate light</w:t>
      </w:r>
      <w:r w:rsidR="007B1058">
        <w:rPr>
          <w:rFonts w:ascii="Times New Roman" w:hAnsi="Times New Roman" w:cs="Times New Roman"/>
          <w:kern w:val="0"/>
          <w14:ligatures w14:val="none"/>
        </w:rPr>
        <w:t>-</w:t>
      </w:r>
      <w:r w:rsidR="005B0CB4" w:rsidRPr="005B0CB4">
        <w:rPr>
          <w:rFonts w:ascii="Times New Roman" w:hAnsi="Times New Roman" w:cs="Times New Roman"/>
          <w:kern w:val="0"/>
          <w14:ligatures w14:val="none"/>
        </w:rPr>
        <w:t xml:space="preserve">induced Br/I demixing and accelerate performance degradation. </w:t>
      </w:r>
    </w:p>
    <w:p w14:paraId="7922AAF3" w14:textId="77777777" w:rsidR="003A794B" w:rsidRDefault="003A794B" w:rsidP="00B13F33">
      <w:pPr>
        <w:spacing w:before="100" w:beforeAutospacing="1" w:after="100" w:afterAutospacing="1" w:line="360" w:lineRule="auto"/>
        <w:jc w:val="both"/>
        <w:rPr>
          <w:rFonts w:ascii="Times New Roman" w:hAnsi="Times New Roman" w:cs="Times New Roman"/>
          <w:kern w:val="0"/>
          <w14:ligatures w14:val="none"/>
        </w:rPr>
      </w:pPr>
    </w:p>
    <w:p w14:paraId="26DAC6A7" w14:textId="77777777" w:rsidR="003A794B" w:rsidRDefault="003A794B" w:rsidP="00B13F33">
      <w:pPr>
        <w:spacing w:before="100" w:beforeAutospacing="1" w:after="100" w:afterAutospacing="1" w:line="360" w:lineRule="auto"/>
        <w:jc w:val="both"/>
        <w:rPr>
          <w:rFonts w:ascii="Times New Roman" w:hAnsi="Times New Roman" w:cs="Times New Roman"/>
          <w:kern w:val="0"/>
          <w14:ligatures w14:val="none"/>
        </w:rPr>
      </w:pPr>
    </w:p>
    <w:p w14:paraId="545BA253" w14:textId="14A84759" w:rsidR="003A794B" w:rsidRPr="00E4421E" w:rsidRDefault="00E4421E" w:rsidP="00B13F33">
      <w:pPr>
        <w:spacing w:before="100" w:beforeAutospacing="1" w:after="100" w:afterAutospacing="1" w:line="360" w:lineRule="auto"/>
        <w:jc w:val="both"/>
        <w:rPr>
          <w:rFonts w:ascii="Times New Roman" w:hAnsi="Times New Roman" w:cs="Times New Roman"/>
          <w:b/>
          <w:bCs/>
          <w:kern w:val="0"/>
          <w14:ligatures w14:val="none"/>
        </w:rPr>
      </w:pPr>
      <w:r w:rsidRPr="00E4421E">
        <w:rPr>
          <w:rFonts w:ascii="Times New Roman" w:hAnsi="Times New Roman" w:cs="Times New Roman" w:hint="eastAsia"/>
          <w:b/>
          <w:bCs/>
          <w:kern w:val="0"/>
          <w14:ligatures w14:val="none"/>
        </w:rPr>
        <w:t>Analysis</w:t>
      </w:r>
    </w:p>
    <w:p w14:paraId="754BB2DD" w14:textId="77777777" w:rsidR="003A794B" w:rsidRDefault="003A794B" w:rsidP="00B13F33">
      <w:pPr>
        <w:spacing w:before="100" w:beforeAutospacing="1" w:after="100" w:afterAutospacing="1" w:line="360" w:lineRule="auto"/>
        <w:jc w:val="both"/>
        <w:rPr>
          <w:rFonts w:ascii="Times New Roman" w:hAnsi="Times New Roman" w:cs="Times New Roman"/>
          <w:kern w:val="0"/>
          <w14:ligatures w14:val="none"/>
        </w:rPr>
      </w:pPr>
    </w:p>
    <w:p w14:paraId="1A93A4D7" w14:textId="1B44E552" w:rsidR="007D1D0F" w:rsidRPr="007D1D0F" w:rsidRDefault="002227C6" w:rsidP="007D1D0F">
      <w:pPr>
        <w:spacing w:line="360" w:lineRule="auto"/>
        <w:jc w:val="both"/>
        <w:rPr>
          <w:rFonts w:ascii="Times New Roman" w:hAnsi="Times New Roman" w:cs="Times New Roman"/>
        </w:rPr>
      </w:pPr>
      <w:r w:rsidRPr="002227C6">
        <w:rPr>
          <w:rFonts w:ascii="Times New Roman" w:hAnsi="Times New Roman" w:cs="Times New Roman"/>
        </w:rPr>
        <w:t>Direct comparison with the GIWAXS patterns of the first</w:t>
      </w:r>
      <w:r w:rsidR="007B1058">
        <w:rPr>
          <w:rFonts w:ascii="Times New Roman" w:hAnsi="Times New Roman" w:cs="Times New Roman"/>
        </w:rPr>
        <w:t>-</w:t>
      </w:r>
      <w:r w:rsidRPr="002227C6">
        <w:rPr>
          <w:rFonts w:ascii="Times New Roman" w:hAnsi="Times New Roman" w:cs="Times New Roman"/>
        </w:rPr>
        <w:t>step Pb</w:t>
      </w:r>
      <w:r w:rsidR="002C0B0C">
        <w:rPr>
          <w:rFonts w:ascii="Times New Roman" w:hAnsi="Times New Roman" w:cs="Times New Roman"/>
        </w:rPr>
        <w:t>-</w:t>
      </w:r>
      <w:r w:rsidRPr="002227C6">
        <w:rPr>
          <w:rFonts w:ascii="Times New Roman" w:hAnsi="Times New Roman" w:cs="Times New Roman"/>
        </w:rPr>
        <w:t xml:space="preserve">halide layers (Fig. 1m,n) </w:t>
      </w:r>
      <w:r w:rsidR="00A83BDB" w:rsidRPr="002227C6">
        <w:rPr>
          <w:rFonts w:ascii="Times New Roman" w:hAnsi="Times New Roman" w:cs="Times New Roman"/>
        </w:rPr>
        <w:t>elucidate</w:t>
      </w:r>
      <w:r w:rsidRPr="002227C6">
        <w:rPr>
          <w:rFonts w:ascii="Times New Roman" w:hAnsi="Times New Roman" w:cs="Times New Roman"/>
        </w:rPr>
        <w:t xml:space="preserve"> the CsBr</w:t>
      </w:r>
      <w:r w:rsidR="007B1058">
        <w:rPr>
          <w:rFonts w:ascii="Times New Roman" w:hAnsi="Times New Roman" w:cs="Times New Roman"/>
        </w:rPr>
        <w:t>-</w:t>
      </w:r>
      <w:r w:rsidRPr="002227C6">
        <w:rPr>
          <w:rFonts w:ascii="Times New Roman" w:hAnsi="Times New Roman" w:cs="Times New Roman"/>
        </w:rPr>
        <w:t>driven phase evolution throughout the conversion process.</w:t>
      </w:r>
      <w:r w:rsidR="007173BA">
        <w:rPr>
          <w:rFonts w:ascii="Times New Roman" w:hAnsi="Times New Roman" w:cs="Times New Roman" w:hint="eastAsia"/>
        </w:rPr>
        <w:t xml:space="preserve"> </w:t>
      </w:r>
      <w:r w:rsidR="007D1D0F" w:rsidRPr="007D1D0F">
        <w:rPr>
          <w:rFonts w:ascii="Times New Roman" w:hAnsi="Times New Roman" w:cs="Times New Roman"/>
        </w:rPr>
        <w:t xml:space="preserve">In the </w:t>
      </w:r>
      <w:r w:rsidR="00C96205">
        <w:rPr>
          <w:rFonts w:ascii="Times New Roman" w:hAnsi="Times New Roman" w:cs="Times New Roman" w:hint="eastAsia"/>
        </w:rPr>
        <w:t>first step</w:t>
      </w:r>
      <w:r w:rsidR="007D1D0F" w:rsidRPr="007D1D0F">
        <w:rPr>
          <w:rFonts w:ascii="Times New Roman" w:hAnsi="Times New Roman" w:cs="Times New Roman"/>
        </w:rPr>
        <w:t xml:space="preserve"> films, additional reflections corresponding to </w:t>
      </w:r>
      <w:r w:rsidR="00CF1485">
        <w:rPr>
          <w:rFonts w:ascii="Times New Roman" w:hAnsi="Times New Roman" w:cs="Times New Roman" w:hint="eastAsia"/>
        </w:rPr>
        <w:t>CsPb</w:t>
      </w:r>
      <w:r w:rsidR="00CF1485" w:rsidRPr="009D2647">
        <w:rPr>
          <w:rFonts w:ascii="Times New Roman" w:hAnsi="Times New Roman" w:cs="Times New Roman" w:hint="eastAsia"/>
          <w:vertAlign w:val="subscript"/>
        </w:rPr>
        <w:t>2</w:t>
      </w:r>
      <w:r w:rsidR="00CF1485">
        <w:rPr>
          <w:rFonts w:ascii="Times New Roman" w:hAnsi="Times New Roman" w:cs="Times New Roman" w:hint="eastAsia"/>
        </w:rPr>
        <w:t>Br</w:t>
      </w:r>
      <w:r w:rsidR="00CF1485" w:rsidRPr="009D2647">
        <w:rPr>
          <w:rFonts w:ascii="Times New Roman" w:hAnsi="Times New Roman" w:cs="Times New Roman" w:hint="eastAsia"/>
          <w:vertAlign w:val="subscript"/>
        </w:rPr>
        <w:t>5</w:t>
      </w:r>
      <w:r w:rsidR="007D1D0F" w:rsidRPr="007D1D0F">
        <w:rPr>
          <w:rFonts w:ascii="Times New Roman" w:hAnsi="Times New Roman" w:cs="Times New Roman"/>
        </w:rPr>
        <w:t xml:space="preserve"> are observed, consistent with the formation of a Pb</w:t>
      </w:r>
      <w:r w:rsidR="007B1058">
        <w:rPr>
          <w:rFonts w:ascii="Times New Roman" w:hAnsi="Times New Roman" w:cs="Times New Roman" w:hint="eastAsia"/>
        </w:rPr>
        <w:t>-</w:t>
      </w:r>
      <w:r w:rsidR="007D1D0F" w:rsidRPr="007D1D0F">
        <w:rPr>
          <w:rFonts w:ascii="Times New Roman" w:hAnsi="Times New Roman" w:cs="Times New Roman"/>
        </w:rPr>
        <w:t>rich Cs</w:t>
      </w:r>
      <w:r w:rsidR="007B1058">
        <w:rPr>
          <w:rFonts w:ascii="Times New Roman" w:hAnsi="Times New Roman" w:cs="Times New Roman" w:hint="eastAsia"/>
        </w:rPr>
        <w:t>-</w:t>
      </w:r>
      <w:r w:rsidR="007D1D0F" w:rsidRPr="007D1D0F">
        <w:rPr>
          <w:rFonts w:ascii="Times New Roman" w:hAnsi="Times New Roman" w:cs="Times New Roman"/>
        </w:rPr>
        <w:t>Pb</w:t>
      </w:r>
      <w:r w:rsidR="007B1058">
        <w:rPr>
          <w:rFonts w:ascii="Times New Roman" w:hAnsi="Times New Roman" w:cs="Times New Roman" w:hint="eastAsia"/>
        </w:rPr>
        <w:t>-</w:t>
      </w:r>
      <w:r w:rsidR="007D1D0F" w:rsidRPr="007D1D0F">
        <w:rPr>
          <w:rFonts w:ascii="Times New Roman" w:hAnsi="Times New Roman" w:cs="Times New Roman"/>
        </w:rPr>
        <w:t xml:space="preserve">Br intermediate embedded within a </w:t>
      </w:r>
      <w:r w:rsidR="00722612">
        <w:rPr>
          <w:rFonts w:ascii="Times New Roman" w:hAnsi="Times New Roman" w:cs="Times New Roman" w:hint="eastAsia"/>
          <w:kern w:val="0"/>
          <w14:ligatures w14:val="none"/>
        </w:rPr>
        <w:t>PbI</w:t>
      </w:r>
      <w:r w:rsidR="00722612" w:rsidRPr="00813DAB">
        <w:rPr>
          <w:rFonts w:ascii="Times New Roman" w:hAnsi="Times New Roman" w:cs="Times New Roman" w:hint="eastAsia"/>
          <w:kern w:val="0"/>
          <w:vertAlign w:val="subscript"/>
          <w14:ligatures w14:val="none"/>
        </w:rPr>
        <w:t>2</w:t>
      </w:r>
      <w:r w:rsidR="007B1058">
        <w:rPr>
          <w:rFonts w:ascii="Times New Roman" w:hAnsi="Times New Roman" w:cs="Times New Roman" w:hint="eastAsia"/>
        </w:rPr>
        <w:t>-</w:t>
      </w:r>
      <w:r w:rsidR="007D1D0F" w:rsidRPr="007D1D0F">
        <w:rPr>
          <w:rFonts w:ascii="Times New Roman" w:hAnsi="Times New Roman" w:cs="Times New Roman"/>
        </w:rPr>
        <w:t>dominated scaffold. After the second</w:t>
      </w:r>
      <w:r w:rsidR="007B1058">
        <w:rPr>
          <w:rFonts w:ascii="Times New Roman" w:hAnsi="Times New Roman" w:cs="Times New Roman"/>
        </w:rPr>
        <w:t>-</w:t>
      </w:r>
      <w:r w:rsidR="007D1D0F" w:rsidRPr="007D1D0F">
        <w:rPr>
          <w:rFonts w:ascii="Times New Roman" w:hAnsi="Times New Roman" w:cs="Times New Roman"/>
        </w:rPr>
        <w:t xml:space="preserve">step conversion, nearly all </w:t>
      </w:r>
      <w:r w:rsidR="00722612">
        <w:rPr>
          <w:rFonts w:ascii="Times New Roman" w:hAnsi="Times New Roman" w:cs="Times New Roman" w:hint="eastAsia"/>
          <w:kern w:val="0"/>
          <w14:ligatures w14:val="none"/>
        </w:rPr>
        <w:t>PbI</w:t>
      </w:r>
      <w:r w:rsidR="00722612" w:rsidRPr="00813DAB">
        <w:rPr>
          <w:rFonts w:ascii="Times New Roman" w:hAnsi="Times New Roman" w:cs="Times New Roman" w:hint="eastAsia"/>
          <w:kern w:val="0"/>
          <w:vertAlign w:val="subscript"/>
          <w14:ligatures w14:val="none"/>
        </w:rPr>
        <w:t>2</w:t>
      </w:r>
      <w:r w:rsidR="007D1D0F" w:rsidRPr="007D1D0F">
        <w:rPr>
          <w:rFonts w:ascii="Times New Roman" w:hAnsi="Times New Roman" w:cs="Times New Roman"/>
        </w:rPr>
        <w:t xml:space="preserve"> is consumed to construct the 3D perovskite framework, while the local chemical environment at grain boundaries becomes relatively Cs</w:t>
      </w:r>
      <w:r w:rsidR="007B1058">
        <w:rPr>
          <w:rFonts w:ascii="Times New Roman" w:hAnsi="Times New Roman" w:cs="Times New Roman"/>
        </w:rPr>
        <w:t>-</w:t>
      </w:r>
      <w:r w:rsidR="007D1D0F" w:rsidRPr="007D1D0F">
        <w:rPr>
          <w:rFonts w:ascii="Times New Roman" w:hAnsi="Times New Roman" w:cs="Times New Roman"/>
        </w:rPr>
        <w:t>rich rather than Pb</w:t>
      </w:r>
      <w:r w:rsidR="007B1058">
        <w:rPr>
          <w:rFonts w:ascii="Times New Roman" w:hAnsi="Times New Roman" w:cs="Times New Roman"/>
        </w:rPr>
        <w:t>-</w:t>
      </w:r>
      <w:r w:rsidR="007D1D0F" w:rsidRPr="007D1D0F">
        <w:rPr>
          <w:rFonts w:ascii="Times New Roman" w:hAnsi="Times New Roman" w:cs="Times New Roman"/>
        </w:rPr>
        <w:t>rich. Under these conditions, the thermodynamically favored Cs</w:t>
      </w:r>
      <w:r w:rsidR="007B1058">
        <w:rPr>
          <w:rFonts w:ascii="Times New Roman" w:hAnsi="Times New Roman" w:cs="Times New Roman" w:hint="eastAsia"/>
        </w:rPr>
        <w:t>-</w:t>
      </w:r>
      <w:r w:rsidR="007D1D0F" w:rsidRPr="007D1D0F">
        <w:rPr>
          <w:rFonts w:ascii="Times New Roman" w:hAnsi="Times New Roman" w:cs="Times New Roman"/>
        </w:rPr>
        <w:t>Pb</w:t>
      </w:r>
      <w:r w:rsidR="007B1058">
        <w:rPr>
          <w:rFonts w:ascii="Times New Roman" w:hAnsi="Times New Roman" w:cs="Times New Roman" w:hint="eastAsia"/>
        </w:rPr>
        <w:t>-</w:t>
      </w:r>
      <w:r w:rsidR="007D1D0F" w:rsidRPr="007D1D0F">
        <w:rPr>
          <w:rFonts w:ascii="Times New Roman" w:hAnsi="Times New Roman" w:cs="Times New Roman"/>
        </w:rPr>
        <w:t>halide derivative shifts from the Pb</w:t>
      </w:r>
      <w:r w:rsidR="007B1058">
        <w:rPr>
          <w:rFonts w:ascii="Times New Roman" w:hAnsi="Times New Roman" w:cs="Times New Roman"/>
        </w:rPr>
        <w:t>-</w:t>
      </w:r>
      <w:r w:rsidR="007D1D0F" w:rsidRPr="007D1D0F">
        <w:rPr>
          <w:rFonts w:ascii="Times New Roman" w:hAnsi="Times New Roman" w:cs="Times New Roman"/>
        </w:rPr>
        <w:t>rich</w:t>
      </w:r>
      <w:r w:rsidR="00CF1485" w:rsidRPr="00CF1485">
        <w:rPr>
          <w:rFonts w:ascii="Times New Roman" w:hAnsi="Times New Roman" w:cs="Times New Roman" w:hint="eastAsia"/>
        </w:rPr>
        <w:t xml:space="preserve"> </w:t>
      </w:r>
      <w:r w:rsidR="00CF1485">
        <w:rPr>
          <w:rFonts w:ascii="Times New Roman" w:hAnsi="Times New Roman" w:cs="Times New Roman" w:hint="eastAsia"/>
        </w:rPr>
        <w:t>CsPb</w:t>
      </w:r>
      <w:r w:rsidR="00CF1485" w:rsidRPr="009D2647">
        <w:rPr>
          <w:rFonts w:ascii="Times New Roman" w:hAnsi="Times New Roman" w:cs="Times New Roman" w:hint="eastAsia"/>
          <w:vertAlign w:val="subscript"/>
        </w:rPr>
        <w:t>2</w:t>
      </w:r>
      <w:r w:rsidR="00CF1485">
        <w:rPr>
          <w:rFonts w:ascii="Times New Roman" w:hAnsi="Times New Roman" w:cs="Times New Roman" w:hint="eastAsia"/>
        </w:rPr>
        <w:t>Br</w:t>
      </w:r>
      <w:r w:rsidR="00CF1485" w:rsidRPr="009D2647">
        <w:rPr>
          <w:rFonts w:ascii="Times New Roman" w:hAnsi="Times New Roman" w:cs="Times New Roman" w:hint="eastAsia"/>
          <w:vertAlign w:val="subscript"/>
        </w:rPr>
        <w:t>5</w:t>
      </w:r>
      <w:r w:rsidR="007D1D0F" w:rsidRPr="007D1D0F">
        <w:rPr>
          <w:rFonts w:ascii="Times New Roman" w:hAnsi="Times New Roman" w:cs="Times New Roman"/>
        </w:rPr>
        <w:t xml:space="preserve"> intermediate toward the Cs</w:t>
      </w:r>
      <w:r w:rsidR="007B1058">
        <w:rPr>
          <w:rFonts w:ascii="Times New Roman" w:hAnsi="Times New Roman" w:cs="Times New Roman"/>
        </w:rPr>
        <w:t>-</w:t>
      </w:r>
      <w:r w:rsidR="007D1D0F" w:rsidRPr="007D1D0F">
        <w:rPr>
          <w:rFonts w:ascii="Times New Roman" w:hAnsi="Times New Roman" w:cs="Times New Roman"/>
        </w:rPr>
        <w:t xml:space="preserve">rich region of the phase diagram, resulting in the disappearance of </w:t>
      </w:r>
      <w:r w:rsidR="00CF1485">
        <w:rPr>
          <w:rFonts w:ascii="Times New Roman" w:hAnsi="Times New Roman" w:cs="Times New Roman" w:hint="eastAsia"/>
        </w:rPr>
        <w:t>CsPb</w:t>
      </w:r>
      <w:r w:rsidR="00CF1485" w:rsidRPr="009D2647">
        <w:rPr>
          <w:rFonts w:ascii="Times New Roman" w:hAnsi="Times New Roman" w:cs="Times New Roman" w:hint="eastAsia"/>
          <w:vertAlign w:val="subscript"/>
        </w:rPr>
        <w:t>2</w:t>
      </w:r>
      <w:r w:rsidR="00CF1485">
        <w:rPr>
          <w:rFonts w:ascii="Times New Roman" w:hAnsi="Times New Roman" w:cs="Times New Roman" w:hint="eastAsia"/>
        </w:rPr>
        <w:t>Br</w:t>
      </w:r>
      <w:r w:rsidR="00CF1485" w:rsidRPr="009D2647">
        <w:rPr>
          <w:rFonts w:ascii="Times New Roman" w:hAnsi="Times New Roman" w:cs="Times New Roman" w:hint="eastAsia"/>
          <w:vertAlign w:val="subscript"/>
        </w:rPr>
        <w:t>5</w:t>
      </w:r>
      <w:r w:rsidR="007D1D0F" w:rsidRPr="007D1D0F">
        <w:rPr>
          <w:rFonts w:ascii="Times New Roman" w:hAnsi="Times New Roman" w:cs="Times New Roman"/>
        </w:rPr>
        <w:t xml:space="preserve"> signatures and the emergence of only trace </w:t>
      </w:r>
      <w:r w:rsidR="00495DE6" w:rsidRPr="007D1D0F">
        <w:rPr>
          <w:rFonts w:ascii="Times New Roman" w:hAnsi="Times New Roman" w:cs="Times New Roman"/>
        </w:rPr>
        <w:t>Cs</w:t>
      </w:r>
      <w:r w:rsidR="00495DE6" w:rsidRPr="00710C58">
        <w:rPr>
          <w:rFonts w:ascii="Times New Roman" w:hAnsi="Times New Roman" w:cs="Times New Roman" w:hint="eastAsia"/>
          <w:vertAlign w:val="subscript"/>
        </w:rPr>
        <w:t>4</w:t>
      </w:r>
      <w:r w:rsidR="00495DE6" w:rsidRPr="007D1D0F">
        <w:rPr>
          <w:rFonts w:ascii="Times New Roman" w:hAnsi="Times New Roman" w:cs="Times New Roman"/>
        </w:rPr>
        <w:t>Pb</w:t>
      </w:r>
      <w:r w:rsidR="00495DE6">
        <w:rPr>
          <w:rFonts w:ascii="Times New Roman" w:hAnsi="Times New Roman" w:cs="Times New Roman" w:hint="eastAsia"/>
        </w:rPr>
        <w:t>(</w:t>
      </w:r>
      <w:r w:rsidR="00495DE6" w:rsidRPr="007D1D0F">
        <w:rPr>
          <w:rFonts w:ascii="Times New Roman" w:hAnsi="Times New Roman" w:cs="Times New Roman"/>
        </w:rPr>
        <w:t>Br</w:t>
      </w:r>
      <w:r w:rsidR="00495DE6">
        <w:rPr>
          <w:rFonts w:ascii="Times New Roman" w:hAnsi="Times New Roman" w:cs="Times New Roman" w:hint="eastAsia"/>
        </w:rPr>
        <w:t>,I)</w:t>
      </w:r>
      <w:r w:rsidR="00495DE6" w:rsidRPr="00710C58">
        <w:rPr>
          <w:rFonts w:ascii="Times New Roman" w:hAnsi="Times New Roman" w:cs="Times New Roman" w:hint="eastAsia"/>
          <w:vertAlign w:val="subscript"/>
        </w:rPr>
        <w:t>6</w:t>
      </w:r>
      <w:r w:rsidR="007D1D0F" w:rsidRPr="007D1D0F">
        <w:rPr>
          <w:rFonts w:ascii="Times New Roman" w:hAnsi="Times New Roman" w:cs="Times New Roman"/>
        </w:rPr>
        <w:t>in the final perovskite films</w:t>
      </w:r>
      <w:r w:rsidR="00F2482C">
        <w:rPr>
          <w:rFonts w:ascii="Times New Roman" w:hAnsi="Times New Roman" w:cs="Times New Roman"/>
        </w:rPr>
        <w:fldChar w:fldCharType="begin"/>
      </w:r>
      <w:r w:rsidR="00C72A16">
        <w:rPr>
          <w:rFonts w:ascii="Times New Roman" w:hAnsi="Times New Roman" w:cs="Times New Roman"/>
        </w:rPr>
        <w:instrText xml:space="preserve"> ADDIN ZOTERO_ITEM CSL_CITATION {"citationID":"xBMy7wXx","properties":{"formattedCitation":"[16,17]","plainCitation":"[16,17]","noteIndex":0},"citationItems":[{"id":126,"uris":["http://zotero.org/users/17929675/items/HPCRUB54"],"itemData":{"id":126,"type":"article-journal","abstract":"The Cs-Pb-Br system possesses excellent optical properties and unique phase transition characteristics due to soft lattice structures. Herein, a simple and green synthetic method based on self-assembly in Dimethyl formamide (DMF) is proposed to prepare CsPb2Br5 nanocrystals (NCs) with typical tetragonal structure, which exhibit orange emission and small size around 3.87 nm. Interestingly, the phase transition from CsPb2Br5 to CsPbBr3 occurs easily in DMF through mechanical induction, while the metastable mixed-phase structural CsPbBr3 NCs with an average size of about 5 nm appear and show bright yellow emission. Afterwards, in combination with the supersaturation crystallization method, stable cubic CsPbBr3 NCs with 13 nm size are obtained and display the effective green emission. The synthesized CsPb2Br5 and steady-state CsPbBr3 NCs exhibit good optical stability in solution, while the metastable CsPbBr3 NCs undergo a change in emission from yellow to green with increasing time.","container-title":"Journal of Alloys and Compounds","DOI":"10.1016/j.jallcom.2023.169439","ISSN":"0925-8388","journalAbbreviation":"Journal of Alloys and Compounds","page":"169439","source":"ScienceDirect","title":"Optical properties and mechanical induced phase transition of CsPb2Br5 and CsPbBr3 nanocrystals","volume":"947","author":[{"family":"Yin","given":"Yuehong"},{"family":"Liu","given":"Yukun"},{"family":"Cao","given":"Guohua"},{"family":"Lv","given":"Zhaoyue"},{"family":"Zong","given":"Haitao"},{"family":"Cheng","given":"Yujie"},{"family":"Dong","given":"Qifan"},{"family":"Liu","given":"Chen"},{"family":"Li","given":"Ming"},{"family":"Zhang","given":"Baoqing"}],"issued":{"date-parts":[["2023",6,25]]}}},{"id":128,"uris":["http://zotero.org/users/17929675/items/QEKRG2MJ"],"itemData":{"id":128,"type":"article-journal","abstract":"The perovskite CsPbBr3 attracts great attention due to its potential in optoelectronics. However, stability remains a major obstacle to achieving its ...","container-title":"Materials","DOI":"10.3390/ma11050717","ISSN":"1996-1944","issue":"5","language":"en","license":"http://creativecommons.org/licenses/by/3.0/","publisher":"publisher","source":"www.mdpi.com","title":"Inter-Conversion between Different Compounds of Ternary Cs-Pb-Br System","URL":"https://www.mdpi.com/1996-1944/11/5/717","volume":"11","author":[{"family":"Li","given":"Jing"},{"family":"Zhang","given":"Huijie"},{"family":"Wang","given":"Song"},{"family":"Long","given":"Debing"},{"family":"Li","given":"Mingkai"},{"family":"Wang","given":"Duofa"},{"family":"Zhang","given":"Tianjin"}],"accessed":{"date-parts":[["2026",2,11]]},"issued":{"date-parts":[["2018",5,2]]}}}],"schema":"https://github.com/citation-style-language/schema/raw/master/csl-citation.json"} </w:instrText>
      </w:r>
      <w:r w:rsidR="00F2482C">
        <w:rPr>
          <w:rFonts w:ascii="Times New Roman" w:hAnsi="Times New Roman" w:cs="Times New Roman"/>
        </w:rPr>
        <w:fldChar w:fldCharType="separate"/>
      </w:r>
      <w:r w:rsidR="00C72A16" w:rsidRPr="00C72A16">
        <w:rPr>
          <w:rFonts w:ascii="Times New Roman" w:hAnsi="Times New Roman" w:cs="Times New Roman"/>
        </w:rPr>
        <w:t>[16,17]</w:t>
      </w:r>
      <w:r w:rsidR="00F2482C">
        <w:rPr>
          <w:rFonts w:ascii="Times New Roman" w:hAnsi="Times New Roman" w:cs="Times New Roman"/>
        </w:rPr>
        <w:fldChar w:fldCharType="end"/>
      </w:r>
      <w:r w:rsidR="007D1D0F" w:rsidRPr="007D1D0F">
        <w:rPr>
          <w:rFonts w:ascii="Times New Roman" w:hAnsi="Times New Roman" w:cs="Times New Roman"/>
        </w:rPr>
        <w:t>.</w:t>
      </w:r>
    </w:p>
    <w:p w14:paraId="604A7BEB" w14:textId="16098700" w:rsidR="00C71B56" w:rsidRPr="00CA372E" w:rsidRDefault="007D1D0F" w:rsidP="007D1D0F">
      <w:pPr>
        <w:spacing w:line="360" w:lineRule="auto"/>
        <w:jc w:val="both"/>
        <w:rPr>
          <w:rFonts w:ascii="Times New Roman" w:hAnsi="Times New Roman" w:cs="Times New Roman"/>
        </w:rPr>
      </w:pPr>
      <w:r w:rsidRPr="00CA372E">
        <w:rPr>
          <w:rFonts w:ascii="Times New Roman" w:hAnsi="Times New Roman" w:cs="Times New Roman"/>
        </w:rPr>
        <w:t xml:space="preserve">The underlying interactions between </w:t>
      </w:r>
      <w:r w:rsidR="00722612">
        <w:rPr>
          <w:rFonts w:ascii="Times New Roman" w:hAnsi="Times New Roman" w:cs="Times New Roman" w:hint="eastAsia"/>
          <w:kern w:val="0"/>
          <w14:ligatures w14:val="none"/>
        </w:rPr>
        <w:t>PbI</w:t>
      </w:r>
      <w:r w:rsidR="00722612" w:rsidRPr="00813DAB">
        <w:rPr>
          <w:rFonts w:ascii="Times New Roman" w:hAnsi="Times New Roman" w:cs="Times New Roman" w:hint="eastAsia"/>
          <w:kern w:val="0"/>
          <w:vertAlign w:val="subscript"/>
          <w14:ligatures w14:val="none"/>
        </w:rPr>
        <w:t>2</w:t>
      </w:r>
      <w:r w:rsidRPr="00CA372E">
        <w:rPr>
          <w:rFonts w:ascii="Times New Roman" w:hAnsi="Times New Roman" w:cs="Times New Roman"/>
        </w:rPr>
        <w:t xml:space="preserve"> and CsBr in the mixed</w:t>
      </w:r>
      <w:r w:rsidR="007B1058">
        <w:rPr>
          <w:rFonts w:ascii="Times New Roman" w:hAnsi="Times New Roman" w:cs="Times New Roman"/>
        </w:rPr>
        <w:t>-</w:t>
      </w:r>
      <w:r w:rsidRPr="00CA372E">
        <w:rPr>
          <w:rFonts w:ascii="Times New Roman" w:hAnsi="Times New Roman" w:cs="Times New Roman"/>
        </w:rPr>
        <w:t>halide sublattice can be summarized by the following competing reaction pathways</w:t>
      </w:r>
    </w:p>
    <w:p w14:paraId="646162D5" w14:textId="635C9E7F" w:rsidR="007D1D0F" w:rsidRPr="00CA372E" w:rsidRDefault="007D1D0F" w:rsidP="007D1D0F">
      <w:pPr>
        <w:spacing w:line="360" w:lineRule="auto"/>
        <w:jc w:val="center"/>
        <w:rPr>
          <w:rFonts w:ascii="Times New Roman" w:hAnsi="Times New Roman" w:cs="Times New Roman"/>
        </w:rPr>
      </w:pPr>
      <w:r w:rsidRPr="00CA372E">
        <w:rPr>
          <w:rFonts w:ascii="Times New Roman" w:hAnsi="Times New Roman" w:cs="Times New Roman"/>
        </w:rPr>
        <w:t>Pb</w:t>
      </w:r>
      <w:r w:rsidR="007B1058">
        <w:rPr>
          <w:rFonts w:ascii="Times New Roman" w:hAnsi="Times New Roman" w:cs="Times New Roman"/>
        </w:rPr>
        <w:t>-</w:t>
      </w:r>
      <w:r w:rsidRPr="00CA372E">
        <w:rPr>
          <w:rFonts w:ascii="Times New Roman" w:hAnsi="Times New Roman" w:cs="Times New Roman"/>
        </w:rPr>
        <w:t>rich intermediate formation: 2PbI</w:t>
      </w:r>
      <w:r w:rsidRPr="00CA372E">
        <w:rPr>
          <w:rFonts w:ascii="Times New Roman" w:hAnsi="Times New Roman" w:cs="Times New Roman"/>
          <w:vertAlign w:val="subscript"/>
        </w:rPr>
        <w:t>2</w:t>
      </w:r>
      <w:r w:rsidRPr="00CA372E">
        <w:rPr>
          <w:rFonts w:ascii="Times New Roman" w:hAnsi="Times New Roman" w:cs="Times New Roman"/>
        </w:rPr>
        <w:t xml:space="preserve"> + CsBr → CsPb</w:t>
      </w:r>
      <w:r w:rsidRPr="00CA372E">
        <w:rPr>
          <w:rFonts w:ascii="Times New Roman" w:hAnsi="Times New Roman" w:cs="Times New Roman"/>
          <w:vertAlign w:val="subscript"/>
        </w:rPr>
        <w:t>2</w:t>
      </w:r>
      <w:r w:rsidRPr="00CA372E">
        <w:rPr>
          <w:rFonts w:ascii="Times New Roman" w:hAnsi="Times New Roman" w:cs="Times New Roman"/>
        </w:rPr>
        <w:t>X</w:t>
      </w:r>
      <w:r w:rsidRPr="00CA372E">
        <w:rPr>
          <w:rFonts w:ascii="Times New Roman" w:hAnsi="Times New Roman" w:cs="Times New Roman"/>
          <w:vertAlign w:val="subscript"/>
        </w:rPr>
        <w:t>5</w:t>
      </w:r>
    </w:p>
    <w:p w14:paraId="2480C169" w14:textId="787F687F" w:rsidR="00C71B56" w:rsidRPr="00CA372E" w:rsidRDefault="00C71B56" w:rsidP="00567C74">
      <w:pPr>
        <w:spacing w:line="360" w:lineRule="auto"/>
        <w:jc w:val="center"/>
        <w:rPr>
          <w:rFonts w:ascii="Times New Roman" w:hAnsi="Times New Roman" w:cs="Times New Roman"/>
        </w:rPr>
      </w:pPr>
      <w:r w:rsidRPr="00CA372E">
        <w:rPr>
          <w:rFonts w:ascii="Times New Roman" w:hAnsi="Times New Roman" w:cs="Times New Roman"/>
        </w:rPr>
        <w:t>Cs</w:t>
      </w:r>
      <w:r w:rsidR="007B1058">
        <w:rPr>
          <w:rFonts w:ascii="Times New Roman" w:hAnsi="Times New Roman" w:cs="Times New Roman"/>
        </w:rPr>
        <w:t>-</w:t>
      </w:r>
      <w:r w:rsidRPr="00CA372E">
        <w:rPr>
          <w:rFonts w:ascii="Times New Roman" w:hAnsi="Times New Roman" w:cs="Times New Roman"/>
        </w:rPr>
        <w:t>rich phase formation: PbI</w:t>
      </w:r>
      <w:r w:rsidR="00EF3C27" w:rsidRPr="00CA372E">
        <w:rPr>
          <w:rFonts w:ascii="Times New Roman" w:hAnsi="Times New Roman" w:cs="Times New Roman"/>
          <w:vertAlign w:val="subscript"/>
        </w:rPr>
        <w:t>2</w:t>
      </w:r>
      <w:r w:rsidRPr="00CA372E">
        <w:rPr>
          <w:rFonts w:ascii="Times New Roman" w:hAnsi="Times New Roman" w:cs="Times New Roman"/>
        </w:rPr>
        <w:t xml:space="preserve"> + 4CsBr → Cs</w:t>
      </w:r>
      <w:r w:rsidR="00EF3C27" w:rsidRPr="00CA372E">
        <w:rPr>
          <w:rFonts w:ascii="Times New Roman" w:hAnsi="Times New Roman" w:cs="Times New Roman"/>
          <w:vertAlign w:val="subscript"/>
        </w:rPr>
        <w:t>4</w:t>
      </w:r>
      <w:r w:rsidRPr="00CA372E">
        <w:rPr>
          <w:rFonts w:ascii="Times New Roman" w:hAnsi="Times New Roman" w:cs="Times New Roman"/>
        </w:rPr>
        <w:t>Pb</w:t>
      </w:r>
      <w:r w:rsidR="002304E3" w:rsidRPr="00CA372E">
        <w:rPr>
          <w:rFonts w:ascii="Times New Roman" w:hAnsi="Times New Roman" w:cs="Times New Roman"/>
        </w:rPr>
        <w:t>X</w:t>
      </w:r>
      <w:r w:rsidR="00EF3C27" w:rsidRPr="00CA372E">
        <w:rPr>
          <w:rFonts w:ascii="Times New Roman" w:hAnsi="Times New Roman" w:cs="Times New Roman"/>
          <w:vertAlign w:val="subscript"/>
        </w:rPr>
        <w:t>6</w:t>
      </w:r>
    </w:p>
    <w:p w14:paraId="262C2556" w14:textId="552B9FEF" w:rsidR="007D1D0F" w:rsidRPr="00CA372E" w:rsidRDefault="007D1D0F" w:rsidP="00567C74">
      <w:pPr>
        <w:spacing w:line="360" w:lineRule="auto"/>
        <w:jc w:val="both"/>
        <w:rPr>
          <w:rFonts w:ascii="Times New Roman" w:hAnsi="Times New Roman" w:cs="Times New Roman"/>
        </w:rPr>
      </w:pPr>
      <w:r w:rsidRPr="00CA372E">
        <w:rPr>
          <w:rFonts w:ascii="Times New Roman" w:hAnsi="Times New Roman" w:cs="Times New Roman"/>
        </w:rPr>
        <w:t>where X predominantly denotes Br</w:t>
      </w:r>
      <w:r w:rsidR="001F1436" w:rsidRPr="005B0CB4">
        <w:rPr>
          <w:rFonts w:ascii="Times New Roman" w:hAnsi="Times New Roman" w:cs="Times New Roman"/>
          <w:kern w:val="0"/>
          <w:vertAlign w:val="superscript"/>
          <w14:ligatures w14:val="none"/>
        </w:rPr>
        <w:t>⁻</w:t>
      </w:r>
      <w:r w:rsidRPr="00CA372E">
        <w:rPr>
          <w:rFonts w:ascii="Times New Roman" w:hAnsi="Times New Roman" w:cs="Times New Roman"/>
        </w:rPr>
        <w:t xml:space="preserve"> in the present mixed</w:t>
      </w:r>
      <w:r w:rsidR="007B1058">
        <w:rPr>
          <w:rFonts w:ascii="Times New Roman" w:hAnsi="Times New Roman" w:cs="Times New Roman"/>
        </w:rPr>
        <w:t>-</w:t>
      </w:r>
      <w:r w:rsidRPr="00CA372E">
        <w:rPr>
          <w:rFonts w:ascii="Times New Roman" w:hAnsi="Times New Roman" w:cs="Times New Roman"/>
        </w:rPr>
        <w:t>halide system.</w:t>
      </w:r>
    </w:p>
    <w:p w14:paraId="1E653672" w14:textId="59EBFDE6" w:rsidR="002B2AE5" w:rsidRPr="00251FDA" w:rsidRDefault="007D1D0F" w:rsidP="00567C74">
      <w:pPr>
        <w:spacing w:line="360" w:lineRule="auto"/>
        <w:jc w:val="both"/>
        <w:rPr>
          <w:rFonts w:ascii="Times New Roman" w:hAnsi="Times New Roman" w:cs="Times New Roman"/>
        </w:rPr>
      </w:pPr>
      <w:r w:rsidRPr="007D1D0F">
        <w:rPr>
          <w:rFonts w:ascii="Times New Roman" w:hAnsi="Times New Roman" w:cs="Times New Roman"/>
        </w:rPr>
        <w:t xml:space="preserve">Overall, the combined SEM and GIWAXS analyses demonstrate that moderate CsBr incorporation </w:t>
      </w:r>
      <w:r>
        <w:rPr>
          <w:rFonts w:ascii="Times New Roman" w:hAnsi="Times New Roman" w:cs="Times New Roman" w:hint="eastAsia"/>
        </w:rPr>
        <w:t xml:space="preserve">around </w:t>
      </w:r>
      <w:r w:rsidRPr="007D1D0F">
        <w:rPr>
          <w:rFonts w:ascii="Times New Roman" w:hAnsi="Times New Roman" w:cs="Times New Roman"/>
        </w:rPr>
        <w:t>0.15 M optimally balances scaffold porosity and structural integrity. This balance enables near</w:t>
      </w:r>
      <w:r w:rsidR="007B1058">
        <w:rPr>
          <w:rFonts w:ascii="Times New Roman" w:hAnsi="Times New Roman" w:cs="Times New Roman"/>
        </w:rPr>
        <w:t>-</w:t>
      </w:r>
      <w:r w:rsidRPr="007D1D0F">
        <w:rPr>
          <w:rFonts w:ascii="Times New Roman" w:hAnsi="Times New Roman" w:cs="Times New Roman"/>
        </w:rPr>
        <w:t>complete conversion into a continuous, large</w:t>
      </w:r>
      <w:r w:rsidR="007B1058">
        <w:rPr>
          <w:rFonts w:ascii="Times New Roman" w:hAnsi="Times New Roman" w:cs="Times New Roman"/>
        </w:rPr>
        <w:t>-</w:t>
      </w:r>
      <w:r w:rsidRPr="007D1D0F">
        <w:rPr>
          <w:rFonts w:ascii="Times New Roman" w:hAnsi="Times New Roman" w:cs="Times New Roman"/>
        </w:rPr>
        <w:t>grained, and highly crystalline wide</w:t>
      </w:r>
      <w:r w:rsidR="007B1058">
        <w:rPr>
          <w:rFonts w:ascii="Times New Roman" w:hAnsi="Times New Roman" w:cs="Times New Roman"/>
        </w:rPr>
        <w:t>-</w:t>
      </w:r>
      <w:r w:rsidRPr="007D1D0F">
        <w:rPr>
          <w:rFonts w:ascii="Times New Roman" w:hAnsi="Times New Roman" w:cs="Times New Roman"/>
        </w:rPr>
        <w:t xml:space="preserve">bandgap perovskite film while simultaneously generating a small amount of electronically benign </w:t>
      </w:r>
      <w:r w:rsidR="004B7242">
        <w:rPr>
          <w:rFonts w:ascii="Times New Roman" w:hAnsi="Times New Roman" w:cs="Times New Roman" w:hint="eastAsia"/>
        </w:rPr>
        <w:t>Cs</w:t>
      </w:r>
      <w:r w:rsidR="004B7242" w:rsidRPr="004B7242">
        <w:rPr>
          <w:rFonts w:ascii="Times New Roman" w:hAnsi="Times New Roman" w:cs="Times New Roman" w:hint="eastAsia"/>
          <w:vertAlign w:val="subscript"/>
        </w:rPr>
        <w:t>4</w:t>
      </w:r>
      <w:r w:rsidR="004B7242">
        <w:rPr>
          <w:rFonts w:ascii="Times New Roman" w:hAnsi="Times New Roman" w:cs="Times New Roman" w:hint="eastAsia"/>
        </w:rPr>
        <w:t>Pb(Br,I)</w:t>
      </w:r>
      <w:r w:rsidR="004B7242" w:rsidRPr="004B7242">
        <w:rPr>
          <w:rFonts w:ascii="Times New Roman" w:hAnsi="Times New Roman" w:cs="Times New Roman" w:hint="eastAsia"/>
          <w:vertAlign w:val="subscript"/>
        </w:rPr>
        <w:t>6</w:t>
      </w:r>
      <w:r w:rsidRPr="007D1D0F">
        <w:rPr>
          <w:rFonts w:ascii="Times New Roman" w:hAnsi="Times New Roman" w:cs="Times New Roman"/>
        </w:rPr>
        <w:t xml:space="preserve">. Insufficient CsBr leads to incomplete conversion and </w:t>
      </w:r>
      <w:r w:rsidR="00CD7FF3">
        <w:rPr>
          <w:rFonts w:ascii="Times New Roman" w:hAnsi="Times New Roman" w:cs="Times New Roman" w:hint="eastAsia"/>
          <w:kern w:val="0"/>
          <w14:ligatures w14:val="none"/>
        </w:rPr>
        <w:t>PbI</w:t>
      </w:r>
      <w:r w:rsidR="00CD7FF3" w:rsidRPr="00813DAB">
        <w:rPr>
          <w:rFonts w:ascii="Times New Roman" w:hAnsi="Times New Roman" w:cs="Times New Roman" w:hint="eastAsia"/>
          <w:kern w:val="0"/>
          <w:vertAlign w:val="subscript"/>
          <w14:ligatures w14:val="none"/>
        </w:rPr>
        <w:t>2</w:t>
      </w:r>
      <w:r w:rsidR="007B1058">
        <w:rPr>
          <w:rFonts w:ascii="Times New Roman" w:hAnsi="Times New Roman" w:cs="Times New Roman"/>
        </w:rPr>
        <w:t>-</w:t>
      </w:r>
      <w:r w:rsidRPr="007D1D0F">
        <w:rPr>
          <w:rFonts w:ascii="Times New Roman" w:hAnsi="Times New Roman" w:cs="Times New Roman"/>
        </w:rPr>
        <w:t>rich, defective films, whereas excessive CsBr induces over</w:t>
      </w:r>
      <w:r w:rsidR="007B1058">
        <w:rPr>
          <w:rFonts w:ascii="Times New Roman" w:hAnsi="Times New Roman" w:cs="Times New Roman"/>
        </w:rPr>
        <w:t>-</w:t>
      </w:r>
      <w:r w:rsidRPr="007D1D0F">
        <w:rPr>
          <w:rFonts w:ascii="Times New Roman" w:hAnsi="Times New Roman" w:cs="Times New Roman"/>
        </w:rPr>
        <w:t>porosity, resulting in pinholes and morphological inhomogeneity that compromise film quality and device performance.</w:t>
      </w:r>
    </w:p>
    <w:p w14:paraId="3EDDFC88" w14:textId="77777777" w:rsidR="003A794B" w:rsidRDefault="003A794B" w:rsidP="009838AD">
      <w:pPr>
        <w:spacing w:line="360" w:lineRule="auto"/>
        <w:jc w:val="both"/>
        <w:rPr>
          <w:rFonts w:ascii="Times New Roman" w:hAnsi="Times New Roman" w:cs="Times New Roman"/>
        </w:rPr>
      </w:pPr>
    </w:p>
    <w:p w14:paraId="288C4A33" w14:textId="77777777" w:rsidR="003A794B" w:rsidRDefault="003A794B" w:rsidP="009838AD">
      <w:pPr>
        <w:spacing w:line="360" w:lineRule="auto"/>
        <w:jc w:val="both"/>
        <w:rPr>
          <w:rFonts w:ascii="Times New Roman" w:hAnsi="Times New Roman" w:cs="Times New Roman"/>
        </w:rPr>
      </w:pPr>
    </w:p>
    <w:p w14:paraId="47EDFF48" w14:textId="77777777" w:rsidR="003A794B" w:rsidRDefault="003A794B" w:rsidP="009838AD">
      <w:pPr>
        <w:spacing w:line="360" w:lineRule="auto"/>
        <w:jc w:val="both"/>
        <w:rPr>
          <w:rFonts w:ascii="Times New Roman" w:hAnsi="Times New Roman" w:cs="Times New Roman"/>
        </w:rPr>
      </w:pPr>
    </w:p>
    <w:p w14:paraId="67999999" w14:textId="77777777" w:rsidR="003A794B" w:rsidRDefault="003A794B" w:rsidP="009838AD">
      <w:pPr>
        <w:spacing w:line="360" w:lineRule="auto"/>
        <w:jc w:val="both"/>
        <w:rPr>
          <w:rFonts w:ascii="Times New Roman" w:hAnsi="Times New Roman" w:cs="Times New Roman"/>
        </w:rPr>
      </w:pPr>
    </w:p>
    <w:p w14:paraId="16687D1B" w14:textId="77777777" w:rsidR="003A794B" w:rsidRDefault="003A794B" w:rsidP="009838AD">
      <w:pPr>
        <w:spacing w:line="360" w:lineRule="auto"/>
        <w:jc w:val="both"/>
        <w:rPr>
          <w:rFonts w:ascii="Times New Roman" w:hAnsi="Times New Roman" w:cs="Times New Roman"/>
        </w:rPr>
      </w:pPr>
    </w:p>
    <w:p w14:paraId="16831B41" w14:textId="626CED47" w:rsidR="009838AD" w:rsidRDefault="00687E5A" w:rsidP="009838AD">
      <w:pPr>
        <w:spacing w:line="360" w:lineRule="auto"/>
        <w:jc w:val="both"/>
        <w:rPr>
          <w:rFonts w:ascii="Times New Roman" w:hAnsi="Times New Roman" w:cs="Times New Roman"/>
        </w:rPr>
      </w:pPr>
      <w:r>
        <w:rPr>
          <w:rFonts w:ascii="Times New Roman" w:hAnsi="Times New Roman" w:cs="Times New Roman" w:hint="eastAsia"/>
        </w:rPr>
        <w:t>Cs</w:t>
      </w:r>
      <w:r w:rsidRPr="004B7242">
        <w:rPr>
          <w:rFonts w:ascii="Times New Roman" w:hAnsi="Times New Roman" w:cs="Times New Roman" w:hint="eastAsia"/>
          <w:vertAlign w:val="subscript"/>
        </w:rPr>
        <w:t>4</w:t>
      </w:r>
      <w:r>
        <w:rPr>
          <w:rFonts w:ascii="Times New Roman" w:hAnsi="Times New Roman" w:cs="Times New Roman" w:hint="eastAsia"/>
        </w:rPr>
        <w:t>PbBr</w:t>
      </w:r>
      <w:r w:rsidRPr="004B7242">
        <w:rPr>
          <w:rFonts w:ascii="Times New Roman" w:hAnsi="Times New Roman" w:cs="Times New Roman" w:hint="eastAsia"/>
          <w:vertAlign w:val="subscript"/>
        </w:rPr>
        <w:t>6</w:t>
      </w:r>
      <w:r w:rsidR="00CD3ACA" w:rsidRPr="00E76598">
        <w:rPr>
          <w:rFonts w:ascii="Times New Roman" w:hAnsi="Times New Roman" w:cs="Times New Roman"/>
        </w:rPr>
        <w:t xml:space="preserve"> is a zero dimensional perovskite related compound composed of isolated [PbX₆]</w:t>
      </w:r>
      <w:r w:rsidR="001F1436" w:rsidRPr="001F1436">
        <w:rPr>
          <w:rFonts w:ascii="Times New Roman" w:hAnsi="Times New Roman" w:cs="Times New Roman" w:hint="eastAsia"/>
          <w:vertAlign w:val="superscript"/>
        </w:rPr>
        <w:t>4</w:t>
      </w:r>
      <w:r w:rsidR="00275AEB">
        <w:rPr>
          <w:rFonts w:ascii="Times New Roman" w:hAnsi="Times New Roman" w:cs="Times New Roman" w:hint="eastAsia"/>
          <w:kern w:val="0"/>
          <w:vertAlign w:val="superscript"/>
          <w14:ligatures w14:val="none"/>
        </w:rPr>
        <w:t>-</w:t>
      </w:r>
      <w:r w:rsidR="00CD3ACA" w:rsidRPr="00E76598">
        <w:rPr>
          <w:rFonts w:ascii="Times New Roman" w:hAnsi="Times New Roman" w:cs="Times New Roman"/>
        </w:rPr>
        <w:t xml:space="preserve"> octahedra separated by Cs⁺ ions and exhibits a wide bandgap on the order of 3.5</w:t>
      </w:r>
      <w:r w:rsidR="002C0B0C">
        <w:rPr>
          <w:rFonts w:ascii="Times New Roman" w:hAnsi="Times New Roman" w:cs="Times New Roman"/>
        </w:rPr>
        <w:t>-</w:t>
      </w:r>
      <w:r w:rsidR="00CD3ACA" w:rsidRPr="00E76598">
        <w:rPr>
          <w:rFonts w:ascii="Times New Roman" w:hAnsi="Times New Roman" w:cs="Times New Roman"/>
        </w:rPr>
        <w:t>4.0 eV, with deep valence bands and high lying conduction bands that render it electronically insulating within the spectral region relevant to photocurrent generation</w:t>
      </w:r>
      <w:r w:rsidR="00A27358">
        <w:rPr>
          <w:rFonts w:ascii="Times New Roman" w:hAnsi="Times New Roman" w:cs="Times New Roman"/>
        </w:rPr>
        <w:fldChar w:fldCharType="begin"/>
      </w:r>
      <w:r w:rsidR="00C72A16">
        <w:rPr>
          <w:rFonts w:ascii="Times New Roman" w:hAnsi="Times New Roman" w:cs="Times New Roman"/>
        </w:rPr>
        <w:instrText xml:space="preserve"> ADDIN ZOTERO_ITEM CSL_CITATION {"citationID":"8Z5na4tK","properties":{"formattedCitation":"[18,19]","plainCitation":"[18,19]","noteIndex":0},"citationItems":[{"id":130,"uris":["http://zotero.org/users/17929675/items/FPPQPV7M"],"itemData":{"id":130,"type":"article-journal","abstract":"We investigate the intrinsic lead ion (Pb2+) emissions in zero-dimensional (0D) perovskite nanocrystals (NCs) using a combination of experimental and theoretical approaches. The temperature-dependent photoluminescence experiments for both “nonemissive” (highly suppressed green emission) and emissive (bright green emission) Cs4PbBr6 NCs show a splitting of emission spectra into high- and low-energy transitions in the ultraviolet (UV) spectral range. In the nonemissive case, we attribute the high-energy UV emission at approximately 350 nm to the allowed optical transition of 3P1 to 1S0 in Pb2+ ions and the low-energy UV emission at approximately 400 nm to the charge-transfer state involved in the 0D NC host lattice (D-state). In the emissive Cs4PbBr6 NCs, in addition to the broad UV emission, we demonstrate that energy transfer occurs from Pb2+ ions to green luminescent centers. The optical phonon modes in Cs4PbBr6 NCs can be assigned to both Pb–Br stretching and rocking motions from density functional theory calculations. Our results address the origin of the dual broadband Pb2+ ion emissions observed in Cs4PbBr6 NCs and provide insights into the mechanism of ionic exciton–optical phonon interactions in these 0D perovskites.","container-title":"ACS Energy Letters","DOI":"10.1021/acsenergylett.7b01026","issue":"12","journalAbbreviation":"ACS Energy Lett.","page":"2805-2811","publisher":"American Chemical Society","source":"ACS Publications","title":"Intrinsic Lead Ion Emissions in Zero-Dimensional Cs4PbBr6 Nanocrystals","volume":"2","author":[{"family":"Yin","given":"Jun"},{"family":"Zhang","given":"Yuhai"},{"family":"Bruno","given":"Annalisa"},{"family":"Soci","given":"Cesare"},{"family":"Bakr","given":"Osman M."},{"family":"Brédas","given":"Jean-Luc"},{"family":"Mohammed","given":"Omar F."}],"issued":{"date-parts":[["2017",12,8]]}}},{"id":132,"uris":["http://zotero.org/users/17929675/items/X7KFJTUX"],"itemData":{"id":132,"type":"article-journal","abstract":"Perovskite-related Cs4PbBr6 nanocrystals present a “zero-dimensional” crystalline structure where adjacent [PbBr6]4– octahedra do not share any corners. We show in this work that these nanocrystals can be converted into “three-dimensional” CsPbBr3 perovskites by extraction of CsBr. This conversion drastically changes the optoelectronic properties of the nanocrystals that become highly photoluminescent. The extraction of CsBr can be achieved either by thermal annealing (physical approach) or by chemical reaction with Prussian Blue (chemical approach). The former approach can be simply carried out on a dried film without addition of any chemicals but does not yield a full transformation. Instead, reaction with Prussian Blue in solution achieves a full transformation into the perovskite phase. This transformation was also verified on the iodide counterpart (Cs4PbI6).","container-title":"ACS Energy Letters","DOI":"10.1021/acsenergylett.7b00842","issue":"10","journalAbbreviation":"ACS Energy Lett.","page":"2445-2448","publisher":"American Chemical Society","source":"ACS Publications","title":"Postsynthesis Transformation of Insulating Cs4PbBr6 Nanocrystals into Bright Perovskite CsPbBr3 through Physical and Chemical Extraction of CsBr","volume":"2","author":[{"family":"Palazon","given":"Francisco"},{"family":"Urso","given":"Carmine"},{"family":"De Trizio","given":"Luca"},{"family":"Akkerman","given":"Quinten"},{"family":"Marras","given":"Sergio"},{"family":"Locardi","given":"Federico"},{"family":"Nelli","given":"Ilaria"},{"family":"Ferretti","given":"Maurizio"},{"family":"Prato","given":"Mirko"},{"family":"Manna","given":"Liberato"}],"issued":{"date-parts":[["2017",10,13]]}}}],"schema":"https://github.com/citation-style-language/schema/raw/master/csl-citation.json"} </w:instrText>
      </w:r>
      <w:r w:rsidR="00A27358">
        <w:rPr>
          <w:rFonts w:ascii="Times New Roman" w:hAnsi="Times New Roman" w:cs="Times New Roman"/>
        </w:rPr>
        <w:fldChar w:fldCharType="separate"/>
      </w:r>
      <w:r w:rsidR="00C72A16" w:rsidRPr="00C72A16">
        <w:rPr>
          <w:rFonts w:ascii="Times New Roman" w:hAnsi="Times New Roman" w:cs="Times New Roman"/>
        </w:rPr>
        <w:t>[18,19]</w:t>
      </w:r>
      <w:r w:rsidR="00A27358">
        <w:rPr>
          <w:rFonts w:ascii="Times New Roman" w:hAnsi="Times New Roman" w:cs="Times New Roman"/>
        </w:rPr>
        <w:fldChar w:fldCharType="end"/>
      </w:r>
      <w:r w:rsidR="00CD3ACA" w:rsidRPr="00E76598">
        <w:rPr>
          <w:rFonts w:ascii="Times New Roman" w:hAnsi="Times New Roman" w:cs="Times New Roman"/>
        </w:rPr>
        <w:t xml:space="preserve">. When present in trace amounts, this phase preferentially segregates at grain boundaries or surfaces, where it passivates under coordinated Pb and halide sites, reduces trap assisted non radiative recombination and introduces energetic and structural barriers that impede the lateral and vertical migration of halides and vacancies. These effects collectively suppress bromide iodide demixing while leaving charge transport through the </w:t>
      </w:r>
      <w:r w:rsidR="00F2482C" w:rsidRPr="00E76598">
        <w:rPr>
          <w:rFonts w:ascii="Times New Roman" w:hAnsi="Times New Roman" w:cs="Times New Roman"/>
        </w:rPr>
        <w:t>three</w:t>
      </w:r>
      <w:r w:rsidR="007B1058">
        <w:rPr>
          <w:rFonts w:ascii="Times New Roman" w:hAnsi="Times New Roman" w:cs="Times New Roman"/>
        </w:rPr>
        <w:t>-</w:t>
      </w:r>
      <w:r w:rsidR="00F2482C" w:rsidRPr="00E76598">
        <w:rPr>
          <w:rFonts w:ascii="Times New Roman" w:hAnsi="Times New Roman" w:cs="Times New Roman"/>
        </w:rPr>
        <w:t>dimensional</w:t>
      </w:r>
      <w:r w:rsidR="00CD3ACA" w:rsidRPr="00E76598">
        <w:rPr>
          <w:rFonts w:ascii="Times New Roman" w:hAnsi="Times New Roman" w:cs="Times New Roman"/>
        </w:rPr>
        <w:t xml:space="preserve"> perovskite network largely unaffected</w:t>
      </w:r>
      <w:r w:rsidR="00A27358">
        <w:rPr>
          <w:rFonts w:ascii="Times New Roman" w:hAnsi="Times New Roman" w:cs="Times New Roman"/>
        </w:rPr>
        <w:fldChar w:fldCharType="begin"/>
      </w:r>
      <w:r w:rsidR="00C72A16">
        <w:rPr>
          <w:rFonts w:ascii="Times New Roman" w:hAnsi="Times New Roman" w:cs="Times New Roman"/>
        </w:rPr>
        <w:instrText xml:space="preserve"> ADDIN ZOTERO_ITEM CSL_CITATION {"citationID":"Nf0Mcp8j","properties":{"formattedCitation":"[20]","plainCitation":"[20]","noteIndex":0},"citationItems":[{"id":142,"uris":["http://zotero.org/users/17929675/items/MELMWAJP"],"itemData":{"id":142,"type":"arti</w:instrText>
      </w:r>
      <w:r w:rsidR="00C72A16">
        <w:rPr>
          <w:rFonts w:ascii="Times New Roman" w:hAnsi="Times New Roman" w:cs="Times New Roman" w:hint="eastAsia"/>
        </w:rPr>
        <w:instrText xml:space="preserve">cle-journal","abstract":"Formamidinium lead iodide perovskite and its derivatives, such as FA0.90MA0.05Cs0.05PbI3 (band gap </w:instrText>
      </w:r>
      <w:r w:rsidR="00C72A16">
        <w:rPr>
          <w:rFonts w:ascii="Times New Roman" w:hAnsi="Times New Roman" w:cs="Times New Roman" w:hint="eastAsia"/>
        </w:rPr>
        <w:instrText>≈</w:instrText>
      </w:r>
      <w:r w:rsidR="00C72A16">
        <w:rPr>
          <w:rFonts w:ascii="Times New Roman" w:hAnsi="Times New Roman" w:cs="Times New Roman" w:hint="eastAsia"/>
        </w:rPr>
        <w:instrText xml:space="preserve">1.56 eV), are promising for use in solar cells. However, uncontrolled growth and transformation of perovskite (111) facets during </w:instrText>
      </w:r>
      <w:r w:rsidR="00C72A16">
        <w:rPr>
          <w:rFonts w:ascii="Times New Roman" w:hAnsi="Times New Roman" w:cs="Times New Roman"/>
        </w:rPr>
        <w:instrText xml:space="preserve">the crystallization process poses a challenge for the production of high-efficiency and long-term stability devices. Here, a zero-dimensional perovskite decoration method is shown to improve the facet regularity of FA0.90MA0.05Cs0.053 films by suppressing the formation of (111) facets in the perovskite crystallization process. Due to its unique crystal structure, the zero-dimensional Cs4PbBr6/CsPbBr3 (a composite of phases Cs4PbBr6 and CsPbBr3 with Cs4PbBr6 as the major phase) nanocrystal acts as a pinning particle, i.e., as a spatial obstacle, to prevent the uncontrolled growth of specific crystal facets during crystallization. The FA0.90MA0.05Cs0.05PbI3 perovskite decorated with Cs4PbBr6/CsPbBr3 improves power conversion efficiency to 25.52% in standard test conditions with high open circuit voltage of 1.177 V. The encapsulated devices maintain more than 93.8% of their original efficiency after exposure to 1500 h of continuous 1-sun illumination under Maximum Power Point Tracking conditions at 50–55 °C.","container-title":"Advanced Functional Materials","DOI":"10.1002/adfm.202508064","ISSN":"1616-3028","issue":"51","language":"en","note":"_eprint: https://advanced.onlinelibrary.wiley.com/doi/pdf/10.1002/adfm.202508064","page":"e08064","source":"Wiley Online Library","title":"Modulating Crystallization of Perovskite Thin Films via Zero-Dimensional Cs4PbBr6 Nanocrystals","volume":"35","author":[{"family":"Shi","given":"Haodan"},{"family":"Huang","given":"Junyi"},{"family":"Sun","given":"Tianyu"},{"family":"Yu","given":"Haixuan"},{"family":"Hu","given":"Yong"},{"family":"Li","given":"Xiongjie"},{"family":"Ma","given":"Xiaoting"},{"family":"Yang","given":"Wanpeng"},{"family":"Liu","given":"Zhirong"},{"family":"Wang","given":"Lei"},{"family":"Hu","given":"Bing"},{"family":"Shen","given":"Yan"},{"family":"Wang","given":"Mingkui"}],"issued":{"date-parts":[["2025"]]}}}],"schema":"https://github.com/citation-style-language/schema/raw/master/csl-citation.json"} </w:instrText>
      </w:r>
      <w:r w:rsidR="00A27358">
        <w:rPr>
          <w:rFonts w:ascii="Times New Roman" w:hAnsi="Times New Roman" w:cs="Times New Roman"/>
        </w:rPr>
        <w:fldChar w:fldCharType="separate"/>
      </w:r>
      <w:r w:rsidR="00C72A16" w:rsidRPr="00C72A16">
        <w:rPr>
          <w:rFonts w:ascii="Times New Roman" w:hAnsi="Times New Roman" w:cs="Times New Roman"/>
        </w:rPr>
        <w:t>[20]</w:t>
      </w:r>
      <w:r w:rsidR="00A27358">
        <w:rPr>
          <w:rFonts w:ascii="Times New Roman" w:hAnsi="Times New Roman" w:cs="Times New Roman"/>
        </w:rPr>
        <w:fldChar w:fldCharType="end"/>
      </w:r>
      <w:r w:rsidR="00CD3ACA" w:rsidRPr="00E76598">
        <w:rPr>
          <w:rFonts w:ascii="Times New Roman" w:hAnsi="Times New Roman" w:cs="Times New Roman"/>
        </w:rPr>
        <w:t xml:space="preserve">. </w:t>
      </w:r>
      <w:r w:rsidR="009838AD" w:rsidRPr="00881899">
        <w:rPr>
          <w:rFonts w:ascii="Times New Roman" w:hAnsi="Times New Roman" w:cs="Times New Roman"/>
        </w:rPr>
        <w:t>Consistent with this picture, Liu et al</w:t>
      </w:r>
      <w:r w:rsidR="00A27358">
        <w:rPr>
          <w:rFonts w:ascii="Times New Roman" w:hAnsi="Times New Roman" w:cs="Times New Roman"/>
        </w:rPr>
        <w:fldChar w:fldCharType="begin"/>
      </w:r>
      <w:r w:rsidR="00C72A16">
        <w:rPr>
          <w:rFonts w:ascii="Times New Roman" w:hAnsi="Times New Roman" w:cs="Times New Roman"/>
        </w:rPr>
        <w:instrText xml:space="preserve"> ADDIN ZOTERO_ITEM CSL_CITATION {"citationID":"kbhuuZJS","properties":{"formattedCitation":"[21]","plainCitation":"[21]","noteIndex":0},"citationItems":[{"id":147,"uris":["http://zotero.org/users/17929675/items/48EUP45A"],"itemData":{"id":147,"type":"article-journal","abstract":"CsPbI2Br perovskites are promising candidates for photovoltaic applications owing to the trade-off between the optoelectronic properties and phase stability of cesium-based inorganic perovskites. However, the major shortcomings of CsPbI2Br perovskite solar cells (PSCs), namely energy loss and poor moisture resistance, still need to be addressed. In this work, reversible degradation-assisted decoration with Cs4PbBr6 nanocrystals (NCs) is used to passivate the perovskite/hole transporting material (HTM) interface. Moisture-induced Cs4PbBr6 decomposition products (CsPbBr3 and CsBr) and CsPbI2−xBr1+x (x &gt; 0), generated as a result of halide anion exchange between CsPbI2Br and Cs4PbBr6 or its decomposition products, are found to improve the quality of the CsPbI2Br film and suppress the trap state density. In addition, the decoration achieves desirable energy-level alignments at the CsPbI2Br/HTM interface and raises the Fermi level of the CsPbI2Br film, thereby strengthening the built-in electric field between the perovskite and HTM. As a result, the optimized CsPbI2Br PSC has a champion efficiency of 15.52% with an open-circuit voltage of 1.30 V (mean value: 1.29 V). The unencapsulated CsPbI2Br film and device both exhibit high air stability (</w:instrText>
      </w:r>
      <w:r w:rsidR="00C72A16">
        <w:rPr>
          <w:rFonts w:ascii="Cambria Math" w:hAnsi="Cambria Math" w:cs="Cambria Math"/>
        </w:rPr>
        <w:instrText>∼</w:instrText>
      </w:r>
      <w:r w:rsidR="00C72A16">
        <w:rPr>
          <w:rFonts w:ascii="Times New Roman" w:hAnsi="Times New Roman" w:cs="Times New Roman"/>
        </w:rPr>
        <w:instrText xml:space="preserve">40% humidity), and the latter retains 90% of its initial efficiency after a 500 h aging test.","container-title":"Journal of Power Sources","DOI":"10.1016/j.jpowsour.2022.231294","ISSN":"0378-7753","journalAbbreviation":"Journal of Power Sources","page":"231294","source":"ScienceDirect","title":"Reversible degradation-assisted interface engineering &lt;i&gt;via&lt;/i&gt; Cs4PbBr6 nanocrystals to boost the performance of CsPbI2Br perovskite solar cells","volume":"530","author":[{"family":"Liu","given":"Wenwen"},{"family":"Cao","given":"Mengsha"},{"family":"Zhang","given":"Jing"},{"family":"Jiang","given":"Jun"},{"family":"Yu","given":"Haiyan"},{"family":"Hao","given":"Xiaomin"},{"family":"Zhang","given":"Jing"},{"family":"Guo","given":"Huafei"},{"family":"Fang","given":"Bijun"},{"family":"Yuan","given":"Ningyi"},{"family":"Fan","given":"Xihao"},{"family":"Zhang","given":"Shuai"},{"family":"Ding","given":"Jianning"}],"issued":{"date-parts":[["2022",5,15]]}}}],"schema":"https://github.com/citation-style-language/schema/raw/master/csl-citation.json"} </w:instrText>
      </w:r>
      <w:r w:rsidR="00A27358">
        <w:rPr>
          <w:rFonts w:ascii="Times New Roman" w:hAnsi="Times New Roman" w:cs="Times New Roman"/>
        </w:rPr>
        <w:fldChar w:fldCharType="separate"/>
      </w:r>
      <w:r w:rsidR="00C72A16" w:rsidRPr="00C72A16">
        <w:rPr>
          <w:rFonts w:ascii="Times New Roman" w:hAnsi="Times New Roman" w:cs="Times New Roman"/>
        </w:rPr>
        <w:t>[21]</w:t>
      </w:r>
      <w:r w:rsidR="00A27358">
        <w:rPr>
          <w:rFonts w:ascii="Times New Roman" w:hAnsi="Times New Roman" w:cs="Times New Roman"/>
        </w:rPr>
        <w:fldChar w:fldCharType="end"/>
      </w:r>
      <w:r w:rsidR="009838AD" w:rsidRPr="00881899">
        <w:rPr>
          <w:rFonts w:ascii="Times New Roman" w:hAnsi="Times New Roman" w:cs="Times New Roman"/>
        </w:rPr>
        <w:t>. demonstrated that spin</w:t>
      </w:r>
      <w:r w:rsidR="007B1058">
        <w:rPr>
          <w:rFonts w:ascii="Times New Roman" w:hAnsi="Times New Roman" w:cs="Times New Roman"/>
        </w:rPr>
        <w:t>-</w:t>
      </w:r>
      <w:r w:rsidR="009838AD" w:rsidRPr="00881899">
        <w:rPr>
          <w:rFonts w:ascii="Times New Roman" w:hAnsi="Times New Roman" w:cs="Times New Roman"/>
        </w:rPr>
        <w:t xml:space="preserve">coated </w:t>
      </w:r>
      <w:r>
        <w:rPr>
          <w:rFonts w:ascii="Times New Roman" w:hAnsi="Times New Roman" w:cs="Times New Roman" w:hint="eastAsia"/>
        </w:rPr>
        <w:t>Cs</w:t>
      </w:r>
      <w:r w:rsidRPr="004B7242">
        <w:rPr>
          <w:rFonts w:ascii="Times New Roman" w:hAnsi="Times New Roman" w:cs="Times New Roman" w:hint="eastAsia"/>
          <w:vertAlign w:val="subscript"/>
        </w:rPr>
        <w:t>4</w:t>
      </w:r>
      <w:r>
        <w:rPr>
          <w:rFonts w:ascii="Times New Roman" w:hAnsi="Times New Roman" w:cs="Times New Roman" w:hint="eastAsia"/>
        </w:rPr>
        <w:t>PbBr</w:t>
      </w:r>
      <w:r w:rsidRPr="004B7242">
        <w:rPr>
          <w:rFonts w:ascii="Times New Roman" w:hAnsi="Times New Roman" w:cs="Times New Roman" w:hint="eastAsia"/>
          <w:vertAlign w:val="subscript"/>
        </w:rPr>
        <w:t>6</w:t>
      </w:r>
      <w:r w:rsidR="009838AD" w:rsidRPr="00881899">
        <w:rPr>
          <w:rFonts w:ascii="Times New Roman" w:hAnsi="Times New Roman" w:cs="Times New Roman"/>
        </w:rPr>
        <w:t xml:space="preserve"> nanocrystals on </w:t>
      </w:r>
      <w:r w:rsidR="00AB6673">
        <w:rPr>
          <w:rFonts w:ascii="Times New Roman" w:hAnsi="Times New Roman" w:cs="Times New Roman" w:hint="eastAsia"/>
        </w:rPr>
        <w:t>CsPbI</w:t>
      </w:r>
      <w:r w:rsidR="00AB6673" w:rsidRPr="00AB6673">
        <w:rPr>
          <w:rFonts w:ascii="Times New Roman" w:hAnsi="Times New Roman" w:cs="Times New Roman" w:hint="eastAsia"/>
          <w:vertAlign w:val="subscript"/>
        </w:rPr>
        <w:t>2</w:t>
      </w:r>
      <w:r w:rsidR="00AB6673">
        <w:rPr>
          <w:rFonts w:ascii="Times New Roman" w:hAnsi="Times New Roman" w:cs="Times New Roman" w:hint="eastAsia"/>
        </w:rPr>
        <w:t>Br</w:t>
      </w:r>
      <w:r w:rsidR="009838AD" w:rsidRPr="00881899">
        <w:rPr>
          <w:rFonts w:ascii="Times New Roman" w:hAnsi="Times New Roman" w:cs="Times New Roman"/>
        </w:rPr>
        <w:t xml:space="preserve"> films form an interfacial </w:t>
      </w:r>
      <w:r>
        <w:rPr>
          <w:rFonts w:ascii="Times New Roman" w:hAnsi="Times New Roman" w:cs="Times New Roman" w:hint="eastAsia"/>
        </w:rPr>
        <w:t>Cs</w:t>
      </w:r>
      <w:r w:rsidRPr="004B7242">
        <w:rPr>
          <w:rFonts w:ascii="Times New Roman" w:hAnsi="Times New Roman" w:cs="Times New Roman" w:hint="eastAsia"/>
          <w:vertAlign w:val="subscript"/>
        </w:rPr>
        <w:t>4</w:t>
      </w:r>
      <w:r>
        <w:rPr>
          <w:rFonts w:ascii="Times New Roman" w:hAnsi="Times New Roman" w:cs="Times New Roman" w:hint="eastAsia"/>
        </w:rPr>
        <w:t>PbBr</w:t>
      </w:r>
      <w:r w:rsidRPr="004B7242">
        <w:rPr>
          <w:rFonts w:ascii="Times New Roman" w:hAnsi="Times New Roman" w:cs="Times New Roman" w:hint="eastAsia"/>
          <w:vertAlign w:val="subscript"/>
        </w:rPr>
        <w:t>6</w:t>
      </w:r>
      <w:r w:rsidR="007B1058">
        <w:rPr>
          <w:rFonts w:ascii="Times New Roman" w:hAnsi="Times New Roman" w:cs="Times New Roman"/>
        </w:rPr>
        <w:t>-</w:t>
      </w:r>
      <w:r w:rsidR="009838AD" w:rsidRPr="00881899">
        <w:rPr>
          <w:rFonts w:ascii="Times New Roman" w:hAnsi="Times New Roman" w:cs="Times New Roman"/>
        </w:rPr>
        <w:t>based layer that lowers trap density and enhances both efficiency and stability; Heo and co</w:t>
      </w:r>
      <w:r w:rsidR="007B1058">
        <w:rPr>
          <w:rFonts w:ascii="Times New Roman" w:hAnsi="Times New Roman" w:cs="Times New Roman"/>
        </w:rPr>
        <w:t>-</w:t>
      </w:r>
      <w:r w:rsidR="009838AD" w:rsidRPr="00881899">
        <w:rPr>
          <w:rFonts w:ascii="Times New Roman" w:hAnsi="Times New Roman" w:cs="Times New Roman"/>
        </w:rPr>
        <w:t>workers</w:t>
      </w:r>
      <w:r w:rsidR="00A27358">
        <w:rPr>
          <w:rFonts w:ascii="Times New Roman" w:hAnsi="Times New Roman" w:cs="Times New Roman"/>
        </w:rPr>
        <w:fldChar w:fldCharType="begin"/>
      </w:r>
      <w:r w:rsidR="00C72A16">
        <w:rPr>
          <w:rFonts w:ascii="Times New Roman" w:hAnsi="Times New Roman" w:cs="Times New Roman"/>
        </w:rPr>
        <w:instrText xml:space="preserve"> ADDIN ZOTERO_ITEM CSL_CITATION {"citationID":"kaoVvAEv","properties":{"formattedCitation":"[22]","plainCitation":"[22]","noteIndex":0},"citationItems":[{"id":139,"uris":["http://zotero.org/users/17929675/items/5BV8JZ2Y"],"itemData":{"id":139,"type":"article-journal","abstract":"The inverted inorganic CsPbI3 perovskite solar cells (PSCs) are prospective candidates for next-generation photovoltaics owing to inherent robust thermal/photo-stability and compatibility for tandems. However, the performance and stability of the inverted CsPbI3 PSCs fall behind the n-i-p counterparts due to poor energetic alignment and abundant interfacial defect states. Here, an inorganic 0D Cs4PbBr6 with a good lattice strain arrangement is implemented as the surface anchoring capping layer on CsPbI3. The Cs4PbBr6 perovskite induces enhanced electron-selective junction and thus facilitates efficient charge extraction and effectively inhibits non-radiative recombination. Consequently, the CsPbI3 PSCs with Cs4PbBr6 demonstrate the highest power conversion efficiency (PCE) of CsPbI3-based inverted PSCs, reaching 21.03% PCE from a unit cell and 17.39% PCE from a module with a 64 cm2 aperture area. Furthermore, the resulting devices retain 92.48% after 1000 h under simultaneous 1-sun and damp heat (85 °C / 85% relative humidity) environment.","container-title":"Advanced Materials","DOI":"10.1002/adma.202408387","ISSN":"1521-4095","issue":"45","language":"en","license":"© 2024 Wiley-VCH GmbH","note":"_eprint: https://advanced.onlinelibrary.wiley.com/doi/pdf/10.1002/adma.202408387","page":"2408387","source":"Wiley Online Library","title":"Inorganic-Derived 0D Perovskite Induced Surface Lattice Arrangement for Efficient and Stable All-Inorganic Perovskite Solar Cells","volume":"36","author":[{"family":"Heo","given":"Jin Hyuck"},{"family":"Park","given":"Jin Kyoung"},{"family":"Lee","given":"Hyong Joon"},{"family":"Shin","given":"Eun Ha"},{"family":"Hong","given":"Seok Yeong"},{"family":"Hong","given":"Ki-Ha"},{"family":"Zhang","given":"Fei"},{"family":"Im","given":"Sang Hyuk"}],"issued":{"date-parts":[["2024"]]}}}],"schema":"https://github.com/citation-style-language/schema/raw/master/csl-citation.json"} </w:instrText>
      </w:r>
      <w:r w:rsidR="00A27358">
        <w:rPr>
          <w:rFonts w:ascii="Times New Roman" w:hAnsi="Times New Roman" w:cs="Times New Roman"/>
        </w:rPr>
        <w:fldChar w:fldCharType="separate"/>
      </w:r>
      <w:r w:rsidR="00C72A16" w:rsidRPr="00C72A16">
        <w:rPr>
          <w:rFonts w:ascii="Times New Roman" w:hAnsi="Times New Roman" w:cs="Times New Roman"/>
        </w:rPr>
        <w:t>[22]</w:t>
      </w:r>
      <w:r w:rsidR="00A27358">
        <w:rPr>
          <w:rFonts w:ascii="Times New Roman" w:hAnsi="Times New Roman" w:cs="Times New Roman"/>
        </w:rPr>
        <w:fldChar w:fldCharType="end"/>
      </w:r>
      <w:r w:rsidR="009838AD" w:rsidRPr="00881899">
        <w:rPr>
          <w:rFonts w:ascii="Times New Roman" w:hAnsi="Times New Roman" w:cs="Times New Roman"/>
        </w:rPr>
        <w:t xml:space="preserve"> employed a spray</w:t>
      </w:r>
      <w:r w:rsidR="007B1058">
        <w:rPr>
          <w:rFonts w:ascii="Times New Roman" w:hAnsi="Times New Roman" w:cs="Times New Roman"/>
        </w:rPr>
        <w:t>-</w:t>
      </w:r>
      <w:r w:rsidR="009838AD" w:rsidRPr="00881899">
        <w:rPr>
          <w:rFonts w:ascii="Times New Roman" w:hAnsi="Times New Roman" w:cs="Times New Roman"/>
        </w:rPr>
        <w:t xml:space="preserve">coated inorganic 0D </w:t>
      </w:r>
      <w:r>
        <w:rPr>
          <w:rFonts w:ascii="Times New Roman" w:hAnsi="Times New Roman" w:cs="Times New Roman" w:hint="eastAsia"/>
        </w:rPr>
        <w:t>Cs</w:t>
      </w:r>
      <w:r w:rsidRPr="004B7242">
        <w:rPr>
          <w:rFonts w:ascii="Times New Roman" w:hAnsi="Times New Roman" w:cs="Times New Roman" w:hint="eastAsia"/>
          <w:vertAlign w:val="subscript"/>
        </w:rPr>
        <w:t>4</w:t>
      </w:r>
      <w:r>
        <w:rPr>
          <w:rFonts w:ascii="Times New Roman" w:hAnsi="Times New Roman" w:cs="Times New Roman" w:hint="eastAsia"/>
        </w:rPr>
        <w:t>PbBr</w:t>
      </w:r>
      <w:r w:rsidRPr="004B7242">
        <w:rPr>
          <w:rFonts w:ascii="Times New Roman" w:hAnsi="Times New Roman" w:cs="Times New Roman" w:hint="eastAsia"/>
          <w:vertAlign w:val="subscript"/>
        </w:rPr>
        <w:t>6</w:t>
      </w:r>
      <w:r>
        <w:rPr>
          <w:rFonts w:ascii="Times New Roman" w:hAnsi="Times New Roman" w:cs="Times New Roman" w:hint="eastAsia"/>
          <w:vertAlign w:val="subscript"/>
        </w:rPr>
        <w:t xml:space="preserve"> </w:t>
      </w:r>
      <w:r w:rsidR="009838AD" w:rsidRPr="00881899">
        <w:rPr>
          <w:rFonts w:ascii="Times New Roman" w:hAnsi="Times New Roman" w:cs="Times New Roman"/>
        </w:rPr>
        <w:t>capping layer on</w:t>
      </w:r>
      <w:r w:rsidR="00AB6673">
        <w:rPr>
          <w:rFonts w:ascii="Times New Roman" w:hAnsi="Times New Roman" w:cs="Times New Roman" w:hint="eastAsia"/>
        </w:rPr>
        <w:t xml:space="preserve"> CsPbI</w:t>
      </w:r>
      <w:r w:rsidR="00AB6673" w:rsidRPr="00AB6673">
        <w:rPr>
          <w:rFonts w:ascii="Times New Roman" w:hAnsi="Times New Roman" w:cs="Times New Roman" w:hint="eastAsia"/>
          <w:vertAlign w:val="subscript"/>
        </w:rPr>
        <w:t>3</w:t>
      </w:r>
      <w:r w:rsidR="009838AD" w:rsidRPr="00881899">
        <w:rPr>
          <w:rFonts w:ascii="Times New Roman" w:hAnsi="Times New Roman" w:cs="Times New Roman"/>
        </w:rPr>
        <w:t xml:space="preserve"> absorbers to improve lattice matching, boost charge extraction and suppress non</w:t>
      </w:r>
      <w:r w:rsidR="007B1058">
        <w:rPr>
          <w:rFonts w:ascii="Times New Roman" w:hAnsi="Times New Roman" w:cs="Times New Roman"/>
        </w:rPr>
        <w:t>-</w:t>
      </w:r>
      <w:r w:rsidR="009838AD" w:rsidRPr="00881899">
        <w:rPr>
          <w:rFonts w:ascii="Times New Roman" w:hAnsi="Times New Roman" w:cs="Times New Roman"/>
        </w:rPr>
        <w:t xml:space="preserve">radiative recombination; and other studies have introduced </w:t>
      </w:r>
      <w:r w:rsidR="00200225">
        <w:rPr>
          <w:rFonts w:ascii="Times New Roman" w:hAnsi="Times New Roman" w:cs="Times New Roman" w:hint="eastAsia"/>
        </w:rPr>
        <w:t>Cs</w:t>
      </w:r>
      <w:r w:rsidR="00200225" w:rsidRPr="004B7242">
        <w:rPr>
          <w:rFonts w:ascii="Times New Roman" w:hAnsi="Times New Roman" w:cs="Times New Roman" w:hint="eastAsia"/>
          <w:vertAlign w:val="subscript"/>
        </w:rPr>
        <w:t>4</w:t>
      </w:r>
      <w:r w:rsidR="00200225">
        <w:rPr>
          <w:rFonts w:ascii="Times New Roman" w:hAnsi="Times New Roman" w:cs="Times New Roman" w:hint="eastAsia"/>
        </w:rPr>
        <w:t>PbBr</w:t>
      </w:r>
      <w:r w:rsidR="00200225" w:rsidRPr="004B7242">
        <w:rPr>
          <w:rFonts w:ascii="Times New Roman" w:hAnsi="Times New Roman" w:cs="Times New Roman" w:hint="eastAsia"/>
          <w:vertAlign w:val="subscript"/>
        </w:rPr>
        <w:t>6</w:t>
      </w:r>
      <w:r w:rsidR="009838AD" w:rsidRPr="00881899">
        <w:rPr>
          <w:rFonts w:ascii="Times New Roman" w:hAnsi="Times New Roman" w:cs="Times New Roman"/>
        </w:rPr>
        <w:t xml:space="preserve"> nanocrystals directly into perovskite precursor inks as 0D additives to regulate crystallisation, enrich grain boundaries with a </w:t>
      </w:r>
      <w:r>
        <w:rPr>
          <w:rFonts w:ascii="Times New Roman" w:hAnsi="Times New Roman" w:cs="Times New Roman" w:hint="eastAsia"/>
        </w:rPr>
        <w:t>Cs</w:t>
      </w:r>
      <w:r w:rsidRPr="004B7242">
        <w:rPr>
          <w:rFonts w:ascii="Times New Roman" w:hAnsi="Times New Roman" w:cs="Times New Roman" w:hint="eastAsia"/>
          <w:vertAlign w:val="subscript"/>
        </w:rPr>
        <w:t>4</w:t>
      </w:r>
      <w:r>
        <w:rPr>
          <w:rFonts w:ascii="Times New Roman" w:hAnsi="Times New Roman" w:cs="Times New Roman" w:hint="eastAsia"/>
        </w:rPr>
        <w:t>PbBr</w:t>
      </w:r>
      <w:r w:rsidRPr="004B7242">
        <w:rPr>
          <w:rFonts w:ascii="Times New Roman" w:hAnsi="Times New Roman" w:cs="Times New Roman" w:hint="eastAsia"/>
          <w:vertAlign w:val="subscript"/>
        </w:rPr>
        <w:t>6</w:t>
      </w:r>
      <w:r w:rsidR="007B1058">
        <w:rPr>
          <w:rFonts w:ascii="Times New Roman" w:hAnsi="Times New Roman" w:cs="Times New Roman"/>
        </w:rPr>
        <w:t>-</w:t>
      </w:r>
      <w:r w:rsidR="009838AD" w:rsidRPr="00881899">
        <w:rPr>
          <w:rFonts w:ascii="Times New Roman" w:hAnsi="Times New Roman" w:cs="Times New Roman"/>
        </w:rPr>
        <w:t>like phase and improve long</w:t>
      </w:r>
      <w:r w:rsidR="007B1058">
        <w:rPr>
          <w:rFonts w:ascii="Times New Roman" w:hAnsi="Times New Roman" w:cs="Times New Roman"/>
        </w:rPr>
        <w:t>-</w:t>
      </w:r>
      <w:r w:rsidR="009838AD" w:rsidRPr="00881899">
        <w:rPr>
          <w:rFonts w:ascii="Times New Roman" w:hAnsi="Times New Roman" w:cs="Times New Roman"/>
        </w:rPr>
        <w:t>term device stability</w:t>
      </w:r>
      <w:r w:rsidR="00A27358">
        <w:rPr>
          <w:rFonts w:ascii="Times New Roman" w:hAnsi="Times New Roman" w:cs="Times New Roman"/>
        </w:rPr>
        <w:fldChar w:fldCharType="begin"/>
      </w:r>
      <w:r w:rsidR="00C72A16">
        <w:rPr>
          <w:rFonts w:ascii="Times New Roman" w:hAnsi="Times New Roman" w:cs="Times New Roman"/>
        </w:rPr>
        <w:instrText xml:space="preserve"> ADDIN ZOTERO_ITEM CSL_CITATION {"citationID":"leTZH3wK","properties":{"formattedCitation":"[20]","plainCitation":"[20]","noteIndex":0},"citationItems":[{"id":142,"uris":["http://zotero.org/users/17929675/items/MELMWAJP"],"itemData":{"id":142,"type":"arti</w:instrText>
      </w:r>
      <w:r w:rsidR="00C72A16">
        <w:rPr>
          <w:rFonts w:ascii="Times New Roman" w:hAnsi="Times New Roman" w:cs="Times New Roman" w:hint="eastAsia"/>
        </w:rPr>
        <w:instrText xml:space="preserve">cle-journal","abstract":"Formamidinium lead iodide perovskite and its derivatives, such as FA0.90MA0.05Cs0.05PbI3 (band gap </w:instrText>
      </w:r>
      <w:r w:rsidR="00C72A16">
        <w:rPr>
          <w:rFonts w:ascii="Times New Roman" w:hAnsi="Times New Roman" w:cs="Times New Roman" w:hint="eastAsia"/>
        </w:rPr>
        <w:instrText>≈</w:instrText>
      </w:r>
      <w:r w:rsidR="00C72A16">
        <w:rPr>
          <w:rFonts w:ascii="Times New Roman" w:hAnsi="Times New Roman" w:cs="Times New Roman" w:hint="eastAsia"/>
        </w:rPr>
        <w:instrText xml:space="preserve">1.56 eV), are promising for use in solar cells. However, uncontrolled growth and transformation of perovskite (111) facets during </w:instrText>
      </w:r>
      <w:r w:rsidR="00C72A16">
        <w:rPr>
          <w:rFonts w:ascii="Times New Roman" w:hAnsi="Times New Roman" w:cs="Times New Roman"/>
        </w:rPr>
        <w:instrText xml:space="preserve">the crystallization process poses a challenge for the production of high-efficiency and long-term stability devices. Here, a zero-dimensional perovskite decoration method is shown to improve the facet regularity of FA0.90MA0.05Cs0.053 films by suppressing the formation of (111) facets in the perovskite crystallization process. Due to its unique crystal structure, the zero-dimensional Cs4PbBr6/CsPbBr3 (a composite of phases Cs4PbBr6 and CsPbBr3 with Cs4PbBr6 as the major phase) nanocrystal acts as a pinning particle, i.e., as a spatial obstacle, to prevent the uncontrolled growth of specific crystal facets during crystallization. The FA0.90MA0.05Cs0.05PbI3 perovskite decorated with Cs4PbBr6/CsPbBr3 improves power conversion efficiency to 25.52% in standard test conditions with high open circuit voltage of 1.177 V. The encapsulated devices maintain more than 93.8% of their original efficiency after exposure to 1500 h of continuous 1-sun illumination under Maximum Power Point Tracking conditions at 50–55 °C.","container-title":"Advanced Functional Materials","DOI":"10.1002/adfm.202508064","ISSN":"1616-3028","issue":"51","language":"en","note":"_eprint: https://advanced.onlinelibrary.wiley.com/doi/pdf/10.1002/adfm.202508064","page":"e08064","source":"Wiley Online Library","title":"Modulating Crystallization of Perovskite Thin Films via Zero-Dimensional Cs4PbBr6 Nanocrystals","volume":"35","author":[{"family":"Shi","given":"Haodan"},{"family":"Huang","given":"Junyi"},{"family":"Sun","given":"Tianyu"},{"family":"Yu","given":"Haixuan"},{"family":"Hu","given":"Yong"},{"family":"Li","given":"Xiongjie"},{"family":"Ma","given":"Xiaoting"},{"family":"Yang","given":"Wanpeng"},{"family":"Liu","given":"Zhirong"},{"family":"Wang","given":"Lei"},{"family":"Hu","given":"Bing"},{"family":"Shen","given":"Yan"},{"family":"Wang","given":"Mingkui"}],"issued":{"date-parts":[["2025"]]}}}],"schema":"https://github.com/citation-style-language/schema/raw/master/csl-citation.json"} </w:instrText>
      </w:r>
      <w:r w:rsidR="00A27358">
        <w:rPr>
          <w:rFonts w:ascii="Times New Roman" w:hAnsi="Times New Roman" w:cs="Times New Roman"/>
        </w:rPr>
        <w:fldChar w:fldCharType="separate"/>
      </w:r>
      <w:r w:rsidR="00C72A16" w:rsidRPr="00C72A16">
        <w:rPr>
          <w:rFonts w:ascii="Times New Roman" w:hAnsi="Times New Roman" w:cs="Times New Roman"/>
        </w:rPr>
        <w:t>[20]</w:t>
      </w:r>
      <w:r w:rsidR="00A27358">
        <w:rPr>
          <w:rFonts w:ascii="Times New Roman" w:hAnsi="Times New Roman" w:cs="Times New Roman"/>
        </w:rPr>
        <w:fldChar w:fldCharType="end"/>
      </w:r>
      <w:r w:rsidR="009838AD" w:rsidRPr="00881899">
        <w:rPr>
          <w:rFonts w:ascii="Times New Roman" w:hAnsi="Times New Roman" w:cs="Times New Roman"/>
        </w:rPr>
        <w:t xml:space="preserve">. However, all these </w:t>
      </w:r>
      <w:r w:rsidR="00200225">
        <w:rPr>
          <w:rFonts w:ascii="Times New Roman" w:hAnsi="Times New Roman" w:cs="Times New Roman" w:hint="eastAsia"/>
        </w:rPr>
        <w:t>Cs</w:t>
      </w:r>
      <w:r w:rsidR="00200225" w:rsidRPr="004B7242">
        <w:rPr>
          <w:rFonts w:ascii="Times New Roman" w:hAnsi="Times New Roman" w:cs="Times New Roman" w:hint="eastAsia"/>
          <w:vertAlign w:val="subscript"/>
        </w:rPr>
        <w:t>4</w:t>
      </w:r>
      <w:r w:rsidR="00200225">
        <w:rPr>
          <w:rFonts w:ascii="Times New Roman" w:hAnsi="Times New Roman" w:cs="Times New Roman" w:hint="eastAsia"/>
        </w:rPr>
        <w:t>PbBr</w:t>
      </w:r>
      <w:r w:rsidR="00200225" w:rsidRPr="004B7242">
        <w:rPr>
          <w:rFonts w:ascii="Times New Roman" w:hAnsi="Times New Roman" w:cs="Times New Roman" w:hint="eastAsia"/>
          <w:vertAlign w:val="subscript"/>
        </w:rPr>
        <w:t>6</w:t>
      </w:r>
      <w:r w:rsidR="007B1058">
        <w:rPr>
          <w:rFonts w:ascii="Times New Roman" w:hAnsi="Times New Roman" w:cs="Times New Roman"/>
        </w:rPr>
        <w:t>-</w:t>
      </w:r>
      <w:r w:rsidR="009838AD" w:rsidRPr="00881899">
        <w:rPr>
          <w:rFonts w:ascii="Times New Roman" w:hAnsi="Times New Roman" w:cs="Times New Roman"/>
        </w:rPr>
        <w:t>based passivation schemes rely on pre</w:t>
      </w:r>
      <w:r w:rsidR="007B1058">
        <w:rPr>
          <w:rFonts w:ascii="Times New Roman" w:hAnsi="Times New Roman" w:cs="Times New Roman"/>
        </w:rPr>
        <w:t>-</w:t>
      </w:r>
      <w:r w:rsidR="009838AD" w:rsidRPr="00881899">
        <w:rPr>
          <w:rFonts w:ascii="Times New Roman" w:hAnsi="Times New Roman" w:cs="Times New Roman"/>
        </w:rPr>
        <w:t xml:space="preserve">synthesised nanocrystals and additional coating and/or annealing steps, often involving organic ligands that must be carefully managed to avoid resistive interlayers. </w:t>
      </w:r>
      <w:r w:rsidR="006478B7" w:rsidRPr="00881899">
        <w:rPr>
          <w:rFonts w:ascii="Times New Roman" w:hAnsi="Times New Roman" w:cs="Times New Roman"/>
        </w:rPr>
        <w:t>By contrast, our CsBr</w:t>
      </w:r>
      <w:r w:rsidR="007B1058">
        <w:rPr>
          <w:rFonts w:ascii="Times New Roman" w:hAnsi="Times New Roman" w:cs="Times New Roman"/>
        </w:rPr>
        <w:t>-</w:t>
      </w:r>
      <w:r w:rsidR="006478B7" w:rsidRPr="00881899">
        <w:rPr>
          <w:rFonts w:ascii="Times New Roman" w:hAnsi="Times New Roman" w:cs="Times New Roman"/>
        </w:rPr>
        <w:t>assisted two</w:t>
      </w:r>
      <w:r w:rsidR="007B1058">
        <w:rPr>
          <w:rFonts w:ascii="Times New Roman" w:hAnsi="Times New Roman" w:cs="Times New Roman"/>
        </w:rPr>
        <w:t>-</w:t>
      </w:r>
      <w:r w:rsidR="006478B7" w:rsidRPr="00881899">
        <w:rPr>
          <w:rFonts w:ascii="Times New Roman" w:hAnsi="Times New Roman" w:cs="Times New Roman"/>
        </w:rPr>
        <w:t xml:space="preserve">step route offers a much simpler implementation. The </w:t>
      </w:r>
      <w:r w:rsidR="000437DE">
        <w:rPr>
          <w:rFonts w:ascii="Times New Roman" w:hAnsi="Times New Roman" w:cs="Times New Roman" w:hint="eastAsia"/>
        </w:rPr>
        <w:t>Cs</w:t>
      </w:r>
      <w:r w:rsidR="000437DE" w:rsidRPr="004B7242">
        <w:rPr>
          <w:rFonts w:ascii="Times New Roman" w:hAnsi="Times New Roman" w:cs="Times New Roman" w:hint="eastAsia"/>
          <w:vertAlign w:val="subscript"/>
        </w:rPr>
        <w:t>4</w:t>
      </w:r>
      <w:r w:rsidR="000437DE">
        <w:rPr>
          <w:rFonts w:ascii="Times New Roman" w:hAnsi="Times New Roman" w:cs="Times New Roman" w:hint="eastAsia"/>
        </w:rPr>
        <w:t>Pb(Br,I)</w:t>
      </w:r>
      <w:r w:rsidR="000437DE" w:rsidRPr="004B7242">
        <w:rPr>
          <w:rFonts w:ascii="Times New Roman" w:hAnsi="Times New Roman" w:cs="Times New Roman" w:hint="eastAsia"/>
          <w:vertAlign w:val="subscript"/>
        </w:rPr>
        <w:t>6</w:t>
      </w:r>
      <w:r w:rsidR="007B1058">
        <w:rPr>
          <w:rFonts w:ascii="Times New Roman" w:hAnsi="Times New Roman" w:cs="Times New Roman"/>
        </w:rPr>
        <w:t>-</w:t>
      </w:r>
      <w:r w:rsidR="006478B7" w:rsidRPr="00881899">
        <w:rPr>
          <w:rFonts w:ascii="Times New Roman" w:hAnsi="Times New Roman" w:cs="Times New Roman"/>
        </w:rPr>
        <w:t xml:space="preserve">like domains are not introduced as an external additive but form </w:t>
      </w:r>
      <w:r w:rsidR="006478B7">
        <w:rPr>
          <w:rFonts w:ascii="Times New Roman" w:hAnsi="Times New Roman" w:cs="Times New Roman" w:hint="eastAsia"/>
        </w:rPr>
        <w:t>in</w:t>
      </w:r>
      <w:r w:rsidR="007B1058">
        <w:rPr>
          <w:rFonts w:ascii="Times New Roman" w:hAnsi="Times New Roman" w:cs="Times New Roman" w:hint="eastAsia"/>
        </w:rPr>
        <w:t>-</w:t>
      </w:r>
      <w:r w:rsidR="006478B7">
        <w:rPr>
          <w:rFonts w:ascii="Times New Roman" w:hAnsi="Times New Roman" w:cs="Times New Roman" w:hint="eastAsia"/>
        </w:rPr>
        <w:t xml:space="preserve">situ </w:t>
      </w:r>
      <w:r w:rsidR="006478B7" w:rsidRPr="00881899">
        <w:rPr>
          <w:rFonts w:ascii="Times New Roman" w:hAnsi="Times New Roman" w:cs="Times New Roman"/>
        </w:rPr>
        <w:t>from the same Pb</w:t>
      </w:r>
      <w:r w:rsidR="007B1058">
        <w:rPr>
          <w:rFonts w:ascii="Times New Roman" w:hAnsi="Times New Roman" w:cs="Times New Roman" w:hint="eastAsia"/>
        </w:rPr>
        <w:t>-</w:t>
      </w:r>
      <w:r w:rsidR="006478B7" w:rsidRPr="00881899">
        <w:rPr>
          <w:rFonts w:ascii="Times New Roman" w:hAnsi="Times New Roman" w:cs="Times New Roman"/>
        </w:rPr>
        <w:t>halide</w:t>
      </w:r>
      <w:r w:rsidR="006478B7">
        <w:rPr>
          <w:rFonts w:ascii="Times New Roman" w:hAnsi="Times New Roman" w:cs="Times New Roman" w:hint="eastAsia"/>
        </w:rPr>
        <w:t>/</w:t>
      </w:r>
      <w:r w:rsidR="006478B7" w:rsidRPr="00881899">
        <w:rPr>
          <w:rFonts w:ascii="Times New Roman" w:hAnsi="Times New Roman" w:cs="Times New Roman"/>
        </w:rPr>
        <w:t>CsBr precursor stack via a controlled phase</w:t>
      </w:r>
      <w:r w:rsidR="007B1058">
        <w:rPr>
          <w:rFonts w:ascii="Times New Roman" w:hAnsi="Times New Roman" w:cs="Times New Roman"/>
        </w:rPr>
        <w:t>-</w:t>
      </w:r>
      <w:r w:rsidR="006478B7" w:rsidRPr="00881899">
        <w:rPr>
          <w:rFonts w:ascii="Times New Roman" w:hAnsi="Times New Roman" w:cs="Times New Roman"/>
        </w:rPr>
        <w:t>evolution pathway.</w:t>
      </w:r>
    </w:p>
    <w:p w14:paraId="40F6FB8E" w14:textId="752ECF31" w:rsidR="00BC1BC5" w:rsidRDefault="00BC1BC5" w:rsidP="003A794B">
      <w:pPr>
        <w:spacing w:line="360" w:lineRule="auto"/>
        <w:jc w:val="both"/>
        <w:rPr>
          <w:rFonts w:ascii="Times New Roman" w:hAnsi="Times New Roman" w:cs="Times New Roman"/>
        </w:rPr>
      </w:pPr>
    </w:p>
    <w:p w14:paraId="2DA35AB5" w14:textId="77777777" w:rsidR="006B21CD" w:rsidRPr="00881899" w:rsidRDefault="006B21CD" w:rsidP="00567C74">
      <w:pPr>
        <w:spacing w:line="360" w:lineRule="auto"/>
        <w:jc w:val="both"/>
        <w:rPr>
          <w:rFonts w:ascii="Times New Roman" w:hAnsi="Times New Roman" w:cs="Times New Roman"/>
        </w:rPr>
      </w:pPr>
    </w:p>
    <w:p w14:paraId="18DF7D5D" w14:textId="4BC924D0" w:rsidR="005B105B" w:rsidRDefault="005B105B" w:rsidP="001A32F0">
      <w:pPr>
        <w:pStyle w:val="Bibliography"/>
        <w:tabs>
          <w:tab w:val="left" w:pos="5348"/>
        </w:tabs>
        <w:spacing w:line="360" w:lineRule="auto"/>
        <w:rPr>
          <w:rFonts w:ascii="Times New Roman" w:hAnsi="Times New Roman" w:cs="Times New Roman"/>
          <w:b/>
          <w:bCs/>
        </w:rPr>
      </w:pPr>
      <w:r w:rsidRPr="005B105B">
        <w:rPr>
          <w:rFonts w:ascii="Times New Roman" w:hAnsi="Times New Roman" w:cs="Times New Roman"/>
          <w:b/>
          <w:bCs/>
        </w:rPr>
        <w:t>References</w:t>
      </w:r>
      <w:r w:rsidR="001A32F0">
        <w:rPr>
          <w:rFonts w:ascii="Times New Roman" w:hAnsi="Times New Roman" w:cs="Times New Roman"/>
          <w:b/>
          <w:bCs/>
        </w:rPr>
        <w:tab/>
      </w:r>
    </w:p>
    <w:p w14:paraId="57960EC9" w14:textId="77777777" w:rsidR="005B105B" w:rsidRPr="005B105B" w:rsidRDefault="005B105B" w:rsidP="00567C74">
      <w:pPr>
        <w:spacing w:line="360" w:lineRule="auto"/>
      </w:pPr>
    </w:p>
    <w:p w14:paraId="572DB29E" w14:textId="77777777" w:rsidR="00C72A16" w:rsidRPr="00C72A16" w:rsidRDefault="00566F22" w:rsidP="00C72A16">
      <w:pPr>
        <w:pStyle w:val="Bibliography"/>
        <w:rPr>
          <w:rFonts w:ascii="Aptos" w:hAnsi="Aptos"/>
        </w:rPr>
      </w:pPr>
      <w:r w:rsidRPr="00881899">
        <w:fldChar w:fldCharType="begin"/>
      </w:r>
      <w:r w:rsidR="00C72A16">
        <w:instrText xml:space="preserve"> ADDIN ZOTERO_BIBL {"uncited":[],"omitted":[],"custom":[]} CSL_BIBLIOGRAPHY </w:instrText>
      </w:r>
      <w:r w:rsidRPr="00881899">
        <w:fldChar w:fldCharType="separate"/>
      </w:r>
      <w:r w:rsidR="00C72A16" w:rsidRPr="00C72A16">
        <w:rPr>
          <w:rFonts w:ascii="Aptos" w:hAnsi="Aptos"/>
        </w:rPr>
        <w:t>[1]</w:t>
      </w:r>
      <w:r w:rsidR="00C72A16" w:rsidRPr="00C72A16">
        <w:rPr>
          <w:rFonts w:ascii="Aptos" w:hAnsi="Aptos"/>
        </w:rPr>
        <w:tab/>
        <w:t>E.T. Hoke, D.J. Slotcavage, E.R. Dohner, A.R. Bowring, H.I. Karunadasa, M.D. McGehee, Reversible photo-induced trap formation in mixed-halide hybrid perovskites for photovoltaics, Chem. Sci. 6 (2014) 613–617. https://doi.org/10.1039/C4SC03141E.</w:t>
      </w:r>
    </w:p>
    <w:p w14:paraId="0F2A2E05" w14:textId="77777777" w:rsidR="00C72A16" w:rsidRPr="00C72A16" w:rsidRDefault="00C72A16" w:rsidP="00C72A16">
      <w:pPr>
        <w:pStyle w:val="Bibliography"/>
        <w:rPr>
          <w:rFonts w:ascii="Aptos" w:hAnsi="Aptos"/>
        </w:rPr>
      </w:pPr>
      <w:r w:rsidRPr="00C72A16">
        <w:rPr>
          <w:rFonts w:ascii="Aptos" w:hAnsi="Aptos"/>
        </w:rPr>
        <w:t>[2]</w:t>
      </w:r>
      <w:r w:rsidRPr="00C72A16">
        <w:rPr>
          <w:rFonts w:ascii="Aptos" w:hAnsi="Aptos"/>
        </w:rPr>
        <w:tab/>
        <w:t>D.J. Slotcavage, H.I. Karunadasa, M.D. McGehee, Light-Induced Phase Segregation in Halide-Perovskite Absorbers, ACS Energy Lett. 1 (2016) 1199–1205. https://doi.org/10.1021/acsenergylett.6b00495.</w:t>
      </w:r>
    </w:p>
    <w:p w14:paraId="60343F65" w14:textId="77777777" w:rsidR="00C72A16" w:rsidRPr="00C72A16" w:rsidRDefault="00C72A16" w:rsidP="00C72A16">
      <w:pPr>
        <w:pStyle w:val="Bibliography"/>
        <w:rPr>
          <w:rFonts w:ascii="Aptos" w:hAnsi="Aptos"/>
        </w:rPr>
      </w:pPr>
      <w:r w:rsidRPr="00C72A16">
        <w:rPr>
          <w:rFonts w:ascii="Aptos" w:hAnsi="Aptos"/>
        </w:rPr>
        <w:t>[3]</w:t>
      </w:r>
      <w:r w:rsidRPr="00C72A16">
        <w:rPr>
          <w:rFonts w:ascii="Aptos" w:hAnsi="Aptos"/>
        </w:rPr>
        <w:tab/>
        <w:t>T. Duong, H.K. Mulmudi, Y. Wu, X. Fu, H. Shen, J. Peng, N. Wu, H.T. Nguyen, D. Macdonald, M. Lockrey, T.P. White, K. Weber, K. Catchpole, Light and Electrically Induced Phase Segregation and Its Impact on the Stability of Quadruple Cation High Bandgap Perovskite Solar Cells, ACS Appl. Mater. Interfaces 9 (2017) 26859–26866. https://doi.org/10.1021/acsami.7b06816.</w:t>
      </w:r>
    </w:p>
    <w:p w14:paraId="4F70EDC4" w14:textId="77777777" w:rsidR="00C72A16" w:rsidRPr="00C72A16" w:rsidRDefault="00C72A16" w:rsidP="00C72A16">
      <w:pPr>
        <w:pStyle w:val="Bibliography"/>
        <w:rPr>
          <w:rFonts w:ascii="Aptos" w:hAnsi="Aptos"/>
        </w:rPr>
      </w:pPr>
      <w:r w:rsidRPr="00C72A16">
        <w:rPr>
          <w:rFonts w:ascii="Aptos" w:hAnsi="Aptos"/>
        </w:rPr>
        <w:t>[4]</w:t>
      </w:r>
      <w:r w:rsidRPr="00C72A16">
        <w:rPr>
          <w:rFonts w:ascii="Aptos" w:hAnsi="Aptos"/>
        </w:rPr>
        <w:tab/>
        <w:t>J. Feng, B. He, Z. Yang, J. Li, M. Zhang, B. Yang, Z. Wu, H. Chen, J. Duan, Q. Tang, Thermal-electrical dual management for efficient and stable wide-bandgap perovskite solar cells, Nano Energy 148 (2026) 111696. https://doi.org/10.1016/j.nanoen.2025.111696.</w:t>
      </w:r>
    </w:p>
    <w:p w14:paraId="3A5E5D82" w14:textId="77777777" w:rsidR="00C72A16" w:rsidRPr="00C72A16" w:rsidRDefault="00C72A16" w:rsidP="00C72A16">
      <w:pPr>
        <w:pStyle w:val="Bibliography"/>
        <w:rPr>
          <w:rFonts w:ascii="Aptos" w:hAnsi="Aptos"/>
        </w:rPr>
      </w:pPr>
      <w:r w:rsidRPr="00C72A16">
        <w:rPr>
          <w:rFonts w:ascii="Aptos" w:hAnsi="Aptos"/>
        </w:rPr>
        <w:t>[5]</w:t>
      </w:r>
      <w:r w:rsidRPr="00C72A16">
        <w:rPr>
          <w:rFonts w:ascii="Aptos" w:hAnsi="Aptos"/>
        </w:rPr>
        <w:tab/>
        <w:t>X.-Y. He, B. Song, K.-L. Wang, N. Li, L. Huang, R.-H. Qin, J. Chen, C.-H. Chen, Y. Xia, I. Yavuz, Y.-H. Lou, Z.-K. Wang, Stopping Phase Separation Enables Durable Wide-Bandgap Photovoltaic Perovskites, Advanced Materials 38 (2026) e18492. https://doi.org/10.1002/adma.202518492.</w:t>
      </w:r>
    </w:p>
    <w:p w14:paraId="51360DE1" w14:textId="77777777" w:rsidR="00C72A16" w:rsidRPr="00C72A16" w:rsidRDefault="00C72A16" w:rsidP="00C72A16">
      <w:pPr>
        <w:pStyle w:val="Bibliography"/>
        <w:rPr>
          <w:rFonts w:ascii="Aptos" w:hAnsi="Aptos"/>
        </w:rPr>
      </w:pPr>
      <w:r w:rsidRPr="00C72A16">
        <w:rPr>
          <w:rFonts w:ascii="Aptos" w:hAnsi="Aptos"/>
        </w:rPr>
        <w:t>[6]</w:t>
      </w:r>
      <w:r w:rsidRPr="00C72A16">
        <w:rPr>
          <w:rFonts w:ascii="Aptos" w:hAnsi="Aptos"/>
        </w:rPr>
        <w:tab/>
        <w:t>G. Yang, H. Gu, J. Yin, C. Fei, Z. Shi, X. Shi, X. Ying, J. Huang, Reductive cation for scalable wide-bandgap perovskite solar cells in ambient air, Nat Sustain 8 (2025) 456–463. https://doi.org/10.1038/s41893-025-01529-5.</w:t>
      </w:r>
    </w:p>
    <w:p w14:paraId="21BF5FC9" w14:textId="77777777" w:rsidR="00C72A16" w:rsidRPr="00C72A16" w:rsidRDefault="00C72A16" w:rsidP="00C72A16">
      <w:pPr>
        <w:pStyle w:val="Bibliography"/>
        <w:rPr>
          <w:rFonts w:ascii="Aptos" w:hAnsi="Aptos"/>
        </w:rPr>
      </w:pPr>
      <w:r w:rsidRPr="00C72A16">
        <w:rPr>
          <w:rFonts w:ascii="Aptos" w:hAnsi="Aptos"/>
        </w:rPr>
        <w:t>[7]</w:t>
      </w:r>
      <w:r w:rsidRPr="00C72A16">
        <w:rPr>
          <w:rFonts w:ascii="Aptos" w:hAnsi="Aptos"/>
        </w:rPr>
        <w:tab/>
        <w:t>R. Jiang, Y. Yun, K. Sun, X. Cui, Q. Zhang, C. Hu, C. Jin, Q. Kong, Y. Liu, J. Gong, S. He, L. Qiu, C. Liu, S. Bai, C. Li, Z. Bo, F. Huang, Y.-B. Cheng, T. Bu, Crystallization modulation for wide-bandgap perovskites with universal defect passivation toward efficient perovskite/organic tandem photovoltaics, Nat Commun 17 (2026) 1375. https://doi.org/10.1038/s41467-025-68125-1.</w:t>
      </w:r>
    </w:p>
    <w:p w14:paraId="45CA5CD7" w14:textId="77777777" w:rsidR="00C72A16" w:rsidRPr="00C72A16" w:rsidRDefault="00C72A16" w:rsidP="00C72A16">
      <w:pPr>
        <w:pStyle w:val="Bibliography"/>
        <w:rPr>
          <w:rFonts w:ascii="Aptos" w:hAnsi="Aptos"/>
        </w:rPr>
      </w:pPr>
      <w:r w:rsidRPr="00C72A16">
        <w:rPr>
          <w:rFonts w:ascii="Aptos" w:hAnsi="Aptos"/>
        </w:rPr>
        <w:t>[8]</w:t>
      </w:r>
      <w:r w:rsidRPr="00C72A16">
        <w:rPr>
          <w:rFonts w:ascii="Aptos" w:hAnsi="Aptos"/>
        </w:rPr>
        <w:tab/>
        <w:t>Y. Xiang, H. Xin, C. Wang, F. Zhou, H. Zhang, P. Hang, L. Xu, X. Yu, J. Xue, D. Yang, Z. Ni, Mechanistic insights into defect-governed ion migration and phase instability in mixed-halide perovskites, Journal of Materials Chemistry A (2026). https://doi.org/10.1039/D5TA10296K.</w:t>
      </w:r>
    </w:p>
    <w:p w14:paraId="7F586E22" w14:textId="77777777" w:rsidR="00C72A16" w:rsidRPr="00C72A16" w:rsidRDefault="00C72A16" w:rsidP="00C72A16">
      <w:pPr>
        <w:pStyle w:val="Bibliography"/>
        <w:rPr>
          <w:rFonts w:ascii="Aptos" w:hAnsi="Aptos"/>
        </w:rPr>
      </w:pPr>
      <w:r w:rsidRPr="00C72A16">
        <w:rPr>
          <w:rFonts w:ascii="Aptos" w:hAnsi="Aptos"/>
        </w:rPr>
        <w:t>[9]</w:t>
      </w:r>
      <w:r w:rsidRPr="00C72A16">
        <w:rPr>
          <w:rFonts w:ascii="Aptos" w:hAnsi="Aptos"/>
        </w:rPr>
        <w:tab/>
        <w:t>M. Wang, Y. Feng, J. Bian, H. Liu, Y. Shi, A comparative study of one-step and two-step approaches for MAPbI3 perovskite layer and its influence on the performance of mesoscopic perovskite solar cell, Chemical Physics Letters 692 (2018) 44–49. https://doi.org/10.1016/j.cplett.2017.12.012.</w:t>
      </w:r>
    </w:p>
    <w:p w14:paraId="7E85F9DF" w14:textId="77777777" w:rsidR="00C72A16" w:rsidRPr="00C72A16" w:rsidRDefault="00C72A16" w:rsidP="00C72A16">
      <w:pPr>
        <w:pStyle w:val="Bibliography"/>
        <w:rPr>
          <w:rFonts w:ascii="Aptos" w:hAnsi="Aptos"/>
        </w:rPr>
      </w:pPr>
      <w:r w:rsidRPr="00C72A16">
        <w:rPr>
          <w:rFonts w:ascii="Aptos" w:hAnsi="Aptos"/>
        </w:rPr>
        <w:t>[10]</w:t>
      </w:r>
      <w:r w:rsidRPr="00C72A16">
        <w:rPr>
          <w:rFonts w:ascii="Aptos" w:hAnsi="Aptos"/>
        </w:rPr>
        <w:tab/>
        <w:t>A. Ummadisingu, M. Grätzel, Revealing the detailed path of sequential deposition for metal halide perovskite formation, Science Advances 4 (2018) e1701402. https://doi.org/10.1126/sciadv.1701402.</w:t>
      </w:r>
    </w:p>
    <w:p w14:paraId="74CFD306" w14:textId="77777777" w:rsidR="00C72A16" w:rsidRPr="00C72A16" w:rsidRDefault="00C72A16" w:rsidP="00C72A16">
      <w:pPr>
        <w:pStyle w:val="Bibliography"/>
        <w:rPr>
          <w:rFonts w:ascii="Aptos" w:hAnsi="Aptos"/>
        </w:rPr>
      </w:pPr>
      <w:r w:rsidRPr="00C72A16">
        <w:rPr>
          <w:rFonts w:ascii="Aptos" w:hAnsi="Aptos"/>
        </w:rPr>
        <w:t>[11]</w:t>
      </w:r>
      <w:r w:rsidRPr="00C72A16">
        <w:rPr>
          <w:rFonts w:ascii="Aptos" w:hAnsi="Aptos"/>
        </w:rPr>
        <w:tab/>
        <w:t>J. Burschka, N. Pellet, S.-J. Moon, R. Humphry-Baker, P. Gao, M.K. Nazeeruddin, M. Grätzel, Sequential deposition as a route to high-performance perovskite-sensitized solar cells, Nature 499 (2013) 316–319. https://doi.org/10.1038/nature12340.</w:t>
      </w:r>
    </w:p>
    <w:p w14:paraId="63DF867D" w14:textId="77777777" w:rsidR="00C72A16" w:rsidRPr="00C72A16" w:rsidRDefault="00C72A16" w:rsidP="00C72A16">
      <w:pPr>
        <w:pStyle w:val="Bibliography"/>
        <w:rPr>
          <w:rFonts w:ascii="Aptos" w:hAnsi="Aptos"/>
        </w:rPr>
      </w:pPr>
      <w:r w:rsidRPr="00C72A16">
        <w:rPr>
          <w:rFonts w:ascii="Aptos" w:hAnsi="Aptos"/>
        </w:rPr>
        <w:t>[12]</w:t>
      </w:r>
      <w:r w:rsidRPr="00C72A16">
        <w:rPr>
          <w:rFonts w:ascii="Aptos" w:hAnsi="Aptos"/>
        </w:rPr>
        <w:tab/>
        <w:t>T. Abzieher, D. T. Moore, M. Roß, S. Albrecht, J. Silvia, H. Tan, Q. Jeangros, C. Ballif, M. T. Hoerantner, B.-S. Kim, H. J. Bolink, P. Pistor, J. Christoph Goldschmidt, Y.-H. Chiang, S. D. Stranks, J. Borchert, M. D. McGehee, M. Morales-Masis, J. B. Patel, A. Bruno, U. W. Paetzold, Vapor phase deposition of perovskite photovoltaics: short track to commercialization?, (2024). https://doi.org/10.1039/D3EE03273F.</w:t>
      </w:r>
    </w:p>
    <w:p w14:paraId="11374640" w14:textId="77777777" w:rsidR="00C72A16" w:rsidRPr="00C72A16" w:rsidRDefault="00C72A16" w:rsidP="00C72A16">
      <w:pPr>
        <w:pStyle w:val="Bibliography"/>
        <w:rPr>
          <w:rFonts w:ascii="Aptos" w:hAnsi="Aptos"/>
        </w:rPr>
      </w:pPr>
      <w:r w:rsidRPr="00C72A16">
        <w:rPr>
          <w:rFonts w:ascii="Aptos" w:hAnsi="Aptos"/>
        </w:rPr>
        <w:t>[13]</w:t>
      </w:r>
      <w:r w:rsidRPr="00C72A16">
        <w:rPr>
          <w:rFonts w:ascii="Aptos" w:hAnsi="Aptos"/>
        </w:rPr>
        <w:tab/>
        <w:t>Inorganic–organic hybrid materials based on PbBr2 and pyridine–hydrazone blocks – structural and theoretical study - RSC Advances (RSC Publishing), (n.d.). https://pubs.rsc.org/en/content/articlelanding/2016/ra/c6ra13462a (accessed September 5, 2025).</w:t>
      </w:r>
    </w:p>
    <w:p w14:paraId="108EBAC1" w14:textId="77777777" w:rsidR="00C72A16" w:rsidRPr="00C72A16" w:rsidRDefault="00C72A16" w:rsidP="00C72A16">
      <w:pPr>
        <w:pStyle w:val="Bibliography"/>
        <w:rPr>
          <w:rFonts w:ascii="Aptos" w:hAnsi="Aptos"/>
        </w:rPr>
      </w:pPr>
      <w:r w:rsidRPr="00C72A16">
        <w:rPr>
          <w:rFonts w:ascii="Aptos" w:hAnsi="Aptos"/>
        </w:rPr>
        <w:t>[14]</w:t>
      </w:r>
      <w:r w:rsidRPr="00C72A16">
        <w:rPr>
          <w:rFonts w:ascii="Aptos" w:hAnsi="Aptos"/>
        </w:rPr>
        <w:tab/>
        <w:t>A. Jana, M. Mittal, A. Singla, S. Sapra, Solvent-free, mechanochemical syntheses of bulk trihalide perovskites and their nanoparticles, Chem. Commun. 53 (2017) 3046–3049. https://doi.org/10.1039/C7CC00666G.</w:t>
      </w:r>
    </w:p>
    <w:p w14:paraId="4E9F25C0" w14:textId="77777777" w:rsidR="00C72A16" w:rsidRPr="00C72A16" w:rsidRDefault="00C72A16" w:rsidP="00C72A16">
      <w:pPr>
        <w:pStyle w:val="Bibliography"/>
        <w:rPr>
          <w:rFonts w:ascii="Aptos" w:hAnsi="Aptos"/>
        </w:rPr>
      </w:pPr>
      <w:r w:rsidRPr="00C72A16">
        <w:rPr>
          <w:rFonts w:ascii="Aptos" w:hAnsi="Aptos"/>
        </w:rPr>
        <w:t>[15]</w:t>
      </w:r>
      <w:r w:rsidRPr="00C72A16">
        <w:rPr>
          <w:rFonts w:ascii="Aptos" w:hAnsi="Aptos"/>
        </w:rPr>
        <w:tab/>
        <w:t>Q. Li, Y. Zhao, W. Zhou, Z. Han, R. Fu, F. Lin, D. Yu, Q. Zhao, Halogen Engineering for Operationally Stable Perovskite Solar Cells via Sequential Deposition, Advanced Energy Materials 9 (2019) 1902239. https://doi.org/10.1002/aenm.201902239.</w:t>
      </w:r>
    </w:p>
    <w:p w14:paraId="4A7813F6" w14:textId="77777777" w:rsidR="00C72A16" w:rsidRPr="00C72A16" w:rsidRDefault="00C72A16" w:rsidP="00C72A16">
      <w:pPr>
        <w:pStyle w:val="Bibliography"/>
        <w:rPr>
          <w:rFonts w:ascii="Aptos" w:hAnsi="Aptos"/>
        </w:rPr>
      </w:pPr>
      <w:r w:rsidRPr="00C72A16">
        <w:rPr>
          <w:rFonts w:ascii="Aptos" w:hAnsi="Aptos"/>
        </w:rPr>
        <w:t>[16]</w:t>
      </w:r>
      <w:r w:rsidRPr="00C72A16">
        <w:rPr>
          <w:rFonts w:ascii="Aptos" w:hAnsi="Aptos"/>
        </w:rPr>
        <w:tab/>
        <w:t>Y. Yin, Y. Liu, G. Cao, Z. Lv, H. Zong, Y. Cheng, Q. Dong, C. Liu, M. Li, B. Zhang, Optical properties and mechanical induced phase transition of CsPb2Br5 and CsPbBr3 nanocrystals, Journal of Alloys and Compounds 947 (2023) 169439. https://doi.org/10.1016/j.jallcom.2023.169439.</w:t>
      </w:r>
    </w:p>
    <w:p w14:paraId="7BA29CB4" w14:textId="77777777" w:rsidR="00C72A16" w:rsidRPr="00C72A16" w:rsidRDefault="00C72A16" w:rsidP="00C72A16">
      <w:pPr>
        <w:pStyle w:val="Bibliography"/>
        <w:rPr>
          <w:rFonts w:ascii="Aptos" w:hAnsi="Aptos"/>
        </w:rPr>
      </w:pPr>
      <w:r w:rsidRPr="00C72A16">
        <w:rPr>
          <w:rFonts w:ascii="Aptos" w:hAnsi="Aptos"/>
        </w:rPr>
        <w:t>[17]</w:t>
      </w:r>
      <w:r w:rsidRPr="00C72A16">
        <w:rPr>
          <w:rFonts w:ascii="Aptos" w:hAnsi="Aptos"/>
        </w:rPr>
        <w:tab/>
        <w:t>J. Li, H. Zhang, S. Wang, D. Long, M. Li, D. Wang, T. Zhang, Inter-Conversion between Different Compounds of Ternary Cs-Pb-Br System, Materials 11 (2018). https://doi.org/10.3390/ma11050717.</w:t>
      </w:r>
    </w:p>
    <w:p w14:paraId="2862AB84" w14:textId="77777777" w:rsidR="00C72A16" w:rsidRPr="00C72A16" w:rsidRDefault="00C72A16" w:rsidP="00C72A16">
      <w:pPr>
        <w:pStyle w:val="Bibliography"/>
        <w:rPr>
          <w:rFonts w:ascii="Aptos" w:hAnsi="Aptos"/>
        </w:rPr>
      </w:pPr>
      <w:r w:rsidRPr="00C72A16">
        <w:rPr>
          <w:rFonts w:ascii="Aptos" w:hAnsi="Aptos"/>
        </w:rPr>
        <w:t>[18]</w:t>
      </w:r>
      <w:r w:rsidRPr="00C72A16">
        <w:rPr>
          <w:rFonts w:ascii="Aptos" w:hAnsi="Aptos"/>
        </w:rPr>
        <w:tab/>
        <w:t>J. Yin, Y. Zhang, A. Bruno, C. Soci, O.M. Bakr, J.-L. Brédas, O.F. Mohammed, Intrinsic Lead Ion Emissions in Zero-Dimensional Cs4PbBr6 Nanocrystals, ACS Energy Lett. 2 (2017) 2805–2811. https://doi.org/10.1021/acsenergylett.7b01026.</w:t>
      </w:r>
    </w:p>
    <w:p w14:paraId="6C5A9FD2" w14:textId="77777777" w:rsidR="00C72A16" w:rsidRPr="00C72A16" w:rsidRDefault="00C72A16" w:rsidP="00C72A16">
      <w:pPr>
        <w:pStyle w:val="Bibliography"/>
        <w:rPr>
          <w:rFonts w:ascii="Aptos" w:hAnsi="Aptos"/>
        </w:rPr>
      </w:pPr>
      <w:r w:rsidRPr="00C72A16">
        <w:rPr>
          <w:rFonts w:ascii="Aptos" w:hAnsi="Aptos"/>
        </w:rPr>
        <w:t>[19]</w:t>
      </w:r>
      <w:r w:rsidRPr="00C72A16">
        <w:rPr>
          <w:rFonts w:ascii="Aptos" w:hAnsi="Aptos"/>
        </w:rPr>
        <w:tab/>
        <w:t>F. Palazon, C. Urso, L. De Trizio, Q. Akkerman, S. Marras, F. Locardi, I. Nelli, M. Ferretti, M. Prato, L. Manna, Postsynthesis Transformation of Insulating Cs4PbBr6 Nanocrystals into Bright Perovskite CsPbBr3 through Physical and Chemical Extraction of CsBr, ACS Energy Lett. 2 (2017) 2445–2448. https://doi.org/10.1021/acsenergylett.7b00842.</w:t>
      </w:r>
    </w:p>
    <w:p w14:paraId="6BB23652" w14:textId="77777777" w:rsidR="00C72A16" w:rsidRPr="00C72A16" w:rsidRDefault="00C72A16" w:rsidP="00C72A16">
      <w:pPr>
        <w:pStyle w:val="Bibliography"/>
        <w:rPr>
          <w:rFonts w:ascii="Aptos" w:hAnsi="Aptos"/>
        </w:rPr>
      </w:pPr>
      <w:r w:rsidRPr="00C72A16">
        <w:rPr>
          <w:rFonts w:ascii="Aptos" w:hAnsi="Aptos"/>
        </w:rPr>
        <w:t>[20]</w:t>
      </w:r>
      <w:r w:rsidRPr="00C72A16">
        <w:rPr>
          <w:rFonts w:ascii="Aptos" w:hAnsi="Aptos"/>
        </w:rPr>
        <w:tab/>
        <w:t>H. Shi, J. Huang, T. Sun, H. Yu, Y. Hu, X. Li, X. Ma, W. Yang, Z. Liu, L. Wang, B. Hu, Y. Shen, M. Wang, Modulating Crystallization of Perovskite Thin Films via Zero-Dimensional Cs4PbBr6 Nanocrystals, Advanced Functional Materials 35 (2025) e08064. https://doi.org/10.1002/adfm.202508064.</w:t>
      </w:r>
    </w:p>
    <w:p w14:paraId="2EDACB85" w14:textId="77777777" w:rsidR="00C72A16" w:rsidRPr="00C72A16" w:rsidRDefault="00C72A16" w:rsidP="00C72A16">
      <w:pPr>
        <w:pStyle w:val="Bibliography"/>
        <w:rPr>
          <w:rFonts w:ascii="Aptos" w:hAnsi="Aptos"/>
        </w:rPr>
      </w:pPr>
      <w:r w:rsidRPr="00C72A16">
        <w:rPr>
          <w:rFonts w:ascii="Aptos" w:hAnsi="Aptos"/>
        </w:rPr>
        <w:t>[21]</w:t>
      </w:r>
      <w:r w:rsidRPr="00C72A16">
        <w:rPr>
          <w:rFonts w:ascii="Aptos" w:hAnsi="Aptos"/>
        </w:rPr>
        <w:tab/>
        <w:t xml:space="preserve">W. Liu, M. Cao, J. Zhang, J. Jiang, H. Yu, X. Hao, J. Zhang, H. Guo, B. Fang, N. Yuan, X. Fan, S. Zhang, J. Ding, Reversible degradation-assisted interface engineering </w:t>
      </w:r>
      <w:r w:rsidRPr="00C72A16">
        <w:rPr>
          <w:rFonts w:ascii="Aptos" w:hAnsi="Aptos"/>
          <w:i/>
          <w:iCs/>
        </w:rPr>
        <w:t>via</w:t>
      </w:r>
      <w:r w:rsidRPr="00C72A16">
        <w:rPr>
          <w:rFonts w:ascii="Aptos" w:hAnsi="Aptos"/>
        </w:rPr>
        <w:t xml:space="preserve"> Cs4PbBr6 nanocrystals to boost the performance of CsPbI2Br perovskite solar cells, Journal of Power Sources 530 (2022) 231294. https://doi.org/10.1016/j.jpowsour.2022.231294.</w:t>
      </w:r>
    </w:p>
    <w:p w14:paraId="1ABE7E2B" w14:textId="77777777" w:rsidR="00C72A16" w:rsidRPr="00C72A16" w:rsidRDefault="00C72A16" w:rsidP="00C72A16">
      <w:pPr>
        <w:pStyle w:val="Bibliography"/>
        <w:rPr>
          <w:rFonts w:ascii="Aptos" w:hAnsi="Aptos"/>
        </w:rPr>
      </w:pPr>
      <w:r w:rsidRPr="00C72A16">
        <w:rPr>
          <w:rFonts w:ascii="Aptos" w:hAnsi="Aptos"/>
        </w:rPr>
        <w:t>[22]</w:t>
      </w:r>
      <w:r w:rsidRPr="00C72A16">
        <w:rPr>
          <w:rFonts w:ascii="Aptos" w:hAnsi="Aptos"/>
        </w:rPr>
        <w:tab/>
        <w:t>J.H. Heo, J.K. Park, H.J. Lee, E.H. Shin, S.Y. Hong, K.-H. Hong, F. Zhang, S.H. Im, Inorganic-Derived 0D Perovskite Induced Surface Lattice Arrangement for Efficient and Stable All-Inorganic Perovskite Solar Cells, Advanced Materials 36 (2024) 2408387. https://doi.org/10.1002/adma.202408387.</w:t>
      </w:r>
    </w:p>
    <w:p w14:paraId="10E39F98" w14:textId="79B147F1" w:rsidR="002D4F66" w:rsidRPr="00E836BB" w:rsidRDefault="00566F22" w:rsidP="00E836BB">
      <w:pPr>
        <w:spacing w:before="100" w:beforeAutospacing="1" w:after="100" w:afterAutospacing="1" w:line="360" w:lineRule="auto"/>
        <w:jc w:val="both"/>
        <w:rPr>
          <w:rFonts w:ascii="Times New Roman" w:hAnsi="Times New Roman" w:cs="Times New Roman"/>
          <w:kern w:val="0"/>
          <w14:ligatures w14:val="none"/>
        </w:rPr>
      </w:pPr>
      <w:r w:rsidRPr="00881899">
        <w:rPr>
          <w:rFonts w:ascii="Times New Roman" w:hAnsi="Times New Roman" w:cs="Times New Roman"/>
        </w:rPr>
        <w:fldChar w:fldCharType="end"/>
      </w:r>
    </w:p>
    <w:sectPr w:rsidR="002D4F66" w:rsidRPr="00E836BB">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E18084" w14:textId="77777777" w:rsidR="001E2AD4" w:rsidRDefault="001E2AD4" w:rsidP="006E2DEA">
      <w:pPr>
        <w:spacing w:after="0" w:line="240" w:lineRule="auto"/>
      </w:pPr>
      <w:r>
        <w:separator/>
      </w:r>
    </w:p>
  </w:endnote>
  <w:endnote w:type="continuationSeparator" w:id="0">
    <w:p w14:paraId="6C7BC36B" w14:textId="77777777" w:rsidR="001E2AD4" w:rsidRDefault="001E2AD4" w:rsidP="006E2D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0000000000000000000"/>
    <w:charset w:val="00"/>
    <w:family w:val="roman"/>
    <w:notTrueType/>
    <w:pitch w:val="default"/>
  </w:font>
  <w:font w:name="DengXian">
    <w:altName w:val="等线"/>
    <w:panose1 w:val="02010600030101010101"/>
    <w:charset w:val="86"/>
    <w:family w:val="modern"/>
    <w:pitch w:val="fixed"/>
    <w:sig w:usb0="00000001" w:usb1="080E0000" w:usb2="00000010" w:usb3="00000000" w:csb0="00040000" w:csb1="00000000"/>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DengXian Light">
    <w:altName w:val="等线 Light"/>
    <w:panose1 w:val="00000000000000000000"/>
    <w:charset w:val="86"/>
    <w:family w:val="roman"/>
    <w:notTrueType/>
    <w:pitch w:val="default"/>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F505BA" w14:textId="77777777" w:rsidR="001E2AD4" w:rsidRDefault="001E2AD4" w:rsidP="006E2DEA">
      <w:pPr>
        <w:spacing w:after="0" w:line="240" w:lineRule="auto"/>
      </w:pPr>
      <w:r>
        <w:separator/>
      </w:r>
    </w:p>
  </w:footnote>
  <w:footnote w:type="continuationSeparator" w:id="0">
    <w:p w14:paraId="4644E8C7" w14:textId="77777777" w:rsidR="001E2AD4" w:rsidRDefault="001E2AD4" w:rsidP="006E2DE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ED08F1"/>
    <w:multiLevelType w:val="multilevel"/>
    <w:tmpl w:val="53E4E3A0"/>
    <w:lvl w:ilvl="0">
      <w:start w:val="1"/>
      <w:numFmt w:val="bullet"/>
      <w:lvlText w:val=""/>
      <w:lvlJc w:val="left"/>
      <w:pPr>
        <w:tabs>
          <w:tab w:val="num" w:pos="4831"/>
        </w:tabs>
        <w:ind w:left="4831" w:hanging="360"/>
      </w:pPr>
      <w:rPr>
        <w:rFonts w:ascii="Symbol" w:hAnsi="Symbol" w:hint="default"/>
        <w:sz w:val="20"/>
      </w:rPr>
    </w:lvl>
    <w:lvl w:ilvl="1" w:tentative="1">
      <w:start w:val="1"/>
      <w:numFmt w:val="bullet"/>
      <w:lvlText w:val="o"/>
      <w:lvlJc w:val="left"/>
      <w:pPr>
        <w:tabs>
          <w:tab w:val="num" w:pos="5551"/>
        </w:tabs>
        <w:ind w:left="5551" w:hanging="360"/>
      </w:pPr>
      <w:rPr>
        <w:rFonts w:ascii="Courier New" w:hAnsi="Courier New" w:hint="default"/>
        <w:sz w:val="20"/>
      </w:rPr>
    </w:lvl>
    <w:lvl w:ilvl="2" w:tentative="1">
      <w:start w:val="1"/>
      <w:numFmt w:val="bullet"/>
      <w:lvlText w:val=""/>
      <w:lvlJc w:val="left"/>
      <w:pPr>
        <w:tabs>
          <w:tab w:val="num" w:pos="6271"/>
        </w:tabs>
        <w:ind w:left="6271" w:hanging="360"/>
      </w:pPr>
      <w:rPr>
        <w:rFonts w:ascii="Wingdings" w:hAnsi="Wingdings" w:hint="default"/>
        <w:sz w:val="20"/>
      </w:rPr>
    </w:lvl>
    <w:lvl w:ilvl="3" w:tentative="1">
      <w:start w:val="1"/>
      <w:numFmt w:val="bullet"/>
      <w:lvlText w:val=""/>
      <w:lvlJc w:val="left"/>
      <w:pPr>
        <w:tabs>
          <w:tab w:val="num" w:pos="6991"/>
        </w:tabs>
        <w:ind w:left="6991" w:hanging="360"/>
      </w:pPr>
      <w:rPr>
        <w:rFonts w:ascii="Wingdings" w:hAnsi="Wingdings" w:hint="default"/>
        <w:sz w:val="20"/>
      </w:rPr>
    </w:lvl>
    <w:lvl w:ilvl="4" w:tentative="1">
      <w:start w:val="1"/>
      <w:numFmt w:val="bullet"/>
      <w:lvlText w:val=""/>
      <w:lvlJc w:val="left"/>
      <w:pPr>
        <w:tabs>
          <w:tab w:val="num" w:pos="7711"/>
        </w:tabs>
        <w:ind w:left="7711" w:hanging="360"/>
      </w:pPr>
      <w:rPr>
        <w:rFonts w:ascii="Wingdings" w:hAnsi="Wingdings" w:hint="default"/>
        <w:sz w:val="20"/>
      </w:rPr>
    </w:lvl>
    <w:lvl w:ilvl="5" w:tentative="1">
      <w:start w:val="1"/>
      <w:numFmt w:val="bullet"/>
      <w:lvlText w:val=""/>
      <w:lvlJc w:val="left"/>
      <w:pPr>
        <w:tabs>
          <w:tab w:val="num" w:pos="8431"/>
        </w:tabs>
        <w:ind w:left="8431" w:hanging="360"/>
      </w:pPr>
      <w:rPr>
        <w:rFonts w:ascii="Wingdings" w:hAnsi="Wingdings" w:hint="default"/>
        <w:sz w:val="20"/>
      </w:rPr>
    </w:lvl>
    <w:lvl w:ilvl="6" w:tentative="1">
      <w:start w:val="1"/>
      <w:numFmt w:val="bullet"/>
      <w:lvlText w:val=""/>
      <w:lvlJc w:val="left"/>
      <w:pPr>
        <w:tabs>
          <w:tab w:val="num" w:pos="9151"/>
        </w:tabs>
        <w:ind w:left="9151" w:hanging="360"/>
      </w:pPr>
      <w:rPr>
        <w:rFonts w:ascii="Wingdings" w:hAnsi="Wingdings" w:hint="default"/>
        <w:sz w:val="20"/>
      </w:rPr>
    </w:lvl>
    <w:lvl w:ilvl="7" w:tentative="1">
      <w:start w:val="1"/>
      <w:numFmt w:val="bullet"/>
      <w:lvlText w:val=""/>
      <w:lvlJc w:val="left"/>
      <w:pPr>
        <w:tabs>
          <w:tab w:val="num" w:pos="9871"/>
        </w:tabs>
        <w:ind w:left="9871" w:hanging="360"/>
      </w:pPr>
      <w:rPr>
        <w:rFonts w:ascii="Wingdings" w:hAnsi="Wingdings" w:hint="default"/>
        <w:sz w:val="20"/>
      </w:rPr>
    </w:lvl>
    <w:lvl w:ilvl="8" w:tentative="1">
      <w:start w:val="1"/>
      <w:numFmt w:val="bullet"/>
      <w:lvlText w:val=""/>
      <w:lvlJc w:val="left"/>
      <w:pPr>
        <w:tabs>
          <w:tab w:val="num" w:pos="10591"/>
        </w:tabs>
        <w:ind w:left="10591" w:hanging="360"/>
      </w:pPr>
      <w:rPr>
        <w:rFonts w:ascii="Wingdings" w:hAnsi="Wingdings" w:hint="default"/>
        <w:sz w:val="20"/>
      </w:rPr>
    </w:lvl>
  </w:abstractNum>
  <w:abstractNum w:abstractNumId="1" w15:restartNumberingAfterBreak="0">
    <w:nsid w:val="2A28015D"/>
    <w:multiLevelType w:val="multilevel"/>
    <w:tmpl w:val="779C312A"/>
    <w:lvl w:ilvl="0">
      <w:start w:val="1"/>
      <w:numFmt w:val="decimal"/>
      <w:lvlText w:val="%1."/>
      <w:lvlJc w:val="left"/>
      <w:pPr>
        <w:ind w:left="360" w:hanging="360"/>
      </w:pPr>
      <w:rPr>
        <w:rFonts w:hint="default"/>
      </w:rPr>
    </w:lvl>
    <w:lvl w:ilvl="1">
      <w:start w:val="1"/>
      <w:numFmt w:val="decimal"/>
      <w:isLgl/>
      <w:lvlText w:val="%1.%2."/>
      <w:lvlJc w:val="left"/>
      <w:pPr>
        <w:ind w:left="720" w:hanging="720"/>
      </w:pPr>
      <w:rPr>
        <w:rFonts w:hint="default"/>
        <w:b/>
        <w:bCs/>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 w15:restartNumberingAfterBreak="0">
    <w:nsid w:val="5C696A48"/>
    <w:multiLevelType w:val="multilevel"/>
    <w:tmpl w:val="EB245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41172748">
    <w:abstractNumId w:val="2"/>
  </w:num>
  <w:num w:numId="2" w16cid:durableId="120390284">
    <w:abstractNumId w:val="0"/>
  </w:num>
  <w:num w:numId="3" w16cid:durableId="154567583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3"/>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1&lt;/Suspended&gt;&lt;/ENInstantFormat&gt;"/>
    <w:docVar w:name="EN.Layout" w:val="&lt;ENLayout&gt;&lt;Style&gt;Nano Energy&lt;/Style&gt;&lt;LeftDelim&gt;{&lt;/LeftDelim&gt;&lt;RightDelim&gt;}&lt;/RightDelim&gt;&lt;FontName&gt;Aptos&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s>
  <w:rsids>
    <w:rsidRoot w:val="002D4F66"/>
    <w:rsid w:val="0000174A"/>
    <w:rsid w:val="0001119C"/>
    <w:rsid w:val="00011C89"/>
    <w:rsid w:val="00012439"/>
    <w:rsid w:val="00016D7E"/>
    <w:rsid w:val="0001721E"/>
    <w:rsid w:val="00021ECD"/>
    <w:rsid w:val="000228BF"/>
    <w:rsid w:val="00022CE8"/>
    <w:rsid w:val="000257C1"/>
    <w:rsid w:val="000317D5"/>
    <w:rsid w:val="00036894"/>
    <w:rsid w:val="000378C5"/>
    <w:rsid w:val="00042CA4"/>
    <w:rsid w:val="000437DE"/>
    <w:rsid w:val="0004429E"/>
    <w:rsid w:val="00052593"/>
    <w:rsid w:val="00052AF5"/>
    <w:rsid w:val="00053911"/>
    <w:rsid w:val="000572A5"/>
    <w:rsid w:val="00061225"/>
    <w:rsid w:val="000614FB"/>
    <w:rsid w:val="000616FA"/>
    <w:rsid w:val="00061C9A"/>
    <w:rsid w:val="00061D9D"/>
    <w:rsid w:val="00065DBF"/>
    <w:rsid w:val="000671A7"/>
    <w:rsid w:val="000673AE"/>
    <w:rsid w:val="000708E5"/>
    <w:rsid w:val="00075439"/>
    <w:rsid w:val="0007679E"/>
    <w:rsid w:val="000819A1"/>
    <w:rsid w:val="00083FB8"/>
    <w:rsid w:val="00092C55"/>
    <w:rsid w:val="00094A7F"/>
    <w:rsid w:val="00095611"/>
    <w:rsid w:val="00096A78"/>
    <w:rsid w:val="000A1FA8"/>
    <w:rsid w:val="000A3154"/>
    <w:rsid w:val="000A4521"/>
    <w:rsid w:val="000A4B89"/>
    <w:rsid w:val="000A54C6"/>
    <w:rsid w:val="000A60B2"/>
    <w:rsid w:val="000A672B"/>
    <w:rsid w:val="000B1CCA"/>
    <w:rsid w:val="000B1D4A"/>
    <w:rsid w:val="000B30F3"/>
    <w:rsid w:val="000C468A"/>
    <w:rsid w:val="000C53A7"/>
    <w:rsid w:val="000C6506"/>
    <w:rsid w:val="000C6859"/>
    <w:rsid w:val="000C720A"/>
    <w:rsid w:val="000C7E8C"/>
    <w:rsid w:val="000D19E5"/>
    <w:rsid w:val="000D26D9"/>
    <w:rsid w:val="000D5BE9"/>
    <w:rsid w:val="000D615F"/>
    <w:rsid w:val="000E11E1"/>
    <w:rsid w:val="000E154C"/>
    <w:rsid w:val="000E3770"/>
    <w:rsid w:val="000E51D1"/>
    <w:rsid w:val="000E524E"/>
    <w:rsid w:val="000E54D6"/>
    <w:rsid w:val="000E7E65"/>
    <w:rsid w:val="000F02C6"/>
    <w:rsid w:val="000F0B58"/>
    <w:rsid w:val="000F1B32"/>
    <w:rsid w:val="000F1DE3"/>
    <w:rsid w:val="000F2E19"/>
    <w:rsid w:val="000F6A12"/>
    <w:rsid w:val="000F76C7"/>
    <w:rsid w:val="00102F80"/>
    <w:rsid w:val="00103856"/>
    <w:rsid w:val="001043AC"/>
    <w:rsid w:val="001065CF"/>
    <w:rsid w:val="0010676A"/>
    <w:rsid w:val="001118AA"/>
    <w:rsid w:val="001154DF"/>
    <w:rsid w:val="00115892"/>
    <w:rsid w:val="001206FA"/>
    <w:rsid w:val="00120D24"/>
    <w:rsid w:val="00122262"/>
    <w:rsid w:val="001241AB"/>
    <w:rsid w:val="001257CB"/>
    <w:rsid w:val="00126A16"/>
    <w:rsid w:val="00130131"/>
    <w:rsid w:val="00131FB0"/>
    <w:rsid w:val="001324E2"/>
    <w:rsid w:val="00133AC8"/>
    <w:rsid w:val="00134368"/>
    <w:rsid w:val="00135EF8"/>
    <w:rsid w:val="001372E2"/>
    <w:rsid w:val="00137892"/>
    <w:rsid w:val="0014090B"/>
    <w:rsid w:val="00140ABB"/>
    <w:rsid w:val="00142748"/>
    <w:rsid w:val="00143A76"/>
    <w:rsid w:val="00144FE8"/>
    <w:rsid w:val="001458FC"/>
    <w:rsid w:val="00147C18"/>
    <w:rsid w:val="00151A4B"/>
    <w:rsid w:val="0015352D"/>
    <w:rsid w:val="0015698B"/>
    <w:rsid w:val="00156C5A"/>
    <w:rsid w:val="00160376"/>
    <w:rsid w:val="00160828"/>
    <w:rsid w:val="001608D2"/>
    <w:rsid w:val="00163198"/>
    <w:rsid w:val="00163EB9"/>
    <w:rsid w:val="00164073"/>
    <w:rsid w:val="00164549"/>
    <w:rsid w:val="00170342"/>
    <w:rsid w:val="00170674"/>
    <w:rsid w:val="00172BA3"/>
    <w:rsid w:val="00175944"/>
    <w:rsid w:val="00177934"/>
    <w:rsid w:val="00177BA5"/>
    <w:rsid w:val="00180047"/>
    <w:rsid w:val="001814DB"/>
    <w:rsid w:val="00183565"/>
    <w:rsid w:val="00183649"/>
    <w:rsid w:val="0018465A"/>
    <w:rsid w:val="00186B33"/>
    <w:rsid w:val="00194E2B"/>
    <w:rsid w:val="00196B3F"/>
    <w:rsid w:val="001A0000"/>
    <w:rsid w:val="001A074A"/>
    <w:rsid w:val="001A23A3"/>
    <w:rsid w:val="001A32F0"/>
    <w:rsid w:val="001A4AB1"/>
    <w:rsid w:val="001A4C8D"/>
    <w:rsid w:val="001A4F0C"/>
    <w:rsid w:val="001A63BF"/>
    <w:rsid w:val="001B2530"/>
    <w:rsid w:val="001B422D"/>
    <w:rsid w:val="001B4D81"/>
    <w:rsid w:val="001B7523"/>
    <w:rsid w:val="001C1C5D"/>
    <w:rsid w:val="001C2EB0"/>
    <w:rsid w:val="001C44DD"/>
    <w:rsid w:val="001C46CF"/>
    <w:rsid w:val="001C4A40"/>
    <w:rsid w:val="001C533A"/>
    <w:rsid w:val="001D0258"/>
    <w:rsid w:val="001D0649"/>
    <w:rsid w:val="001D0B1C"/>
    <w:rsid w:val="001D10FD"/>
    <w:rsid w:val="001D2F29"/>
    <w:rsid w:val="001D32BA"/>
    <w:rsid w:val="001D3AD8"/>
    <w:rsid w:val="001D42A7"/>
    <w:rsid w:val="001D5311"/>
    <w:rsid w:val="001E0E15"/>
    <w:rsid w:val="001E145C"/>
    <w:rsid w:val="001E2AD4"/>
    <w:rsid w:val="001E5884"/>
    <w:rsid w:val="001E5B49"/>
    <w:rsid w:val="001E7274"/>
    <w:rsid w:val="001F0413"/>
    <w:rsid w:val="001F1119"/>
    <w:rsid w:val="001F1436"/>
    <w:rsid w:val="001F1512"/>
    <w:rsid w:val="001F44D5"/>
    <w:rsid w:val="001F64B2"/>
    <w:rsid w:val="001F7F23"/>
    <w:rsid w:val="00200225"/>
    <w:rsid w:val="00200FC1"/>
    <w:rsid w:val="00201BE4"/>
    <w:rsid w:val="00204634"/>
    <w:rsid w:val="00204FC2"/>
    <w:rsid w:val="002051EC"/>
    <w:rsid w:val="00205A71"/>
    <w:rsid w:val="002167B4"/>
    <w:rsid w:val="00217023"/>
    <w:rsid w:val="00217BE3"/>
    <w:rsid w:val="002215CD"/>
    <w:rsid w:val="002227C6"/>
    <w:rsid w:val="00223637"/>
    <w:rsid w:val="00224219"/>
    <w:rsid w:val="002304E3"/>
    <w:rsid w:val="00231813"/>
    <w:rsid w:val="00231DDB"/>
    <w:rsid w:val="00232A28"/>
    <w:rsid w:val="00233749"/>
    <w:rsid w:val="002361CF"/>
    <w:rsid w:val="002400E4"/>
    <w:rsid w:val="00240B13"/>
    <w:rsid w:val="002446E4"/>
    <w:rsid w:val="002446E5"/>
    <w:rsid w:val="00246EE5"/>
    <w:rsid w:val="00251FDA"/>
    <w:rsid w:val="00253F75"/>
    <w:rsid w:val="00257B1C"/>
    <w:rsid w:val="0026196B"/>
    <w:rsid w:val="002643CB"/>
    <w:rsid w:val="002656D0"/>
    <w:rsid w:val="00266C7F"/>
    <w:rsid w:val="00267AC8"/>
    <w:rsid w:val="00270CC6"/>
    <w:rsid w:val="002722D5"/>
    <w:rsid w:val="00275AEB"/>
    <w:rsid w:val="00276322"/>
    <w:rsid w:val="00281A6A"/>
    <w:rsid w:val="00285341"/>
    <w:rsid w:val="002863C0"/>
    <w:rsid w:val="002869CD"/>
    <w:rsid w:val="00287A0C"/>
    <w:rsid w:val="00291511"/>
    <w:rsid w:val="00294039"/>
    <w:rsid w:val="00295818"/>
    <w:rsid w:val="002968F3"/>
    <w:rsid w:val="002A169E"/>
    <w:rsid w:val="002A1780"/>
    <w:rsid w:val="002A2F2C"/>
    <w:rsid w:val="002A5008"/>
    <w:rsid w:val="002A647B"/>
    <w:rsid w:val="002B2AE5"/>
    <w:rsid w:val="002B2F15"/>
    <w:rsid w:val="002B385F"/>
    <w:rsid w:val="002B6095"/>
    <w:rsid w:val="002B60C9"/>
    <w:rsid w:val="002C0B0C"/>
    <w:rsid w:val="002C192D"/>
    <w:rsid w:val="002C214B"/>
    <w:rsid w:val="002C77D4"/>
    <w:rsid w:val="002D0BDA"/>
    <w:rsid w:val="002D4F66"/>
    <w:rsid w:val="002D550E"/>
    <w:rsid w:val="002D5C80"/>
    <w:rsid w:val="002D7DFC"/>
    <w:rsid w:val="002D7E9E"/>
    <w:rsid w:val="002E0D44"/>
    <w:rsid w:val="002E15F0"/>
    <w:rsid w:val="002E1903"/>
    <w:rsid w:val="002E259C"/>
    <w:rsid w:val="002E7BD4"/>
    <w:rsid w:val="002F0AEB"/>
    <w:rsid w:val="002F263C"/>
    <w:rsid w:val="002F38F1"/>
    <w:rsid w:val="002F4D67"/>
    <w:rsid w:val="002F7391"/>
    <w:rsid w:val="003003D8"/>
    <w:rsid w:val="00303330"/>
    <w:rsid w:val="003066B9"/>
    <w:rsid w:val="0030766E"/>
    <w:rsid w:val="00307993"/>
    <w:rsid w:val="00312F27"/>
    <w:rsid w:val="00313C5C"/>
    <w:rsid w:val="00314D18"/>
    <w:rsid w:val="003158C3"/>
    <w:rsid w:val="003218D8"/>
    <w:rsid w:val="0032553C"/>
    <w:rsid w:val="00326DA8"/>
    <w:rsid w:val="003310BA"/>
    <w:rsid w:val="003311B6"/>
    <w:rsid w:val="00332EEB"/>
    <w:rsid w:val="00335485"/>
    <w:rsid w:val="003379E7"/>
    <w:rsid w:val="003436E3"/>
    <w:rsid w:val="00343C5A"/>
    <w:rsid w:val="00344918"/>
    <w:rsid w:val="003526CF"/>
    <w:rsid w:val="00352EAC"/>
    <w:rsid w:val="00353B55"/>
    <w:rsid w:val="00354325"/>
    <w:rsid w:val="0035644A"/>
    <w:rsid w:val="00356664"/>
    <w:rsid w:val="00356B9B"/>
    <w:rsid w:val="003572EC"/>
    <w:rsid w:val="00362869"/>
    <w:rsid w:val="00362FA2"/>
    <w:rsid w:val="00363286"/>
    <w:rsid w:val="003636F6"/>
    <w:rsid w:val="00363FAE"/>
    <w:rsid w:val="00364E53"/>
    <w:rsid w:val="00365082"/>
    <w:rsid w:val="00365ACA"/>
    <w:rsid w:val="00365B1B"/>
    <w:rsid w:val="00367698"/>
    <w:rsid w:val="00370BA6"/>
    <w:rsid w:val="0037108B"/>
    <w:rsid w:val="00372B0C"/>
    <w:rsid w:val="00377574"/>
    <w:rsid w:val="00380F81"/>
    <w:rsid w:val="003843B2"/>
    <w:rsid w:val="00387614"/>
    <w:rsid w:val="00387CED"/>
    <w:rsid w:val="0039105F"/>
    <w:rsid w:val="00391170"/>
    <w:rsid w:val="00391727"/>
    <w:rsid w:val="00391AAC"/>
    <w:rsid w:val="00393789"/>
    <w:rsid w:val="00394556"/>
    <w:rsid w:val="00394FE5"/>
    <w:rsid w:val="003A5108"/>
    <w:rsid w:val="003A77D8"/>
    <w:rsid w:val="003A794B"/>
    <w:rsid w:val="003B177E"/>
    <w:rsid w:val="003B4395"/>
    <w:rsid w:val="003B46DD"/>
    <w:rsid w:val="003B4FF1"/>
    <w:rsid w:val="003B65B8"/>
    <w:rsid w:val="003B6DB5"/>
    <w:rsid w:val="003C02A2"/>
    <w:rsid w:val="003C0307"/>
    <w:rsid w:val="003C09AA"/>
    <w:rsid w:val="003C2356"/>
    <w:rsid w:val="003C6649"/>
    <w:rsid w:val="003C77A9"/>
    <w:rsid w:val="003D1525"/>
    <w:rsid w:val="003D17F0"/>
    <w:rsid w:val="003D25A9"/>
    <w:rsid w:val="003D286F"/>
    <w:rsid w:val="003D75C8"/>
    <w:rsid w:val="003E1519"/>
    <w:rsid w:val="003E17C2"/>
    <w:rsid w:val="003E21D8"/>
    <w:rsid w:val="003E3705"/>
    <w:rsid w:val="003E3A2B"/>
    <w:rsid w:val="003F10B5"/>
    <w:rsid w:val="003F406E"/>
    <w:rsid w:val="003F5D37"/>
    <w:rsid w:val="003F7C5A"/>
    <w:rsid w:val="00401513"/>
    <w:rsid w:val="00402667"/>
    <w:rsid w:val="00403B81"/>
    <w:rsid w:val="00404A6B"/>
    <w:rsid w:val="00404C66"/>
    <w:rsid w:val="00410A2A"/>
    <w:rsid w:val="0041139E"/>
    <w:rsid w:val="00411D10"/>
    <w:rsid w:val="00412751"/>
    <w:rsid w:val="00412E33"/>
    <w:rsid w:val="004135A2"/>
    <w:rsid w:val="004152B3"/>
    <w:rsid w:val="004166D3"/>
    <w:rsid w:val="00416E7E"/>
    <w:rsid w:val="00424534"/>
    <w:rsid w:val="00425602"/>
    <w:rsid w:val="004266CF"/>
    <w:rsid w:val="004303C8"/>
    <w:rsid w:val="004305E0"/>
    <w:rsid w:val="00431BA2"/>
    <w:rsid w:val="004328DC"/>
    <w:rsid w:val="00435463"/>
    <w:rsid w:val="0043665C"/>
    <w:rsid w:val="00437128"/>
    <w:rsid w:val="00440BD7"/>
    <w:rsid w:val="0044125E"/>
    <w:rsid w:val="004414FC"/>
    <w:rsid w:val="00441629"/>
    <w:rsid w:val="00444038"/>
    <w:rsid w:val="00445BAB"/>
    <w:rsid w:val="0044685A"/>
    <w:rsid w:val="00453F35"/>
    <w:rsid w:val="00454F35"/>
    <w:rsid w:val="00456E3A"/>
    <w:rsid w:val="00460C7F"/>
    <w:rsid w:val="004612A6"/>
    <w:rsid w:val="004710FC"/>
    <w:rsid w:val="00471768"/>
    <w:rsid w:val="00474071"/>
    <w:rsid w:val="004740DD"/>
    <w:rsid w:val="004754EB"/>
    <w:rsid w:val="0047650D"/>
    <w:rsid w:val="0047752C"/>
    <w:rsid w:val="00482764"/>
    <w:rsid w:val="00483472"/>
    <w:rsid w:val="00483DD2"/>
    <w:rsid w:val="00483FE4"/>
    <w:rsid w:val="00490585"/>
    <w:rsid w:val="00492437"/>
    <w:rsid w:val="004929D1"/>
    <w:rsid w:val="00495DE6"/>
    <w:rsid w:val="0049725E"/>
    <w:rsid w:val="00497366"/>
    <w:rsid w:val="004A0259"/>
    <w:rsid w:val="004A1A8A"/>
    <w:rsid w:val="004A48A3"/>
    <w:rsid w:val="004A5272"/>
    <w:rsid w:val="004A63FF"/>
    <w:rsid w:val="004A78D0"/>
    <w:rsid w:val="004B0260"/>
    <w:rsid w:val="004B268C"/>
    <w:rsid w:val="004B2D73"/>
    <w:rsid w:val="004B70D6"/>
    <w:rsid w:val="004B7242"/>
    <w:rsid w:val="004C036B"/>
    <w:rsid w:val="004C0DED"/>
    <w:rsid w:val="004C25A1"/>
    <w:rsid w:val="004C770E"/>
    <w:rsid w:val="004C7826"/>
    <w:rsid w:val="004D158A"/>
    <w:rsid w:val="004D226F"/>
    <w:rsid w:val="004D2B3C"/>
    <w:rsid w:val="004D5A7E"/>
    <w:rsid w:val="004D5B06"/>
    <w:rsid w:val="004D617A"/>
    <w:rsid w:val="004D6257"/>
    <w:rsid w:val="004D65D9"/>
    <w:rsid w:val="004E7802"/>
    <w:rsid w:val="004E7AB6"/>
    <w:rsid w:val="004E7FA3"/>
    <w:rsid w:val="004F13D2"/>
    <w:rsid w:val="004F1522"/>
    <w:rsid w:val="004F1CD6"/>
    <w:rsid w:val="004F394B"/>
    <w:rsid w:val="004F4954"/>
    <w:rsid w:val="004F4EE1"/>
    <w:rsid w:val="004F6C22"/>
    <w:rsid w:val="004F78DB"/>
    <w:rsid w:val="004F7D97"/>
    <w:rsid w:val="00500135"/>
    <w:rsid w:val="00501CE3"/>
    <w:rsid w:val="00503041"/>
    <w:rsid w:val="00506E59"/>
    <w:rsid w:val="00511125"/>
    <w:rsid w:val="005149B8"/>
    <w:rsid w:val="0051511C"/>
    <w:rsid w:val="00517DB2"/>
    <w:rsid w:val="00517DB9"/>
    <w:rsid w:val="00517DE4"/>
    <w:rsid w:val="0052180A"/>
    <w:rsid w:val="00522743"/>
    <w:rsid w:val="00525219"/>
    <w:rsid w:val="005258E0"/>
    <w:rsid w:val="005261B0"/>
    <w:rsid w:val="0052790D"/>
    <w:rsid w:val="00530778"/>
    <w:rsid w:val="0053141C"/>
    <w:rsid w:val="00535619"/>
    <w:rsid w:val="005379FC"/>
    <w:rsid w:val="00542293"/>
    <w:rsid w:val="00543FAB"/>
    <w:rsid w:val="00550F02"/>
    <w:rsid w:val="0055257F"/>
    <w:rsid w:val="00552DF3"/>
    <w:rsid w:val="00554B2A"/>
    <w:rsid w:val="00557051"/>
    <w:rsid w:val="005645C3"/>
    <w:rsid w:val="00565C85"/>
    <w:rsid w:val="00566F22"/>
    <w:rsid w:val="00567674"/>
    <w:rsid w:val="00567C74"/>
    <w:rsid w:val="00570342"/>
    <w:rsid w:val="00571D46"/>
    <w:rsid w:val="00573E8D"/>
    <w:rsid w:val="00574993"/>
    <w:rsid w:val="0057790E"/>
    <w:rsid w:val="00577CB2"/>
    <w:rsid w:val="00577E60"/>
    <w:rsid w:val="0058033D"/>
    <w:rsid w:val="005839E7"/>
    <w:rsid w:val="0059098F"/>
    <w:rsid w:val="0059129E"/>
    <w:rsid w:val="005941C8"/>
    <w:rsid w:val="00596247"/>
    <w:rsid w:val="00596DF5"/>
    <w:rsid w:val="005A18F8"/>
    <w:rsid w:val="005A2492"/>
    <w:rsid w:val="005A4C13"/>
    <w:rsid w:val="005A513D"/>
    <w:rsid w:val="005B0CB4"/>
    <w:rsid w:val="005B105B"/>
    <w:rsid w:val="005B1BFA"/>
    <w:rsid w:val="005B1C4F"/>
    <w:rsid w:val="005B1EF1"/>
    <w:rsid w:val="005C4829"/>
    <w:rsid w:val="005C4925"/>
    <w:rsid w:val="005C5DA4"/>
    <w:rsid w:val="005D0B01"/>
    <w:rsid w:val="005D22B2"/>
    <w:rsid w:val="005D29B6"/>
    <w:rsid w:val="005D2C57"/>
    <w:rsid w:val="005D3BFB"/>
    <w:rsid w:val="005D7A93"/>
    <w:rsid w:val="005E0247"/>
    <w:rsid w:val="005E140A"/>
    <w:rsid w:val="005E435E"/>
    <w:rsid w:val="005E5238"/>
    <w:rsid w:val="005F10C7"/>
    <w:rsid w:val="005F1B69"/>
    <w:rsid w:val="005F4CF7"/>
    <w:rsid w:val="005F6E19"/>
    <w:rsid w:val="0060016B"/>
    <w:rsid w:val="00602170"/>
    <w:rsid w:val="00603453"/>
    <w:rsid w:val="006053BB"/>
    <w:rsid w:val="00607EEA"/>
    <w:rsid w:val="00610CC3"/>
    <w:rsid w:val="006110FD"/>
    <w:rsid w:val="0061240A"/>
    <w:rsid w:val="006178E5"/>
    <w:rsid w:val="0062449D"/>
    <w:rsid w:val="00624F54"/>
    <w:rsid w:val="00624FBC"/>
    <w:rsid w:val="0062503F"/>
    <w:rsid w:val="00632220"/>
    <w:rsid w:val="0063671B"/>
    <w:rsid w:val="00636947"/>
    <w:rsid w:val="006408C1"/>
    <w:rsid w:val="00645403"/>
    <w:rsid w:val="006478B7"/>
    <w:rsid w:val="00650670"/>
    <w:rsid w:val="0065258A"/>
    <w:rsid w:val="00654666"/>
    <w:rsid w:val="00654A90"/>
    <w:rsid w:val="00654BFB"/>
    <w:rsid w:val="0065564C"/>
    <w:rsid w:val="006564C1"/>
    <w:rsid w:val="00656B23"/>
    <w:rsid w:val="00656F4B"/>
    <w:rsid w:val="006614D9"/>
    <w:rsid w:val="00663B45"/>
    <w:rsid w:val="00663C58"/>
    <w:rsid w:val="0066434E"/>
    <w:rsid w:val="0066575A"/>
    <w:rsid w:val="00665AB6"/>
    <w:rsid w:val="00666E6E"/>
    <w:rsid w:val="00671D56"/>
    <w:rsid w:val="00672623"/>
    <w:rsid w:val="00672C80"/>
    <w:rsid w:val="00673787"/>
    <w:rsid w:val="00673870"/>
    <w:rsid w:val="006750F8"/>
    <w:rsid w:val="006856FB"/>
    <w:rsid w:val="00686675"/>
    <w:rsid w:val="00686A0D"/>
    <w:rsid w:val="00687ACC"/>
    <w:rsid w:val="00687E5A"/>
    <w:rsid w:val="0069526C"/>
    <w:rsid w:val="006A1170"/>
    <w:rsid w:val="006B21CD"/>
    <w:rsid w:val="006B2350"/>
    <w:rsid w:val="006B5D8C"/>
    <w:rsid w:val="006B6768"/>
    <w:rsid w:val="006B6999"/>
    <w:rsid w:val="006C43CB"/>
    <w:rsid w:val="006D0BD9"/>
    <w:rsid w:val="006D1766"/>
    <w:rsid w:val="006D3D3F"/>
    <w:rsid w:val="006D65F1"/>
    <w:rsid w:val="006D6B67"/>
    <w:rsid w:val="006D7636"/>
    <w:rsid w:val="006D7A28"/>
    <w:rsid w:val="006E0108"/>
    <w:rsid w:val="006E0AC2"/>
    <w:rsid w:val="006E10F8"/>
    <w:rsid w:val="006E1477"/>
    <w:rsid w:val="006E20F2"/>
    <w:rsid w:val="006E2DEA"/>
    <w:rsid w:val="006E4AC6"/>
    <w:rsid w:val="006E6E6F"/>
    <w:rsid w:val="006E700F"/>
    <w:rsid w:val="006E747E"/>
    <w:rsid w:val="006E7F5D"/>
    <w:rsid w:val="006F0479"/>
    <w:rsid w:val="006F2B74"/>
    <w:rsid w:val="006F2BAB"/>
    <w:rsid w:val="006F3D66"/>
    <w:rsid w:val="00700864"/>
    <w:rsid w:val="00701298"/>
    <w:rsid w:val="00701BC3"/>
    <w:rsid w:val="0070494C"/>
    <w:rsid w:val="00705BC9"/>
    <w:rsid w:val="0070612D"/>
    <w:rsid w:val="007075D3"/>
    <w:rsid w:val="00707659"/>
    <w:rsid w:val="00710C58"/>
    <w:rsid w:val="00717183"/>
    <w:rsid w:val="007173BA"/>
    <w:rsid w:val="00717D10"/>
    <w:rsid w:val="007202DB"/>
    <w:rsid w:val="00721E4F"/>
    <w:rsid w:val="00722612"/>
    <w:rsid w:val="00724F12"/>
    <w:rsid w:val="007256AC"/>
    <w:rsid w:val="00730E73"/>
    <w:rsid w:val="00731034"/>
    <w:rsid w:val="007310BA"/>
    <w:rsid w:val="007330B8"/>
    <w:rsid w:val="00734F20"/>
    <w:rsid w:val="007352EE"/>
    <w:rsid w:val="00736FC2"/>
    <w:rsid w:val="00737D2A"/>
    <w:rsid w:val="007429A4"/>
    <w:rsid w:val="00744782"/>
    <w:rsid w:val="007447B5"/>
    <w:rsid w:val="007452F6"/>
    <w:rsid w:val="00745ED5"/>
    <w:rsid w:val="0074652B"/>
    <w:rsid w:val="00750427"/>
    <w:rsid w:val="00751E7B"/>
    <w:rsid w:val="00754D3D"/>
    <w:rsid w:val="007552CD"/>
    <w:rsid w:val="00756605"/>
    <w:rsid w:val="00760820"/>
    <w:rsid w:val="00760F2C"/>
    <w:rsid w:val="007627F0"/>
    <w:rsid w:val="00763007"/>
    <w:rsid w:val="00765071"/>
    <w:rsid w:val="00766DD1"/>
    <w:rsid w:val="00767277"/>
    <w:rsid w:val="00767B0E"/>
    <w:rsid w:val="00772FB2"/>
    <w:rsid w:val="007735C9"/>
    <w:rsid w:val="007746C1"/>
    <w:rsid w:val="00780DAF"/>
    <w:rsid w:val="00782943"/>
    <w:rsid w:val="00784F8F"/>
    <w:rsid w:val="00785612"/>
    <w:rsid w:val="0078625F"/>
    <w:rsid w:val="007869AA"/>
    <w:rsid w:val="0079002C"/>
    <w:rsid w:val="00792B48"/>
    <w:rsid w:val="00794759"/>
    <w:rsid w:val="00794F31"/>
    <w:rsid w:val="0079620D"/>
    <w:rsid w:val="0079692C"/>
    <w:rsid w:val="007973E2"/>
    <w:rsid w:val="007A22E7"/>
    <w:rsid w:val="007A3514"/>
    <w:rsid w:val="007A406D"/>
    <w:rsid w:val="007B0025"/>
    <w:rsid w:val="007B04CA"/>
    <w:rsid w:val="007B08A0"/>
    <w:rsid w:val="007B0C7D"/>
    <w:rsid w:val="007B0D10"/>
    <w:rsid w:val="007B1058"/>
    <w:rsid w:val="007B1613"/>
    <w:rsid w:val="007B3B54"/>
    <w:rsid w:val="007B6966"/>
    <w:rsid w:val="007B6DE6"/>
    <w:rsid w:val="007C02A1"/>
    <w:rsid w:val="007C0692"/>
    <w:rsid w:val="007D0A34"/>
    <w:rsid w:val="007D12FC"/>
    <w:rsid w:val="007D1828"/>
    <w:rsid w:val="007D1CCF"/>
    <w:rsid w:val="007D1D0F"/>
    <w:rsid w:val="007D29A2"/>
    <w:rsid w:val="007D3E82"/>
    <w:rsid w:val="007D5385"/>
    <w:rsid w:val="007D6D57"/>
    <w:rsid w:val="007E0147"/>
    <w:rsid w:val="007E01BA"/>
    <w:rsid w:val="007E079E"/>
    <w:rsid w:val="007E0E71"/>
    <w:rsid w:val="007E37CC"/>
    <w:rsid w:val="007E506B"/>
    <w:rsid w:val="007E6341"/>
    <w:rsid w:val="007F2939"/>
    <w:rsid w:val="007F2AF4"/>
    <w:rsid w:val="007F2B98"/>
    <w:rsid w:val="007F48BB"/>
    <w:rsid w:val="00800BCA"/>
    <w:rsid w:val="008025B2"/>
    <w:rsid w:val="00806626"/>
    <w:rsid w:val="008066C5"/>
    <w:rsid w:val="00812031"/>
    <w:rsid w:val="00813DAB"/>
    <w:rsid w:val="008171B4"/>
    <w:rsid w:val="00820BD2"/>
    <w:rsid w:val="0082129B"/>
    <w:rsid w:val="008231FE"/>
    <w:rsid w:val="00824D92"/>
    <w:rsid w:val="008252A5"/>
    <w:rsid w:val="00825FE4"/>
    <w:rsid w:val="008269F8"/>
    <w:rsid w:val="00826F02"/>
    <w:rsid w:val="00830837"/>
    <w:rsid w:val="00833838"/>
    <w:rsid w:val="00836F49"/>
    <w:rsid w:val="0084036D"/>
    <w:rsid w:val="00840938"/>
    <w:rsid w:val="00845D9C"/>
    <w:rsid w:val="00847719"/>
    <w:rsid w:val="008479DA"/>
    <w:rsid w:val="008500FA"/>
    <w:rsid w:val="0085582B"/>
    <w:rsid w:val="00855C4E"/>
    <w:rsid w:val="008563F9"/>
    <w:rsid w:val="008567EB"/>
    <w:rsid w:val="00861158"/>
    <w:rsid w:val="00864FEA"/>
    <w:rsid w:val="00866233"/>
    <w:rsid w:val="00866888"/>
    <w:rsid w:val="00866B1E"/>
    <w:rsid w:val="00867D81"/>
    <w:rsid w:val="00873DD8"/>
    <w:rsid w:val="00873F66"/>
    <w:rsid w:val="00874B3C"/>
    <w:rsid w:val="00876D49"/>
    <w:rsid w:val="00877915"/>
    <w:rsid w:val="008813BC"/>
    <w:rsid w:val="00881899"/>
    <w:rsid w:val="00881EF6"/>
    <w:rsid w:val="00885FBB"/>
    <w:rsid w:val="00890051"/>
    <w:rsid w:val="00893499"/>
    <w:rsid w:val="00893B59"/>
    <w:rsid w:val="008944B1"/>
    <w:rsid w:val="008A013E"/>
    <w:rsid w:val="008A1230"/>
    <w:rsid w:val="008A2570"/>
    <w:rsid w:val="008A2A8B"/>
    <w:rsid w:val="008A745F"/>
    <w:rsid w:val="008B21DB"/>
    <w:rsid w:val="008B2468"/>
    <w:rsid w:val="008B31D2"/>
    <w:rsid w:val="008B365F"/>
    <w:rsid w:val="008B36E7"/>
    <w:rsid w:val="008C1342"/>
    <w:rsid w:val="008C2D90"/>
    <w:rsid w:val="008C3DD7"/>
    <w:rsid w:val="008D34EB"/>
    <w:rsid w:val="008D4016"/>
    <w:rsid w:val="008D4B72"/>
    <w:rsid w:val="008D77FE"/>
    <w:rsid w:val="008E5FC7"/>
    <w:rsid w:val="008F20A8"/>
    <w:rsid w:val="008F2238"/>
    <w:rsid w:val="008F286E"/>
    <w:rsid w:val="008F3132"/>
    <w:rsid w:val="008F5EED"/>
    <w:rsid w:val="008F66AE"/>
    <w:rsid w:val="008F6996"/>
    <w:rsid w:val="008F6A0A"/>
    <w:rsid w:val="008F6F72"/>
    <w:rsid w:val="008F7EE6"/>
    <w:rsid w:val="0090306C"/>
    <w:rsid w:val="00905D88"/>
    <w:rsid w:val="009060C3"/>
    <w:rsid w:val="0091245E"/>
    <w:rsid w:val="009152EB"/>
    <w:rsid w:val="009153F2"/>
    <w:rsid w:val="009160F6"/>
    <w:rsid w:val="00920EF7"/>
    <w:rsid w:val="00922BB2"/>
    <w:rsid w:val="00922CE5"/>
    <w:rsid w:val="009242C8"/>
    <w:rsid w:val="00926981"/>
    <w:rsid w:val="00927B23"/>
    <w:rsid w:val="00930E42"/>
    <w:rsid w:val="0093189B"/>
    <w:rsid w:val="00932864"/>
    <w:rsid w:val="00932A15"/>
    <w:rsid w:val="00934E8D"/>
    <w:rsid w:val="00937D82"/>
    <w:rsid w:val="00940AE3"/>
    <w:rsid w:val="00942099"/>
    <w:rsid w:val="009425C7"/>
    <w:rsid w:val="00944D47"/>
    <w:rsid w:val="00946C30"/>
    <w:rsid w:val="00947459"/>
    <w:rsid w:val="00952D12"/>
    <w:rsid w:val="00953A02"/>
    <w:rsid w:val="0095527D"/>
    <w:rsid w:val="00956CD8"/>
    <w:rsid w:val="00956F38"/>
    <w:rsid w:val="009571D8"/>
    <w:rsid w:val="0096414A"/>
    <w:rsid w:val="00965A98"/>
    <w:rsid w:val="00971BC1"/>
    <w:rsid w:val="009755DD"/>
    <w:rsid w:val="00976F31"/>
    <w:rsid w:val="009807F9"/>
    <w:rsid w:val="0098169B"/>
    <w:rsid w:val="009838AD"/>
    <w:rsid w:val="0098530C"/>
    <w:rsid w:val="009868E3"/>
    <w:rsid w:val="00991210"/>
    <w:rsid w:val="00992DA2"/>
    <w:rsid w:val="0099419C"/>
    <w:rsid w:val="00995671"/>
    <w:rsid w:val="009963F9"/>
    <w:rsid w:val="009968A2"/>
    <w:rsid w:val="009A166B"/>
    <w:rsid w:val="009A1F62"/>
    <w:rsid w:val="009A3B38"/>
    <w:rsid w:val="009A5078"/>
    <w:rsid w:val="009A5876"/>
    <w:rsid w:val="009A5A9F"/>
    <w:rsid w:val="009A5B4E"/>
    <w:rsid w:val="009A5C56"/>
    <w:rsid w:val="009A62B8"/>
    <w:rsid w:val="009A740D"/>
    <w:rsid w:val="009A7789"/>
    <w:rsid w:val="009B1068"/>
    <w:rsid w:val="009B5273"/>
    <w:rsid w:val="009B60F2"/>
    <w:rsid w:val="009B625D"/>
    <w:rsid w:val="009C09D9"/>
    <w:rsid w:val="009C23A9"/>
    <w:rsid w:val="009C2D63"/>
    <w:rsid w:val="009C5335"/>
    <w:rsid w:val="009C6764"/>
    <w:rsid w:val="009C7467"/>
    <w:rsid w:val="009C7658"/>
    <w:rsid w:val="009D2185"/>
    <w:rsid w:val="009D2647"/>
    <w:rsid w:val="009D28BE"/>
    <w:rsid w:val="009D2B90"/>
    <w:rsid w:val="009D33A5"/>
    <w:rsid w:val="009D5989"/>
    <w:rsid w:val="009D6EB9"/>
    <w:rsid w:val="009D70FF"/>
    <w:rsid w:val="009D779A"/>
    <w:rsid w:val="009D7EC1"/>
    <w:rsid w:val="009E472F"/>
    <w:rsid w:val="009E57D7"/>
    <w:rsid w:val="009E6373"/>
    <w:rsid w:val="009E776E"/>
    <w:rsid w:val="009F4CA1"/>
    <w:rsid w:val="009F536C"/>
    <w:rsid w:val="009F566B"/>
    <w:rsid w:val="009F6032"/>
    <w:rsid w:val="009F7A0C"/>
    <w:rsid w:val="00A0242A"/>
    <w:rsid w:val="00A0301B"/>
    <w:rsid w:val="00A03ABA"/>
    <w:rsid w:val="00A154DB"/>
    <w:rsid w:val="00A1626B"/>
    <w:rsid w:val="00A2004C"/>
    <w:rsid w:val="00A20AB8"/>
    <w:rsid w:val="00A20B77"/>
    <w:rsid w:val="00A21FC1"/>
    <w:rsid w:val="00A2381D"/>
    <w:rsid w:val="00A242D0"/>
    <w:rsid w:val="00A26BDA"/>
    <w:rsid w:val="00A26C25"/>
    <w:rsid w:val="00A27358"/>
    <w:rsid w:val="00A31A7A"/>
    <w:rsid w:val="00A377FC"/>
    <w:rsid w:val="00A416E8"/>
    <w:rsid w:val="00A427E3"/>
    <w:rsid w:val="00A44F24"/>
    <w:rsid w:val="00A47A28"/>
    <w:rsid w:val="00A55C5C"/>
    <w:rsid w:val="00A67B4E"/>
    <w:rsid w:val="00A71830"/>
    <w:rsid w:val="00A72D2B"/>
    <w:rsid w:val="00A800C0"/>
    <w:rsid w:val="00A822E1"/>
    <w:rsid w:val="00A82927"/>
    <w:rsid w:val="00A83BDB"/>
    <w:rsid w:val="00A84445"/>
    <w:rsid w:val="00A86087"/>
    <w:rsid w:val="00A862D0"/>
    <w:rsid w:val="00A87004"/>
    <w:rsid w:val="00A92E92"/>
    <w:rsid w:val="00A93955"/>
    <w:rsid w:val="00A93DFC"/>
    <w:rsid w:val="00A966F1"/>
    <w:rsid w:val="00AA405F"/>
    <w:rsid w:val="00AA5B1A"/>
    <w:rsid w:val="00AA7193"/>
    <w:rsid w:val="00AB265E"/>
    <w:rsid w:val="00AB3C7F"/>
    <w:rsid w:val="00AB59C0"/>
    <w:rsid w:val="00AB5AA8"/>
    <w:rsid w:val="00AB605C"/>
    <w:rsid w:val="00AB6673"/>
    <w:rsid w:val="00AB67EF"/>
    <w:rsid w:val="00AB6F84"/>
    <w:rsid w:val="00AC283F"/>
    <w:rsid w:val="00AC2A92"/>
    <w:rsid w:val="00AC3751"/>
    <w:rsid w:val="00AC5B27"/>
    <w:rsid w:val="00AC613B"/>
    <w:rsid w:val="00AD1761"/>
    <w:rsid w:val="00AD1B60"/>
    <w:rsid w:val="00AD23D5"/>
    <w:rsid w:val="00AD2953"/>
    <w:rsid w:val="00AD4F0C"/>
    <w:rsid w:val="00AD520C"/>
    <w:rsid w:val="00AD618C"/>
    <w:rsid w:val="00AD6A1B"/>
    <w:rsid w:val="00AD6EF4"/>
    <w:rsid w:val="00AD71F3"/>
    <w:rsid w:val="00AD7ED3"/>
    <w:rsid w:val="00AE0C25"/>
    <w:rsid w:val="00AE1DE9"/>
    <w:rsid w:val="00AE1F75"/>
    <w:rsid w:val="00AE5A80"/>
    <w:rsid w:val="00AE74E1"/>
    <w:rsid w:val="00AE7BB6"/>
    <w:rsid w:val="00AF32CF"/>
    <w:rsid w:val="00AF61AE"/>
    <w:rsid w:val="00AF64F0"/>
    <w:rsid w:val="00B037F9"/>
    <w:rsid w:val="00B04B39"/>
    <w:rsid w:val="00B13B99"/>
    <w:rsid w:val="00B13F33"/>
    <w:rsid w:val="00B142AD"/>
    <w:rsid w:val="00B163FC"/>
    <w:rsid w:val="00B17CD3"/>
    <w:rsid w:val="00B22E30"/>
    <w:rsid w:val="00B2566C"/>
    <w:rsid w:val="00B25F2C"/>
    <w:rsid w:val="00B262B2"/>
    <w:rsid w:val="00B30014"/>
    <w:rsid w:val="00B30586"/>
    <w:rsid w:val="00B322C2"/>
    <w:rsid w:val="00B3329D"/>
    <w:rsid w:val="00B35879"/>
    <w:rsid w:val="00B36080"/>
    <w:rsid w:val="00B40531"/>
    <w:rsid w:val="00B4053B"/>
    <w:rsid w:val="00B40582"/>
    <w:rsid w:val="00B43239"/>
    <w:rsid w:val="00B444AF"/>
    <w:rsid w:val="00B4606D"/>
    <w:rsid w:val="00B474A1"/>
    <w:rsid w:val="00B513FC"/>
    <w:rsid w:val="00B53C06"/>
    <w:rsid w:val="00B545F6"/>
    <w:rsid w:val="00B5554E"/>
    <w:rsid w:val="00B638F1"/>
    <w:rsid w:val="00B641C1"/>
    <w:rsid w:val="00B65A62"/>
    <w:rsid w:val="00B6604E"/>
    <w:rsid w:val="00B6774E"/>
    <w:rsid w:val="00B72E91"/>
    <w:rsid w:val="00B8110F"/>
    <w:rsid w:val="00B81B1F"/>
    <w:rsid w:val="00B83EA5"/>
    <w:rsid w:val="00B84259"/>
    <w:rsid w:val="00B85B1A"/>
    <w:rsid w:val="00B85EB7"/>
    <w:rsid w:val="00B860C0"/>
    <w:rsid w:val="00B9215A"/>
    <w:rsid w:val="00B96003"/>
    <w:rsid w:val="00BA1D0A"/>
    <w:rsid w:val="00BA340A"/>
    <w:rsid w:val="00BA3E5A"/>
    <w:rsid w:val="00BA472B"/>
    <w:rsid w:val="00BA6B44"/>
    <w:rsid w:val="00BA7189"/>
    <w:rsid w:val="00BA7AA8"/>
    <w:rsid w:val="00BA7BE2"/>
    <w:rsid w:val="00BB0619"/>
    <w:rsid w:val="00BB18EF"/>
    <w:rsid w:val="00BB6F78"/>
    <w:rsid w:val="00BB7EFF"/>
    <w:rsid w:val="00BC1BC5"/>
    <w:rsid w:val="00BC3DF1"/>
    <w:rsid w:val="00BC4806"/>
    <w:rsid w:val="00BC6D53"/>
    <w:rsid w:val="00BD03CE"/>
    <w:rsid w:val="00BD0CA7"/>
    <w:rsid w:val="00BD12B6"/>
    <w:rsid w:val="00BD361B"/>
    <w:rsid w:val="00BD3AFF"/>
    <w:rsid w:val="00BD713D"/>
    <w:rsid w:val="00BE58C8"/>
    <w:rsid w:val="00BE6F10"/>
    <w:rsid w:val="00BE7074"/>
    <w:rsid w:val="00BE778A"/>
    <w:rsid w:val="00BF05A9"/>
    <w:rsid w:val="00BF0697"/>
    <w:rsid w:val="00BF1DA3"/>
    <w:rsid w:val="00BF3C3F"/>
    <w:rsid w:val="00BF4572"/>
    <w:rsid w:val="00C00063"/>
    <w:rsid w:val="00C01C6E"/>
    <w:rsid w:val="00C04D1D"/>
    <w:rsid w:val="00C05B96"/>
    <w:rsid w:val="00C06737"/>
    <w:rsid w:val="00C112C0"/>
    <w:rsid w:val="00C170F5"/>
    <w:rsid w:val="00C173FD"/>
    <w:rsid w:val="00C17C19"/>
    <w:rsid w:val="00C201AC"/>
    <w:rsid w:val="00C221FD"/>
    <w:rsid w:val="00C22665"/>
    <w:rsid w:val="00C2551C"/>
    <w:rsid w:val="00C275E4"/>
    <w:rsid w:val="00C316EE"/>
    <w:rsid w:val="00C3636A"/>
    <w:rsid w:val="00C36E8D"/>
    <w:rsid w:val="00C42002"/>
    <w:rsid w:val="00C42E3E"/>
    <w:rsid w:val="00C42E66"/>
    <w:rsid w:val="00C433B0"/>
    <w:rsid w:val="00C46520"/>
    <w:rsid w:val="00C473CA"/>
    <w:rsid w:val="00C53BE7"/>
    <w:rsid w:val="00C56010"/>
    <w:rsid w:val="00C57AF7"/>
    <w:rsid w:val="00C60DC1"/>
    <w:rsid w:val="00C6146F"/>
    <w:rsid w:val="00C618EA"/>
    <w:rsid w:val="00C62DAF"/>
    <w:rsid w:val="00C63C91"/>
    <w:rsid w:val="00C66C3D"/>
    <w:rsid w:val="00C67234"/>
    <w:rsid w:val="00C71B56"/>
    <w:rsid w:val="00C71CB5"/>
    <w:rsid w:val="00C72A16"/>
    <w:rsid w:val="00C737B0"/>
    <w:rsid w:val="00C738A1"/>
    <w:rsid w:val="00C74064"/>
    <w:rsid w:val="00C748FC"/>
    <w:rsid w:val="00C779B1"/>
    <w:rsid w:val="00C80704"/>
    <w:rsid w:val="00C85137"/>
    <w:rsid w:val="00C8582C"/>
    <w:rsid w:val="00C86582"/>
    <w:rsid w:val="00C914A9"/>
    <w:rsid w:val="00C91AB8"/>
    <w:rsid w:val="00C95EDD"/>
    <w:rsid w:val="00C96205"/>
    <w:rsid w:val="00C96C86"/>
    <w:rsid w:val="00CA13DA"/>
    <w:rsid w:val="00CA372E"/>
    <w:rsid w:val="00CA7653"/>
    <w:rsid w:val="00CB004E"/>
    <w:rsid w:val="00CB4523"/>
    <w:rsid w:val="00CB490B"/>
    <w:rsid w:val="00CB7A31"/>
    <w:rsid w:val="00CC0667"/>
    <w:rsid w:val="00CC2DEE"/>
    <w:rsid w:val="00CC4183"/>
    <w:rsid w:val="00CC5F8A"/>
    <w:rsid w:val="00CC7925"/>
    <w:rsid w:val="00CD0936"/>
    <w:rsid w:val="00CD1759"/>
    <w:rsid w:val="00CD3ACA"/>
    <w:rsid w:val="00CD7FF3"/>
    <w:rsid w:val="00CE24B0"/>
    <w:rsid w:val="00CE2E47"/>
    <w:rsid w:val="00CE3456"/>
    <w:rsid w:val="00CE3C9C"/>
    <w:rsid w:val="00CE6292"/>
    <w:rsid w:val="00CE6CA5"/>
    <w:rsid w:val="00CE7618"/>
    <w:rsid w:val="00CF1485"/>
    <w:rsid w:val="00CF1661"/>
    <w:rsid w:val="00CF5F83"/>
    <w:rsid w:val="00CF6882"/>
    <w:rsid w:val="00CF792D"/>
    <w:rsid w:val="00D00EF1"/>
    <w:rsid w:val="00D05928"/>
    <w:rsid w:val="00D06F7D"/>
    <w:rsid w:val="00D071B4"/>
    <w:rsid w:val="00D103B4"/>
    <w:rsid w:val="00D11A4B"/>
    <w:rsid w:val="00D12E02"/>
    <w:rsid w:val="00D12E3A"/>
    <w:rsid w:val="00D31169"/>
    <w:rsid w:val="00D31E10"/>
    <w:rsid w:val="00D327A1"/>
    <w:rsid w:val="00D3447F"/>
    <w:rsid w:val="00D36078"/>
    <w:rsid w:val="00D36DB2"/>
    <w:rsid w:val="00D37726"/>
    <w:rsid w:val="00D400CB"/>
    <w:rsid w:val="00D4043F"/>
    <w:rsid w:val="00D469AA"/>
    <w:rsid w:val="00D50825"/>
    <w:rsid w:val="00D5131A"/>
    <w:rsid w:val="00D52509"/>
    <w:rsid w:val="00D52EE7"/>
    <w:rsid w:val="00D5526D"/>
    <w:rsid w:val="00D6017B"/>
    <w:rsid w:val="00D608C1"/>
    <w:rsid w:val="00D615C8"/>
    <w:rsid w:val="00D618C7"/>
    <w:rsid w:val="00D70330"/>
    <w:rsid w:val="00D7273F"/>
    <w:rsid w:val="00D7649B"/>
    <w:rsid w:val="00D77FF3"/>
    <w:rsid w:val="00D80A89"/>
    <w:rsid w:val="00D8600E"/>
    <w:rsid w:val="00D864B2"/>
    <w:rsid w:val="00D93EBB"/>
    <w:rsid w:val="00D979DD"/>
    <w:rsid w:val="00D97E3D"/>
    <w:rsid w:val="00DA07D8"/>
    <w:rsid w:val="00DA1655"/>
    <w:rsid w:val="00DA4A92"/>
    <w:rsid w:val="00DA4E9C"/>
    <w:rsid w:val="00DA5623"/>
    <w:rsid w:val="00DB022C"/>
    <w:rsid w:val="00DB0D54"/>
    <w:rsid w:val="00DB109E"/>
    <w:rsid w:val="00DB1201"/>
    <w:rsid w:val="00DB2951"/>
    <w:rsid w:val="00DB2E2B"/>
    <w:rsid w:val="00DB2F69"/>
    <w:rsid w:val="00DB4922"/>
    <w:rsid w:val="00DB5912"/>
    <w:rsid w:val="00DB5F17"/>
    <w:rsid w:val="00DB6D5E"/>
    <w:rsid w:val="00DC7CE8"/>
    <w:rsid w:val="00DD0F0A"/>
    <w:rsid w:val="00DD2FFD"/>
    <w:rsid w:val="00DD3775"/>
    <w:rsid w:val="00DD3A31"/>
    <w:rsid w:val="00DD42AD"/>
    <w:rsid w:val="00DD5E73"/>
    <w:rsid w:val="00DE0A7E"/>
    <w:rsid w:val="00DE1274"/>
    <w:rsid w:val="00DE165F"/>
    <w:rsid w:val="00DE2111"/>
    <w:rsid w:val="00DE2B15"/>
    <w:rsid w:val="00DE2F76"/>
    <w:rsid w:val="00DE5A8D"/>
    <w:rsid w:val="00DE5BE9"/>
    <w:rsid w:val="00DE7475"/>
    <w:rsid w:val="00DF11F1"/>
    <w:rsid w:val="00DF3E59"/>
    <w:rsid w:val="00DF4665"/>
    <w:rsid w:val="00DF7152"/>
    <w:rsid w:val="00E01575"/>
    <w:rsid w:val="00E02A90"/>
    <w:rsid w:val="00E02CCA"/>
    <w:rsid w:val="00E0488E"/>
    <w:rsid w:val="00E04F50"/>
    <w:rsid w:val="00E06637"/>
    <w:rsid w:val="00E06642"/>
    <w:rsid w:val="00E06E01"/>
    <w:rsid w:val="00E070E6"/>
    <w:rsid w:val="00E10B7B"/>
    <w:rsid w:val="00E111A5"/>
    <w:rsid w:val="00E11FA2"/>
    <w:rsid w:val="00E15206"/>
    <w:rsid w:val="00E200E6"/>
    <w:rsid w:val="00E22C99"/>
    <w:rsid w:val="00E24795"/>
    <w:rsid w:val="00E256D5"/>
    <w:rsid w:val="00E259E2"/>
    <w:rsid w:val="00E26648"/>
    <w:rsid w:val="00E27EE4"/>
    <w:rsid w:val="00E30CAC"/>
    <w:rsid w:val="00E31BA3"/>
    <w:rsid w:val="00E31ECA"/>
    <w:rsid w:val="00E33E9A"/>
    <w:rsid w:val="00E37771"/>
    <w:rsid w:val="00E40008"/>
    <w:rsid w:val="00E414A2"/>
    <w:rsid w:val="00E4289F"/>
    <w:rsid w:val="00E42FB9"/>
    <w:rsid w:val="00E44172"/>
    <w:rsid w:val="00E4421E"/>
    <w:rsid w:val="00E4599F"/>
    <w:rsid w:val="00E5039B"/>
    <w:rsid w:val="00E52CBC"/>
    <w:rsid w:val="00E56215"/>
    <w:rsid w:val="00E623F1"/>
    <w:rsid w:val="00E62862"/>
    <w:rsid w:val="00E628E6"/>
    <w:rsid w:val="00E62CF9"/>
    <w:rsid w:val="00E6302F"/>
    <w:rsid w:val="00E64A9B"/>
    <w:rsid w:val="00E65122"/>
    <w:rsid w:val="00E67210"/>
    <w:rsid w:val="00E67A1F"/>
    <w:rsid w:val="00E67BB4"/>
    <w:rsid w:val="00E72D37"/>
    <w:rsid w:val="00E74797"/>
    <w:rsid w:val="00E76C25"/>
    <w:rsid w:val="00E80206"/>
    <w:rsid w:val="00E8055C"/>
    <w:rsid w:val="00E80C38"/>
    <w:rsid w:val="00E836BB"/>
    <w:rsid w:val="00E872B5"/>
    <w:rsid w:val="00E87C8C"/>
    <w:rsid w:val="00E90501"/>
    <w:rsid w:val="00E91487"/>
    <w:rsid w:val="00E92A72"/>
    <w:rsid w:val="00E95874"/>
    <w:rsid w:val="00E95BA5"/>
    <w:rsid w:val="00E9674E"/>
    <w:rsid w:val="00E96EF8"/>
    <w:rsid w:val="00E976D3"/>
    <w:rsid w:val="00EA227B"/>
    <w:rsid w:val="00EA296C"/>
    <w:rsid w:val="00EA41D5"/>
    <w:rsid w:val="00EA4FFB"/>
    <w:rsid w:val="00EA52D2"/>
    <w:rsid w:val="00EA71AC"/>
    <w:rsid w:val="00EA7A1E"/>
    <w:rsid w:val="00EB3591"/>
    <w:rsid w:val="00EB42E1"/>
    <w:rsid w:val="00EB5536"/>
    <w:rsid w:val="00EB5998"/>
    <w:rsid w:val="00EB7476"/>
    <w:rsid w:val="00EC3BEC"/>
    <w:rsid w:val="00EC43C8"/>
    <w:rsid w:val="00ED25BD"/>
    <w:rsid w:val="00ED343F"/>
    <w:rsid w:val="00EE18AC"/>
    <w:rsid w:val="00EE33E9"/>
    <w:rsid w:val="00EE61A0"/>
    <w:rsid w:val="00EE77F9"/>
    <w:rsid w:val="00EF11D2"/>
    <w:rsid w:val="00EF16A2"/>
    <w:rsid w:val="00EF347F"/>
    <w:rsid w:val="00EF3C27"/>
    <w:rsid w:val="00EF5F79"/>
    <w:rsid w:val="00EF7725"/>
    <w:rsid w:val="00F02928"/>
    <w:rsid w:val="00F02A51"/>
    <w:rsid w:val="00F07672"/>
    <w:rsid w:val="00F07E82"/>
    <w:rsid w:val="00F1089F"/>
    <w:rsid w:val="00F12BDC"/>
    <w:rsid w:val="00F21299"/>
    <w:rsid w:val="00F2482C"/>
    <w:rsid w:val="00F25CF3"/>
    <w:rsid w:val="00F2690A"/>
    <w:rsid w:val="00F27819"/>
    <w:rsid w:val="00F27ABB"/>
    <w:rsid w:val="00F311F6"/>
    <w:rsid w:val="00F31DD1"/>
    <w:rsid w:val="00F321C8"/>
    <w:rsid w:val="00F329AA"/>
    <w:rsid w:val="00F35718"/>
    <w:rsid w:val="00F35758"/>
    <w:rsid w:val="00F36653"/>
    <w:rsid w:val="00F415FE"/>
    <w:rsid w:val="00F457C0"/>
    <w:rsid w:val="00F46A56"/>
    <w:rsid w:val="00F46EA2"/>
    <w:rsid w:val="00F478CD"/>
    <w:rsid w:val="00F47ECB"/>
    <w:rsid w:val="00F505E1"/>
    <w:rsid w:val="00F52B45"/>
    <w:rsid w:val="00F5613F"/>
    <w:rsid w:val="00F617FD"/>
    <w:rsid w:val="00F61B58"/>
    <w:rsid w:val="00F62AA6"/>
    <w:rsid w:val="00F63726"/>
    <w:rsid w:val="00F66CC4"/>
    <w:rsid w:val="00F67B06"/>
    <w:rsid w:val="00F74527"/>
    <w:rsid w:val="00F83090"/>
    <w:rsid w:val="00F83DB1"/>
    <w:rsid w:val="00F84A4B"/>
    <w:rsid w:val="00F8633B"/>
    <w:rsid w:val="00F902CC"/>
    <w:rsid w:val="00F93F39"/>
    <w:rsid w:val="00F94004"/>
    <w:rsid w:val="00F94D01"/>
    <w:rsid w:val="00F95B01"/>
    <w:rsid w:val="00FA0B3B"/>
    <w:rsid w:val="00FA1F51"/>
    <w:rsid w:val="00FA28EC"/>
    <w:rsid w:val="00FA2B70"/>
    <w:rsid w:val="00FA3298"/>
    <w:rsid w:val="00FA671C"/>
    <w:rsid w:val="00FA6892"/>
    <w:rsid w:val="00FA6C2A"/>
    <w:rsid w:val="00FB1B30"/>
    <w:rsid w:val="00FB1DD0"/>
    <w:rsid w:val="00FB3CA1"/>
    <w:rsid w:val="00FB55BF"/>
    <w:rsid w:val="00FB5B0D"/>
    <w:rsid w:val="00FB6476"/>
    <w:rsid w:val="00FB6D0D"/>
    <w:rsid w:val="00FB7EFA"/>
    <w:rsid w:val="00FC13DC"/>
    <w:rsid w:val="00FC157C"/>
    <w:rsid w:val="00FC46AC"/>
    <w:rsid w:val="00FC70AD"/>
    <w:rsid w:val="00FC769D"/>
    <w:rsid w:val="00FD0A63"/>
    <w:rsid w:val="00FD1C6E"/>
    <w:rsid w:val="00FD6204"/>
    <w:rsid w:val="00FE325F"/>
    <w:rsid w:val="00FE5AFC"/>
    <w:rsid w:val="00FE6309"/>
    <w:rsid w:val="00FE6880"/>
    <w:rsid w:val="00FE6FA5"/>
    <w:rsid w:val="00FF03EA"/>
    <w:rsid w:val="00FF0587"/>
    <w:rsid w:val="00FF3BBE"/>
    <w:rsid w:val="00FF573C"/>
    <w:rsid w:val="00FF650A"/>
    <w:rsid w:val="00FF7E4D"/>
  </w:rsids>
  <m:mathPr>
    <m:mathFont m:val="Cambria Math"/>
    <m:brkBin m:val="before"/>
    <m:brkBinSub m:val="--"/>
    <m:smallFrac m:val="0"/>
    <m:dispDef/>
    <m:lMargin m:val="0"/>
    <m:rMargin m:val="0"/>
    <m:defJc m:val="centerGroup"/>
    <m:wrapIndent m:val="1440"/>
    <m:intLim m:val="subSup"/>
    <m:naryLim m:val="undOvr"/>
  </m:mathPr>
  <w:themeFontLang w:val="en-AU"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ED6FB8"/>
  <w15:chartTrackingRefBased/>
  <w15:docId w15:val="{0EF69C58-AB17-4340-8698-584E76337F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AU"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D4F6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D4F6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D4F6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D4F6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D4F6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D4F6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D4F6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D4F6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D4F6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4F6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D4F6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D4F6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D4F6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D4F6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D4F6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D4F6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D4F6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D4F66"/>
    <w:rPr>
      <w:rFonts w:eastAsiaTheme="majorEastAsia" w:cstheme="majorBidi"/>
      <w:color w:val="272727" w:themeColor="text1" w:themeTint="D8"/>
    </w:rPr>
  </w:style>
  <w:style w:type="paragraph" w:styleId="Title">
    <w:name w:val="Title"/>
    <w:basedOn w:val="Normal"/>
    <w:next w:val="Normal"/>
    <w:link w:val="TitleChar"/>
    <w:uiPriority w:val="10"/>
    <w:qFormat/>
    <w:rsid w:val="002D4F6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D4F6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D4F6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D4F6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D4F66"/>
    <w:pPr>
      <w:spacing w:before="160"/>
      <w:jc w:val="center"/>
    </w:pPr>
    <w:rPr>
      <w:i/>
      <w:iCs/>
      <w:color w:val="404040" w:themeColor="text1" w:themeTint="BF"/>
    </w:rPr>
  </w:style>
  <w:style w:type="character" w:customStyle="1" w:styleId="QuoteChar">
    <w:name w:val="Quote Char"/>
    <w:basedOn w:val="DefaultParagraphFont"/>
    <w:link w:val="Quote"/>
    <w:uiPriority w:val="29"/>
    <w:rsid w:val="002D4F66"/>
    <w:rPr>
      <w:i/>
      <w:iCs/>
      <w:color w:val="404040" w:themeColor="text1" w:themeTint="BF"/>
    </w:rPr>
  </w:style>
  <w:style w:type="paragraph" w:styleId="ListParagraph">
    <w:name w:val="List Paragraph"/>
    <w:basedOn w:val="Normal"/>
    <w:uiPriority w:val="34"/>
    <w:qFormat/>
    <w:rsid w:val="002D4F66"/>
    <w:pPr>
      <w:ind w:left="720"/>
      <w:contextualSpacing/>
    </w:pPr>
  </w:style>
  <w:style w:type="character" w:styleId="IntenseEmphasis">
    <w:name w:val="Intense Emphasis"/>
    <w:basedOn w:val="DefaultParagraphFont"/>
    <w:uiPriority w:val="21"/>
    <w:qFormat/>
    <w:rsid w:val="002D4F66"/>
    <w:rPr>
      <w:i/>
      <w:iCs/>
      <w:color w:val="0F4761" w:themeColor="accent1" w:themeShade="BF"/>
    </w:rPr>
  </w:style>
  <w:style w:type="paragraph" w:styleId="IntenseQuote">
    <w:name w:val="Intense Quote"/>
    <w:basedOn w:val="Normal"/>
    <w:next w:val="Normal"/>
    <w:link w:val="IntenseQuoteChar"/>
    <w:uiPriority w:val="30"/>
    <w:qFormat/>
    <w:rsid w:val="002D4F6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D4F66"/>
    <w:rPr>
      <w:i/>
      <w:iCs/>
      <w:color w:val="0F4761" w:themeColor="accent1" w:themeShade="BF"/>
    </w:rPr>
  </w:style>
  <w:style w:type="character" w:styleId="IntenseReference">
    <w:name w:val="Intense Reference"/>
    <w:basedOn w:val="DefaultParagraphFont"/>
    <w:uiPriority w:val="32"/>
    <w:qFormat/>
    <w:rsid w:val="002D4F66"/>
    <w:rPr>
      <w:b/>
      <w:bCs/>
      <w:smallCaps/>
      <w:color w:val="0F4761" w:themeColor="accent1" w:themeShade="BF"/>
      <w:spacing w:val="5"/>
    </w:rPr>
  </w:style>
  <w:style w:type="paragraph" w:styleId="Header">
    <w:name w:val="header"/>
    <w:basedOn w:val="Normal"/>
    <w:link w:val="HeaderChar"/>
    <w:uiPriority w:val="99"/>
    <w:unhideWhenUsed/>
    <w:rsid w:val="006E2DEA"/>
    <w:pPr>
      <w:tabs>
        <w:tab w:val="center" w:pos="4513"/>
        <w:tab w:val="right" w:pos="9026"/>
      </w:tabs>
      <w:spacing w:after="0" w:line="240" w:lineRule="auto"/>
    </w:pPr>
  </w:style>
  <w:style w:type="character" w:customStyle="1" w:styleId="HeaderChar">
    <w:name w:val="Header Char"/>
    <w:basedOn w:val="DefaultParagraphFont"/>
    <w:link w:val="Header"/>
    <w:uiPriority w:val="99"/>
    <w:rsid w:val="006E2DEA"/>
  </w:style>
  <w:style w:type="paragraph" w:styleId="Footer">
    <w:name w:val="footer"/>
    <w:basedOn w:val="Normal"/>
    <w:link w:val="FooterChar"/>
    <w:uiPriority w:val="99"/>
    <w:unhideWhenUsed/>
    <w:rsid w:val="006E2DEA"/>
    <w:pPr>
      <w:tabs>
        <w:tab w:val="center" w:pos="4513"/>
        <w:tab w:val="right" w:pos="9026"/>
      </w:tabs>
      <w:spacing w:after="0" w:line="240" w:lineRule="auto"/>
    </w:pPr>
  </w:style>
  <w:style w:type="character" w:customStyle="1" w:styleId="FooterChar">
    <w:name w:val="Footer Char"/>
    <w:basedOn w:val="DefaultParagraphFont"/>
    <w:link w:val="Footer"/>
    <w:uiPriority w:val="99"/>
    <w:rsid w:val="006E2DEA"/>
  </w:style>
  <w:style w:type="character" w:styleId="CommentReference">
    <w:name w:val="annotation reference"/>
    <w:basedOn w:val="DefaultParagraphFont"/>
    <w:uiPriority w:val="99"/>
    <w:semiHidden/>
    <w:unhideWhenUsed/>
    <w:rsid w:val="00052AF5"/>
    <w:rPr>
      <w:sz w:val="16"/>
      <w:szCs w:val="16"/>
    </w:rPr>
  </w:style>
  <w:style w:type="paragraph" w:styleId="CommentText">
    <w:name w:val="annotation text"/>
    <w:basedOn w:val="Normal"/>
    <w:link w:val="CommentTextChar"/>
    <w:uiPriority w:val="99"/>
    <w:unhideWhenUsed/>
    <w:rsid w:val="00052AF5"/>
    <w:pPr>
      <w:spacing w:line="240" w:lineRule="auto"/>
    </w:pPr>
    <w:rPr>
      <w:sz w:val="20"/>
      <w:szCs w:val="20"/>
    </w:rPr>
  </w:style>
  <w:style w:type="character" w:customStyle="1" w:styleId="CommentTextChar">
    <w:name w:val="Comment Text Char"/>
    <w:basedOn w:val="DefaultParagraphFont"/>
    <w:link w:val="CommentText"/>
    <w:uiPriority w:val="99"/>
    <w:rsid w:val="00052AF5"/>
    <w:rPr>
      <w:sz w:val="20"/>
      <w:szCs w:val="20"/>
    </w:rPr>
  </w:style>
  <w:style w:type="paragraph" w:styleId="Revision">
    <w:name w:val="Revision"/>
    <w:hidden/>
    <w:uiPriority w:val="99"/>
    <w:semiHidden/>
    <w:rsid w:val="00052AF5"/>
    <w:pPr>
      <w:spacing w:after="0" w:line="240" w:lineRule="auto"/>
    </w:pPr>
  </w:style>
  <w:style w:type="paragraph" w:styleId="Bibliography">
    <w:name w:val="Bibliography"/>
    <w:basedOn w:val="Normal"/>
    <w:next w:val="Normal"/>
    <w:uiPriority w:val="37"/>
    <w:unhideWhenUsed/>
    <w:rsid w:val="00566F22"/>
    <w:pPr>
      <w:tabs>
        <w:tab w:val="left" w:pos="384"/>
      </w:tabs>
      <w:spacing w:after="0" w:line="240" w:lineRule="auto"/>
      <w:ind w:left="384" w:hanging="384"/>
    </w:pPr>
  </w:style>
  <w:style w:type="character" w:styleId="Strong">
    <w:name w:val="Strong"/>
    <w:basedOn w:val="DefaultParagraphFont"/>
    <w:uiPriority w:val="22"/>
    <w:qFormat/>
    <w:rsid w:val="00F74527"/>
    <w:rPr>
      <w:b/>
      <w:bCs/>
    </w:rPr>
  </w:style>
  <w:style w:type="character" w:styleId="Emphasis">
    <w:name w:val="Emphasis"/>
    <w:basedOn w:val="DefaultParagraphFont"/>
    <w:uiPriority w:val="20"/>
    <w:qFormat/>
    <w:rsid w:val="00FA3298"/>
    <w:rPr>
      <w:i/>
      <w:iCs/>
    </w:rPr>
  </w:style>
  <w:style w:type="character" w:styleId="Hyperlink">
    <w:name w:val="Hyperlink"/>
    <w:basedOn w:val="DefaultParagraphFont"/>
    <w:uiPriority w:val="99"/>
    <w:unhideWhenUsed/>
    <w:rsid w:val="00134368"/>
    <w:rPr>
      <w:color w:val="467886" w:themeColor="hyperlink"/>
      <w:u w:val="single"/>
    </w:rPr>
  </w:style>
  <w:style w:type="character" w:styleId="UnresolvedMention">
    <w:name w:val="Unresolved Mention"/>
    <w:basedOn w:val="DefaultParagraphFont"/>
    <w:uiPriority w:val="99"/>
    <w:semiHidden/>
    <w:unhideWhenUsed/>
    <w:rsid w:val="00134368"/>
    <w:rPr>
      <w:color w:val="605E5C"/>
      <w:shd w:val="clear" w:color="auto" w:fill="E1DFDD"/>
    </w:rPr>
  </w:style>
  <w:style w:type="paragraph" w:styleId="NormalWeb">
    <w:name w:val="Normal (Web)"/>
    <w:basedOn w:val="Normal"/>
    <w:uiPriority w:val="99"/>
    <w:semiHidden/>
    <w:unhideWhenUsed/>
    <w:rsid w:val="00B4053B"/>
    <w:rPr>
      <w:rFonts w:ascii="Times New Roman" w:hAnsi="Times New Roman" w:cs="Times New Roman"/>
    </w:rPr>
  </w:style>
  <w:style w:type="paragraph" w:styleId="CommentSubject">
    <w:name w:val="annotation subject"/>
    <w:basedOn w:val="CommentText"/>
    <w:next w:val="CommentText"/>
    <w:link w:val="CommentSubjectChar"/>
    <w:uiPriority w:val="99"/>
    <w:semiHidden/>
    <w:unhideWhenUsed/>
    <w:rsid w:val="00C66C3D"/>
    <w:rPr>
      <w:b/>
      <w:bCs/>
    </w:rPr>
  </w:style>
  <w:style w:type="character" w:customStyle="1" w:styleId="CommentSubjectChar">
    <w:name w:val="Comment Subject Char"/>
    <w:basedOn w:val="CommentTextChar"/>
    <w:link w:val="CommentSubject"/>
    <w:uiPriority w:val="99"/>
    <w:semiHidden/>
    <w:rsid w:val="00C66C3D"/>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8124014-0DBB-481B-A64A-CEB0BDB0BE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5641</TotalTime>
  <Pages>1</Pages>
  <Words>8657</Words>
  <Characters>49350</Characters>
  <Application>Microsoft Office Word</Application>
  <DocSecurity>4</DocSecurity>
  <Lines>411</Lines>
  <Paragraphs>115</Paragraphs>
  <ScaleCrop>false</ScaleCrop>
  <Company/>
  <LinksUpToDate>false</LinksUpToDate>
  <CharactersWithSpaces>57892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Qian Cui</dc:creator>
  <cp:keywords/>
  <dc:description/>
  <cp:lastModifiedBy>Qian Cui</cp:lastModifiedBy>
  <cp:revision>871</cp:revision>
  <dcterms:created xsi:type="dcterms:W3CDTF">2025-12-14T03:38:00Z</dcterms:created>
  <dcterms:modified xsi:type="dcterms:W3CDTF">2026-05-02T03:36:00Z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zotero-version="7.0.32"&gt;&lt;session id="2HFUB5xv"/&gt;&lt;style id="http://www.zotero.org/styles/nano-energy" hasBibliography="1" bibliographyStyleHasBeenSet="1"/&gt;&lt;prefs&gt;&lt;pref name="fieldType" value="Field"/&gt;&lt;/prefs&gt;&lt;/data&gt;</vt:lpwstr>
  </property>
</Properties>
</file>