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AA545F">
      <w:pPr>
        <w:rPr>
          <w:rFonts w:ascii="Calibri" w:hAnsi="Calibri" w:eastAsia="宋体" w:cs="Times New Roman"/>
          <w:color w:val="FF0000"/>
        </w:rPr>
      </w:pPr>
    </w:p>
    <w:p w14:paraId="5E5F028E">
      <w:pPr>
        <w:jc w:val="center"/>
        <w:rPr>
          <w:rFonts w:ascii="黑体" w:hAnsi="Calibri" w:eastAsia="黑体" w:cs="Times New Roman"/>
          <w:b/>
          <w:bCs/>
          <w:sz w:val="28"/>
          <w:szCs w:val="28"/>
        </w:rPr>
      </w:pPr>
      <w:r>
        <w:rPr>
          <w:rFonts w:ascii="Calibri" w:hAnsi="Calibri" w:eastAsia="宋体" w:cs="Times New Roman"/>
        </w:rPr>
        <w:drawing>
          <wp:inline distT="0" distB="0" distL="114300" distR="114300">
            <wp:extent cx="3060700" cy="660400"/>
            <wp:effectExtent l="0" t="0" r="0" b="0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660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AC77D48">
      <w:pPr>
        <w:spacing w:before="312" w:beforeLines="100"/>
        <w:jc w:val="center"/>
        <w:rPr>
          <w:rFonts w:hint="eastAsia" w:ascii="黑体" w:hAnsi="Calibri" w:eastAsia="黑体" w:cs="黑体"/>
          <w:spacing w:val="20"/>
          <w:sz w:val="56"/>
          <w:szCs w:val="56"/>
        </w:rPr>
      </w:pPr>
    </w:p>
    <w:p w14:paraId="0CFB14F2">
      <w:pPr>
        <w:spacing w:before="312" w:beforeLines="100" w:line="360" w:lineRule="auto"/>
        <w:jc w:val="center"/>
        <w:rPr>
          <w:rFonts w:ascii="黑体" w:hAnsi="Calibri" w:eastAsia="黑体" w:cs="Times New Roman"/>
          <w:spacing w:val="20"/>
          <w:sz w:val="40"/>
          <w:szCs w:val="40"/>
        </w:rPr>
      </w:pPr>
      <w:r>
        <w:rPr>
          <w:rFonts w:hint="eastAsia" w:ascii="黑体" w:hAnsi="Calibri" w:eastAsia="黑体" w:cs="黑体"/>
          <w:spacing w:val="20"/>
          <w:sz w:val="56"/>
          <w:szCs w:val="56"/>
          <w:lang w:val="en-US" w:eastAsia="zh-CN"/>
        </w:rPr>
        <w:t xml:space="preserve"> </w:t>
      </w:r>
      <w:r>
        <w:rPr>
          <w:rFonts w:hint="eastAsia" w:ascii="黑体" w:hAnsi="Calibri" w:eastAsia="黑体" w:cs="黑体"/>
          <w:spacing w:val="20"/>
          <w:sz w:val="40"/>
          <w:szCs w:val="40"/>
        </w:rPr>
        <w:t>课程设计（实践）报告书</w:t>
      </w:r>
    </w:p>
    <w:p w14:paraId="34F7D515">
      <w:pPr>
        <w:spacing w:line="360" w:lineRule="auto"/>
        <w:ind w:firstLine="1608" w:firstLineChars="445"/>
        <w:rPr>
          <w:rFonts w:hint="eastAsia" w:ascii="黑体" w:hAnsi="Calibri" w:eastAsia="黑体" w:cs="黑体"/>
          <w:b/>
          <w:bCs/>
          <w:sz w:val="36"/>
          <w:szCs w:val="36"/>
          <w:lang w:val="en-US" w:eastAsia="zh-CN"/>
        </w:rPr>
      </w:pPr>
      <w:r>
        <w:rPr>
          <w:rFonts w:hint="eastAsia" w:ascii="黑体" w:hAnsi="Calibri" w:eastAsia="黑体" w:cs="黑体"/>
          <w:b/>
          <w:bCs/>
          <w:sz w:val="36"/>
          <w:szCs w:val="36"/>
        </w:rPr>
        <w:t>题目：</w:t>
      </w:r>
      <w:r>
        <w:rPr>
          <w:rFonts w:hint="eastAsia" w:ascii="黑体" w:hAnsi="Calibri" w:eastAsia="黑体" w:cs="黑体"/>
          <w:b/>
          <w:bCs/>
          <w:sz w:val="36"/>
          <w:szCs w:val="36"/>
          <w:lang w:val="en-US" w:eastAsia="zh-CN"/>
        </w:rPr>
        <w:t>小二，黑体，加粗，居中</w:t>
      </w:r>
    </w:p>
    <w:p w14:paraId="7EC664E6">
      <w:pPr>
        <w:ind w:firstLine="1068" w:firstLineChars="445"/>
        <w:rPr>
          <w:rFonts w:hint="eastAsia" w:ascii="Calibri" w:hAnsi="Calibri" w:eastAsia="宋体" w:cs="宋体"/>
          <w:sz w:val="24"/>
          <w:szCs w:val="24"/>
        </w:rPr>
      </w:pPr>
    </w:p>
    <w:p w14:paraId="48F01288">
      <w:pPr>
        <w:ind w:firstLine="1068" w:firstLineChars="445"/>
        <w:rPr>
          <w:rFonts w:hint="eastAsia" w:ascii="Calibri" w:hAnsi="Calibri" w:eastAsia="宋体" w:cs="宋体"/>
          <w:sz w:val="24"/>
          <w:szCs w:val="24"/>
        </w:rPr>
      </w:pPr>
    </w:p>
    <w:p w14:paraId="6020EA70">
      <w:pPr>
        <w:ind w:firstLine="1068" w:firstLineChars="445"/>
        <w:rPr>
          <w:rFonts w:hint="eastAsia" w:ascii="Calibri" w:hAnsi="Calibri" w:eastAsia="宋体" w:cs="宋体"/>
          <w:sz w:val="24"/>
          <w:szCs w:val="24"/>
        </w:rPr>
      </w:pPr>
    </w:p>
    <w:p w14:paraId="1A1A0159">
      <w:pPr>
        <w:rPr>
          <w:rFonts w:ascii="Calibri" w:hAnsi="Calibri" w:eastAsia="宋体" w:cs="Times New Roman"/>
        </w:rPr>
      </w:pPr>
    </w:p>
    <w:p w14:paraId="49002961">
      <w:pPr>
        <w:spacing w:line="560" w:lineRule="exact"/>
        <w:ind w:firstLine="1609" w:firstLineChars="668"/>
        <w:rPr>
          <w:rFonts w:ascii="宋体" w:hAnsi="Calibri" w:eastAsia="宋体" w:cs="Times New Roman"/>
          <w:b/>
          <w:bCs/>
          <w:sz w:val="24"/>
          <w:szCs w:val="24"/>
          <w:u w:val="single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院（系）: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  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  <w:lang w:val="en-US" w:eastAsia="zh-CN"/>
        </w:rPr>
        <w:t xml:space="preserve">计算机工程学院 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  </w:t>
      </w:r>
    </w:p>
    <w:p w14:paraId="0132DD61">
      <w:pPr>
        <w:spacing w:line="560" w:lineRule="exact"/>
        <w:ind w:firstLine="1556" w:firstLineChars="646"/>
        <w:rPr>
          <w:rFonts w:hint="eastAsia" w:ascii="宋体" w:hAnsi="宋体" w:eastAsia="宋体" w:cs="宋体"/>
          <w:b/>
          <w:bCs/>
          <w:sz w:val="24"/>
          <w:szCs w:val="24"/>
          <w:u w:val="single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专    业: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   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  <w:lang w:val="en-US" w:eastAsia="zh-CN"/>
        </w:rPr>
        <w:t xml:space="preserve">  计算机科学与技术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  <w:lang w:val="en-US" w:eastAsia="zh-CN"/>
        </w:rPr>
        <w:t xml:space="preserve">      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 </w:t>
      </w:r>
    </w:p>
    <w:p w14:paraId="72DE241D">
      <w:pPr>
        <w:spacing w:line="560" w:lineRule="exact"/>
        <w:ind w:firstLine="1556" w:firstLineChars="646"/>
        <w:rPr>
          <w:rFonts w:hint="eastAsia" w:ascii="宋体" w:hAnsi="宋体" w:eastAsia="宋体" w:cs="宋体"/>
          <w:b/>
          <w:bCs/>
          <w:sz w:val="24"/>
          <w:szCs w:val="24"/>
          <w:u w:val="single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课程名称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: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1"/>
          <w:szCs w:val="21"/>
          <w:u w:val="single"/>
          <w:lang w:val="en-US" w:eastAsia="zh-CN"/>
        </w:rPr>
        <w:t>工程实践4（计算机应用系统综合实践）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</w:t>
      </w:r>
    </w:p>
    <w:p w14:paraId="4F606F70">
      <w:pPr>
        <w:spacing w:line="560" w:lineRule="exact"/>
        <w:ind w:firstLine="1556" w:firstLineChars="646"/>
        <w:rPr>
          <w:rFonts w:ascii="宋体" w:hAnsi="Calibri" w:eastAsia="宋体" w:cs="Times New Roman"/>
          <w:b/>
          <w:bCs/>
          <w:sz w:val="24"/>
          <w:szCs w:val="24"/>
          <w:u w:val="single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学生姓名: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                      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   </w:t>
      </w:r>
    </w:p>
    <w:p w14:paraId="3076634F">
      <w:pPr>
        <w:spacing w:line="560" w:lineRule="exact"/>
        <w:ind w:firstLine="1556" w:firstLineChars="646"/>
        <w:rPr>
          <w:rFonts w:ascii="宋体" w:hAnsi="Calibri" w:eastAsia="宋体" w:cs="Times New Roman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学生学号: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                       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   </w:t>
      </w:r>
    </w:p>
    <w:p w14:paraId="61F97ED0">
      <w:pPr>
        <w:spacing w:line="560" w:lineRule="exact"/>
        <w:ind w:firstLine="1556" w:firstLineChars="646"/>
        <w:rPr>
          <w:rFonts w:ascii="宋体" w:hAnsi="Calibri" w:eastAsia="宋体" w:cs="Times New Roman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指导教师: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   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  <w:lang w:val="en-US" w:eastAsia="zh-CN"/>
        </w:rPr>
        <w:t xml:space="preserve">刘泓志           </w:t>
      </w:r>
      <w:bookmarkStart w:id="0" w:name="_GoBack"/>
      <w:bookmarkEnd w:id="0"/>
      <w:r>
        <w:rPr>
          <w:rFonts w:hint="eastAsia" w:ascii="宋体" w:hAnsi="宋体" w:eastAsia="宋体" w:cs="宋体"/>
          <w:b/>
          <w:bCs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    </w:t>
      </w:r>
    </w:p>
    <w:p w14:paraId="0C7CDAA8">
      <w:pPr>
        <w:spacing w:line="560" w:lineRule="exact"/>
        <w:ind w:firstLine="1556" w:firstLineChars="646"/>
        <w:rPr>
          <w:rFonts w:ascii="宋体" w:hAnsi="Calibri" w:eastAsia="宋体" w:cs="Times New Roman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起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止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日期: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  <w:lang w:val="en-US" w:eastAsia="zh-CN"/>
        </w:rPr>
        <w:t xml:space="preserve">    2026.9.7 至 2026.9.30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  <w:lang w:val="en-US" w:eastAsia="zh-CN"/>
        </w:rPr>
        <w:t xml:space="preserve">      </w:t>
      </w:r>
      <w:r>
        <w:rPr>
          <w:rFonts w:hint="eastAsia" w:ascii="宋体" w:hAnsi="宋体" w:eastAsia="宋体" w:cs="宋体"/>
          <w:b/>
          <w:bCs/>
          <w:sz w:val="24"/>
          <w:szCs w:val="24"/>
          <w:u w:val="single"/>
        </w:rPr>
        <w:t xml:space="preserve"> </w:t>
      </w:r>
    </w:p>
    <w:p w14:paraId="51BB01EE">
      <w:pPr>
        <w:ind w:firstLine="480" w:firstLineChars="200"/>
        <w:rPr>
          <w:rFonts w:hint="eastAsia" w:ascii="仿宋" w:hAnsi="仿宋" w:eastAsia="仿宋" w:cs="仿宋_GB2312"/>
          <w:color w:val="FF0000"/>
          <w:sz w:val="24"/>
          <w:szCs w:val="24"/>
        </w:rPr>
      </w:pPr>
    </w:p>
    <w:p w14:paraId="5D7B46F9">
      <w:pPr>
        <w:ind w:firstLine="480" w:firstLineChars="200"/>
        <w:rPr>
          <w:rFonts w:hint="eastAsia" w:ascii="仿宋" w:hAnsi="仿宋" w:eastAsia="仿宋" w:cs="仿宋_GB2312"/>
          <w:color w:val="FF0000"/>
          <w:sz w:val="24"/>
          <w:szCs w:val="24"/>
        </w:rPr>
      </w:pPr>
    </w:p>
    <w:p w14:paraId="751E63A6">
      <w:pPr>
        <w:ind w:firstLine="480" w:firstLineChars="200"/>
        <w:rPr>
          <w:rFonts w:hint="eastAsia" w:ascii="仿宋" w:hAnsi="仿宋" w:eastAsia="仿宋" w:cs="仿宋_GB2312"/>
          <w:color w:val="FF0000"/>
          <w:sz w:val="24"/>
          <w:szCs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133CB10">
      <w:pPr>
        <w:spacing w:line="360" w:lineRule="auto"/>
        <w:jc w:val="center"/>
        <w:rPr>
          <w:rFonts w:hint="eastAsia" w:ascii="宋体" w:hAnsi="宋体" w:eastAsia="宋体" w:cs="宋体"/>
          <w:b/>
          <w:bCs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课题名称</w:t>
      </w:r>
    </w:p>
    <w:p w14:paraId="2FFAA62C">
      <w:pPr>
        <w:spacing w:line="360" w:lineRule="auto"/>
        <w:jc w:val="center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（题目格式：宋体，3号，加粗，居中对齐，上下空一行）</w:t>
      </w:r>
    </w:p>
    <w:p w14:paraId="16B5108E">
      <w:pPr>
        <w:spacing w:line="360" w:lineRule="auto"/>
        <w:jc w:val="left"/>
        <w:rPr>
          <w:rFonts w:hint="eastAsia" w:ascii="Times New Roman" w:hAnsi="Times New Roman" w:cs="Times New Roman"/>
          <w:color w:val="FF0000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FF0000"/>
          <w:sz w:val="24"/>
          <w:szCs w:val="24"/>
          <w:lang w:val="en-US" w:eastAsia="zh-CN"/>
        </w:rPr>
        <w:t>项目分工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"/>
        <w:gridCol w:w="1515"/>
        <w:gridCol w:w="1492"/>
        <w:gridCol w:w="2873"/>
        <w:gridCol w:w="1704"/>
      </w:tblGrid>
      <w:tr w14:paraId="3758D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</w:tcPr>
          <w:p w14:paraId="74E0D40D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1515" w:type="dxa"/>
          </w:tcPr>
          <w:p w14:paraId="5BE12BE7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  <w:t>姓名</w:t>
            </w:r>
          </w:p>
        </w:tc>
        <w:tc>
          <w:tcPr>
            <w:tcW w:w="1492" w:type="dxa"/>
          </w:tcPr>
          <w:p w14:paraId="3BFACBC3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  <w:t>学号</w:t>
            </w:r>
          </w:p>
        </w:tc>
        <w:tc>
          <w:tcPr>
            <w:tcW w:w="2873" w:type="dxa"/>
          </w:tcPr>
          <w:p w14:paraId="1CFC7DB9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  <w:t>具体分工</w:t>
            </w:r>
          </w:p>
        </w:tc>
        <w:tc>
          <w:tcPr>
            <w:tcW w:w="1704" w:type="dxa"/>
          </w:tcPr>
          <w:p w14:paraId="085492F7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  <w:t>备注</w:t>
            </w:r>
          </w:p>
        </w:tc>
      </w:tr>
      <w:tr w14:paraId="269A2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</w:tcPr>
          <w:p w14:paraId="158E4AEC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515" w:type="dxa"/>
          </w:tcPr>
          <w:p w14:paraId="659CA5B8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492" w:type="dxa"/>
          </w:tcPr>
          <w:p w14:paraId="720D80AA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873" w:type="dxa"/>
          </w:tcPr>
          <w:p w14:paraId="29DFB72F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057DC6F4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5C2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</w:tcPr>
          <w:p w14:paraId="55264F2A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515" w:type="dxa"/>
          </w:tcPr>
          <w:p w14:paraId="6E9486C0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492" w:type="dxa"/>
          </w:tcPr>
          <w:p w14:paraId="374D4B9C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873" w:type="dxa"/>
          </w:tcPr>
          <w:p w14:paraId="3B8C343D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61E6D0B7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3AEC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</w:tcPr>
          <w:p w14:paraId="13174CCF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515" w:type="dxa"/>
          </w:tcPr>
          <w:p w14:paraId="7F93F3AF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492" w:type="dxa"/>
          </w:tcPr>
          <w:p w14:paraId="3A499D93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873" w:type="dxa"/>
          </w:tcPr>
          <w:p w14:paraId="01F83CEE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76A0079B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36FD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</w:tcPr>
          <w:p w14:paraId="65489C83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515" w:type="dxa"/>
          </w:tcPr>
          <w:p w14:paraId="33620211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492" w:type="dxa"/>
          </w:tcPr>
          <w:p w14:paraId="0B4FF052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873" w:type="dxa"/>
          </w:tcPr>
          <w:p w14:paraId="28FF01AE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2A2A346A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E034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</w:tcPr>
          <w:p w14:paraId="351BAD66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515" w:type="dxa"/>
          </w:tcPr>
          <w:p w14:paraId="583552AC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492" w:type="dxa"/>
          </w:tcPr>
          <w:p w14:paraId="3447645C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873" w:type="dxa"/>
          </w:tcPr>
          <w:p w14:paraId="116F2982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51F66BA7">
            <w:pPr>
              <w:spacing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</w:tbl>
    <w:p w14:paraId="6E2616F9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5DE3B806">
      <w:pPr>
        <w:spacing w:line="500" w:lineRule="exact"/>
        <w:ind w:firstLine="551" w:firstLineChars="196"/>
        <w:rPr>
          <w:rFonts w:hint="default" w:ascii="Times New Roman" w:hAnsi="Times New Roman" w:cs="Times New Roman" w:eastAsiaTheme="minorEastAsia"/>
          <w:b/>
          <w:bCs/>
          <w:sz w:val="24"/>
          <w:szCs w:val="24"/>
        </w:rPr>
      </w:pPr>
      <w:r>
        <w:rPr>
          <w:rFonts w:hint="default" w:ascii="Times New Roman" w:hAnsi="Times New Roman" w:cs="Times New Roman" w:eastAsiaTheme="minorEastAsia" w:eastAsia="宋体"/>
          <w:b/>
          <w:bCs/>
          <w:sz w:val="28"/>
          <w:szCs w:val="28"/>
        </w:rPr>
        <w:t>一、选题背景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1．选题来源与现实意义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高校课程学习与自主学习过程中，学习者需要同时面对课件、讲义、教材、实验指导书等多种格式的课程资料。这些资料体量大、格式杂、更新频繁，传统的目录式管理与关键词检索只能匹配字面表述，难以支撑“按语义定位知识点”的复习需求；在自测环节，学习者往往只能依赖教师提供的有限习题，缺少贴合本人课程内容、且可按题型与难度自行定制的练习；在查漏补缺环节，做错的题目通常散落在纸质试卷或聊天记录中，无法自动沉淀，复习也因此缺少计划性，容易陷入“学了就忘、错了再错”的低效循环。与此同时，通用大语言模型虽然在开放域问答与题目生成方面表现突出，但其知识来源于公开语料，对用户私有的课程资料一无所知，直接提问容易产生事实性偏差（即所谓“幻觉”），且回答无法给出出处，学习者难以判断答案是否可信。上述矛盾构成了本课题“智学助手”的选题来源与现实意义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2．本课题应解决的主要问题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（1）多源异构资料的统一处理问题。需要屏蔽 PDF、Word、Markdown、TXT 等格式的差异，完成解析、切分与向量化，形成可按课程组织、可持续增量的知识库。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（2）私有知识的准确问答问题。在不改变通用大模型参数的前提下，使其能够基于用户自己的课程资料作答，抑制幻觉并提供可核实的引用来源。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（3）针对性练习的自动生成问题。需要依据知识库内容，按用户指定的题型、难度与数量生成题目，并同步给出答案与解析，以减少人工命题成本。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（4）错题的自动沉淀问题。需要对作答结果即时判分，将答错题目连同用户答案、正确答案与解析一并沉淀，并支持按课程查看与标记掌握，使薄弱点得以集中呈现。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（5）复习的计划性问题。需要基于已有错题与知识库内容生成按日期安排的复习计划，并跟踪完成情况，把零散的复习行为组织成有节奏的学习闭环。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（6）易用性与部署成本问题。需要提供零安装门槛的网页交互与本地化的一键部署方式，避免课程资料外传到第三方在线平台。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3．应达到的技术要求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（1）知识库构建：支持 PDF/DOCX/DOC/MD/TXT 格式上传，单文件大小不超过 10 MB；采用递归字符切分策略，文本块长度为 500 字符、相邻块重叠 50 字符，Markdown 文档先按标题层级切分再按长度切分以保留章节语义；单个文档从上传到向量化完成不超过 30 秒，并返回切分块数与入库状态。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（2）智能问答：采用检索增强生成流程完成“问题向量化—相似度检索—上下文拼接—大模型生成”，检索召回条数可通过环境变量配置；回答须附引用来源（文件名与原文片段摘要），实现结果可溯源。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（3）自动出题：支持单选、多选、判断、简答四种题型，易、中、难三档难度，按指定数量返回结构化结果（题干、选项、正确答案、解析），简答题附参考答案要点。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（4）判题与错题本：客观题支持在线作答并即时判分，返回是否正确、正确答案与解析；答错题目自动写入错题本，记录用户答案与正确答案，支持按课程分组查看、按掌握状态筛选、标记掌握与移除。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（5）复习计划：基于错题与知识库内容生成复习计划，条目按日期组织并标明知识点；支持查看计划详情与标记完成；当无错题可排时给出明确提示而非生成空计划。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（6）安全性与健壮性：模型密钥与接口地址通过环境变量注入；上传文件执行类型白名单与大小校验；数据库访问使用 ORM 参数化查询；页面渲染前做基本转义；异常统一封装后返回，单个文档处理失败不影响其他文档。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（7）运行与维护：服务端运行于 Python 3.11 环境，由 Uvicorn 启动，依赖的 MySQL 服务通过 Docker Compose 一键启动，客户端使用最新版 Chrome 或 Edge 浏览器；代码按接口路由、业务逻辑、数据模型与数据契约分层组织，提示词模板集中维护。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4．设计指导思想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课题遵循“需求牵引、适度架构、闭环设计、渐进迭代”的指导思想。其一，以检索增强生成为主线技术，用外部检索弥补通用大模型的私有知识缺失与幻觉缺陷，使回答与题目均“有据可依”；其二，围绕“学、问、练、测、复”五个环节构建完整学习闭环，把资料检索、知识问答、自动出题、错题沉淀与复习规划串成一条连续链路，使前一环节的产出成为后一环节的输入；其三，在选型上坚持轻量、成熟、可控，优先选择可在本地运行、不引入额外分布式中间件的组件；其四，在实现上优先跑通核心链路，再按迭代计划逐步完善统计与导出等扩展能力。</w:t>
      </w:r>
    </w:p>
    <w:p w14:paraId="454B74B8">
      <w:pPr>
        <w:spacing w:line="500" w:lineRule="exact"/>
        <w:ind w:firstLine="551" w:firstLineChars="196"/>
        <w:rPr>
          <w:rFonts w:hint="default" w:ascii="Times New Roman" w:hAnsi="Times New Roman" w:cs="Times New Roman" w:eastAsiaTheme="minorEastAsia"/>
          <w:b/>
          <w:bCs/>
          <w:sz w:val="24"/>
          <w:szCs w:val="24"/>
        </w:rPr>
      </w:pPr>
      <w:r>
        <w:rPr>
          <w:rFonts w:hint="default" w:ascii="Times New Roman" w:hAnsi="Times New Roman" w:cs="Times New Roman" w:eastAsiaTheme="minorEastAsia" w:eastAsia="宋体"/>
          <w:b/>
          <w:bCs/>
          <w:sz w:val="28"/>
          <w:szCs w:val="28"/>
        </w:rPr>
        <w:t>二、方案论证（设计理念）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1．系统总体结构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本系统采用浏览器／服务器（B/S）三层结构。表现层为运行于浏览器中的原生 HTML、CSS 与 JavaScript 静态页面，左侧为课程列表与导航（问答、出题、错题本、复习计划），右侧为主内容区，负责课程管理、文档上传、问答对话、出题作答、错题查看与复习计划跟踪；应用层为 FastAPI 服务，内部按接口路由、业务逻辑、LangChain 编排（文档加载、文本切分、检索、提示词）以及持久化模型与数据契约分层组织；数据层由 MySQL 8.0 业务库与 Chroma 本地向量库共同构成，前者存储课程、文档、出题批次、题目、错题与复习计划等结构化数据，后者按课程划分集合，存储文本片段向量及其元数据。大语言模型与向量化能力通过 SiliconFlow 的 OpenAI 兼容接口接入，生成模型采用 Qwen 系列，向量模型采用 BAAI/bge-m3。选择该结构的原因在于：表现层无需构建工具，应用层职责边界清晰便于分工与测试，数据层按“结构化数据 + 向量数据”分而治之，两类存储的职责互不重叠。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2．设计原理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系统的核心设计原理是检索增强生成（Retrieval-Augmented Generation，RAG），其工作过程分为离线与在线两个阶段。第一阶段是离线索引：上传的文档经类型与大小校验后，由对应的文档加载器解析为纯文本，再由文本切分器切分为语义相对完整的文本块，随后调用向量模型将每个文本块映射为高维向量，连同文档标识、文件名、块序号等元数据写入向量库。第二阶段是在线生成：用户提问后，系统使用同一向量模型将问题映射到同一向量空间，在向量库中按相似度召回若干相关片段，将其作为参考资料拼接到提示词中，交由大语言模型生成回答，并一并返回所引用的片段来源。由于答案的生成被约束在检索到的课程资料范围内，系统既能回答私有课程内容，又能显著降低幻觉并支持溯源。为保证上述机制成立，入库与检索必须使用同一个向量模型，否则二者处于不同向量空间，检索将失效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此基础上，系统围绕学习闭环继续延展：自动出题复用同一套检索能力，先从知识库召回相关片段，再按题型、难度与数量约束生成结构化题目并落库；作答时系统调用判题逻辑比对用户答案与正确答案，答错即写入错题本，使薄弱点自动沉淀；复习计划则以错题与知识库内容为输入，生成按日期组织的复习条目并跟踪完成状态。可见，检索增强生成既是问答的原理，也是出题、判题与复习安排的共同基础，四个环节共享同一知识库，从而形成“问—练—测—复”的闭环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3．方案比较与选择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为使方案选择有据可依，课题对四种可行技术路线进行了比较，结果如表 1 所示。</w:t>
      </w:r>
    </w:p>
    <w:p>
      <w:pPr>
        <w:spacing w:line="400" w:lineRule="exact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 1  候选技术方案对比表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730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候选方案</w:t>
            </w:r>
          </w:p>
        </w:tc>
        <w:tc>
          <w:tcPr>
            <w:tcW w:type="dxa" w:w="1730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基本思路</w:t>
            </w:r>
          </w:p>
        </w:tc>
        <w:tc>
          <w:tcPr>
            <w:tcW w:type="dxa" w:w="1615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主要优点</w:t>
            </w:r>
          </w:p>
        </w:tc>
        <w:tc>
          <w:tcPr>
            <w:tcW w:type="dxa" w:w="230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主要局限</w:t>
            </w:r>
          </w:p>
        </w:tc>
        <w:tc>
          <w:tcPr>
            <w:tcW w:type="dxa" w:w="923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结论</w:t>
            </w:r>
          </w:p>
        </w:tc>
      </w:tr>
      <w:tr>
        <w:tc>
          <w:tcPr>
            <w:tcW w:type="dxa" w:w="1730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方案 A</w:t>
              <w:br/>
              <w:t>直接使用通用大模型</w:t>
            </w:r>
          </w:p>
        </w:tc>
        <w:tc>
          <w:tcPr>
            <w:tcW w:type="dxa" w:w="1730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调用在线大模型接口直接问答</w:t>
            </w:r>
          </w:p>
        </w:tc>
        <w:tc>
          <w:tcPr>
            <w:tcW w:type="dxa" w:w="1615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实现最简单，无需额外组件</w:t>
            </w:r>
          </w:p>
        </w:tc>
        <w:tc>
          <w:tcPr>
            <w:tcW w:type="dxa" w:w="2307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模型不了解私有课程资料，易产生幻觉且无法溯源，费用随调用量上升</w:t>
            </w:r>
          </w:p>
        </w:tc>
        <w:tc>
          <w:tcPr>
            <w:tcW w:type="dxa" w:w="923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不采用</w:t>
            </w:r>
          </w:p>
        </w:tc>
      </w:tr>
      <w:tr>
        <w:tc>
          <w:tcPr>
            <w:tcW w:type="dxa" w:w="1730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方案 B</w:t>
              <w:br/>
              <w:t>大模型微调</w:t>
            </w:r>
          </w:p>
        </w:tc>
        <w:tc>
          <w:tcPr>
            <w:tcW w:type="dxa" w:w="1730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在课程语料上对模型参数做微调</w:t>
            </w:r>
          </w:p>
        </w:tc>
        <w:tc>
          <w:tcPr>
            <w:tcW w:type="dxa" w:w="1615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回答风格与领域贴合度高</w:t>
            </w:r>
          </w:p>
        </w:tc>
        <w:tc>
          <w:tcPr>
            <w:tcW w:type="dxa" w:w="2307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需要大量样本与训练算力，资料更新即需重训，成本高、周期长</w:t>
            </w:r>
          </w:p>
        </w:tc>
        <w:tc>
          <w:tcPr>
            <w:tcW w:type="dxa" w:w="923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不采用</w:t>
            </w:r>
          </w:p>
        </w:tc>
      </w:tr>
      <w:tr>
        <w:tc>
          <w:tcPr>
            <w:tcW w:type="dxa" w:w="1730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方案 C</w:t>
              <w:br/>
              <w:t>传统关键词检索</w:t>
            </w:r>
          </w:p>
        </w:tc>
        <w:tc>
          <w:tcPr>
            <w:tcW w:type="dxa" w:w="1730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以倒排索引为基础做字面匹配</w:t>
            </w:r>
          </w:p>
        </w:tc>
        <w:tc>
          <w:tcPr>
            <w:tcW w:type="dxa" w:w="1615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技术成熟，检索响应快</w:t>
            </w:r>
          </w:p>
        </w:tc>
        <w:tc>
          <w:tcPr>
            <w:tcW w:type="dxa" w:w="2307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仅支持字面匹配，无法处理同义表述与跨段落语义关联，也不能生成自然语言答案</w:t>
            </w:r>
          </w:p>
        </w:tc>
        <w:tc>
          <w:tcPr>
            <w:tcW w:type="dxa" w:w="923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不作为主方案</w:t>
            </w:r>
          </w:p>
        </w:tc>
      </w:tr>
      <w:tr>
        <w:tc>
          <w:tcPr>
            <w:tcW w:type="dxa" w:w="1730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方案 D</w:t>
              <w:br/>
              <w:t>检索增强生成</w:t>
            </w:r>
          </w:p>
        </w:tc>
        <w:tc>
          <w:tcPr>
            <w:tcW w:type="dxa" w:w="1730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先检索课程片段，再交由大模型生成</w:t>
            </w:r>
          </w:p>
        </w:tc>
        <w:tc>
          <w:tcPr>
            <w:tcW w:type="dxa" w:w="1615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无需训练，资料更新即时生效，答案可溯源、幻觉可控，向量库可本地部署</w:t>
            </w:r>
          </w:p>
        </w:tc>
        <w:tc>
          <w:tcPr>
            <w:tcW w:type="dxa" w:w="2307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检索质量依赖切分策略与向量模型，需额外处理上下文拼接与结构化输出</w:t>
            </w:r>
          </w:p>
        </w:tc>
        <w:tc>
          <w:tcPr>
            <w:tcW w:type="dxa" w:w="923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</w:t>
            </w:r>
          </w:p>
        </w:tc>
      </w:tr>
    </w:tbl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综合考虑课程资料的私有属性、频繁更新的特点，以及实施条件下的算力与成本约束，本课题选择方案 D：以检索增强生成为核心，用检索保证“有据可依”，用生成保证“可读可用”。在此之上叠加结构化出题、自动判题、错题沉淀与复习规划四项能力，即可覆盖学习闭环的全部环节，既满足前述技术要求，又具备较好的可扩展性与可维护性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4．主要技术选型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在确定技术路线之后，系统各层组件的选型如表 2 所示。</w:t>
      </w:r>
    </w:p>
    <w:p>
      <w:pPr>
        <w:spacing w:line="400" w:lineRule="exact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 2  系统主要技术选型及理由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311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层次</w:t>
            </w:r>
          </w:p>
        </w:tc>
        <w:tc>
          <w:tcPr>
            <w:tcW w:type="dxa" w:w="2332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选型</w:t>
            </w:r>
          </w:p>
        </w:tc>
        <w:tc>
          <w:tcPr>
            <w:tcW w:type="dxa" w:w="4663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选型理由</w:t>
            </w:r>
          </w:p>
        </w:tc>
      </w:tr>
      <w:tr>
        <w:tc>
          <w:tcPr>
            <w:tcW w:type="dxa" w:w="1311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开发语言</w:t>
            </w:r>
          </w:p>
        </w:tc>
        <w:tc>
          <w:tcPr>
            <w:tcW w:type="dxa" w:w="2332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Python 3.11</w:t>
            </w:r>
          </w:p>
        </w:tc>
        <w:tc>
          <w:tcPr>
            <w:tcW w:type="dxa" w:w="4663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生态成熟，大模型工具链（LangChain 等）支持完善，版本稳定且性能均衡</w:t>
            </w:r>
          </w:p>
        </w:tc>
      </w:tr>
      <w:tr>
        <w:tc>
          <w:tcPr>
            <w:tcW w:type="dxa" w:w="1311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Web 框架</w:t>
            </w:r>
          </w:p>
        </w:tc>
        <w:tc>
          <w:tcPr>
            <w:tcW w:type="dxa" w:w="2332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FastAPI + Uvicorn</w:t>
            </w:r>
          </w:p>
        </w:tc>
        <w:tc>
          <w:tcPr>
            <w:tcW w:type="dxa" w:w="4663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支持异步高并发，依托 Pydantic v2 完成请求校验，自动生成可交互接口文档</w:t>
            </w:r>
          </w:p>
        </w:tc>
      </w:tr>
      <w:tr>
        <w:tc>
          <w:tcPr>
            <w:tcW w:type="dxa" w:w="1311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 编排</w:t>
            </w:r>
          </w:p>
        </w:tc>
        <w:tc>
          <w:tcPr>
            <w:tcW w:type="dxa" w:w="2332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LangChain</w:t>
            </w:r>
          </w:p>
        </w:tc>
        <w:tc>
          <w:tcPr>
            <w:tcW w:type="dxa" w:w="4663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内置文档加载器、文本切分器、向量库接口与提示词模板等 RAG 抽象，减少重复实现</w:t>
            </w:r>
          </w:p>
        </w:tc>
      </w:tr>
      <w:tr>
        <w:tc>
          <w:tcPr>
            <w:tcW w:type="dxa" w:w="1311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业务数据库</w:t>
            </w:r>
          </w:p>
        </w:tc>
        <w:tc>
          <w:tcPr>
            <w:tcW w:type="dxa" w:w="2332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MySQL 8.0</w:t>
            </w:r>
          </w:p>
        </w:tc>
        <w:tc>
          <w:tcPr>
            <w:tcW w:type="dxa" w:w="4663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成熟稳定的关系型数据库，可通过外键与事务保证数据完整性</w:t>
            </w:r>
          </w:p>
        </w:tc>
      </w:tr>
      <w:tr>
        <w:tc>
          <w:tcPr>
            <w:tcW w:type="dxa" w:w="1311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向量数据库</w:t>
            </w:r>
          </w:p>
        </w:tc>
        <w:tc>
          <w:tcPr>
            <w:tcW w:type="dxa" w:w="2332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Chroma（本地持久化）</w:t>
            </w:r>
          </w:p>
        </w:tc>
        <w:tc>
          <w:tcPr>
            <w:tcW w:type="dxa" w:w="4663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轻量易用，进程内运行且数据自动落盘，无需额外容器，适合小规模课程知识库</w:t>
            </w:r>
          </w:p>
        </w:tc>
      </w:tr>
      <w:tr>
        <w:tc>
          <w:tcPr>
            <w:tcW w:type="dxa" w:w="1311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模型服务</w:t>
            </w:r>
          </w:p>
        </w:tc>
        <w:tc>
          <w:tcPr>
            <w:tcW w:type="dxa" w:w="2332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SiliconFlow（OpenAI 兼容接口）</w:t>
            </w:r>
          </w:p>
        </w:tc>
        <w:tc>
          <w:tcPr>
            <w:tcW w:type="dxa" w:w="4663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国内直连、按量计费，生成模型与向量模型统一接入，避免自建推理服务的成本</w:t>
            </w:r>
          </w:p>
        </w:tc>
      </w:tr>
      <w:tr>
        <w:tc>
          <w:tcPr>
            <w:tcW w:type="dxa" w:w="1311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</w:t>
            </w:r>
          </w:p>
        </w:tc>
        <w:tc>
          <w:tcPr>
            <w:tcW w:type="dxa" w:w="2332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原生 HTML + CSS + JavaScript</w:t>
            </w:r>
          </w:p>
        </w:tc>
        <w:tc>
          <w:tcPr>
            <w:tcW w:type="dxa" w:w="4663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不依赖构建工具与前端框架，静态页面经接口调用即可完成全部交互</w:t>
            </w:r>
          </w:p>
        </w:tc>
      </w:tr>
      <w:tr>
        <w:tc>
          <w:tcPr>
            <w:tcW w:type="dxa" w:w="1311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部署方式</w:t>
            </w:r>
          </w:p>
        </w:tc>
        <w:tc>
          <w:tcPr>
            <w:tcW w:type="dxa" w:w="2332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Docker + Docker Compose</w:t>
            </w:r>
          </w:p>
        </w:tc>
        <w:tc>
          <w:tcPr>
            <w:tcW w:type="dxa" w:w="4663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一条命令即可启动依赖服务，消除环境差异带来的部署成本</w:t>
            </w:r>
          </w:p>
        </w:tc>
      </w:tr>
    </w:tbl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5．功能要求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依据产品需求分析结果，本课题需实现的功能模块及其要求如表 3 所示。</w:t>
      </w:r>
    </w:p>
    <w:p>
      <w:pPr>
        <w:spacing w:line="400" w:lineRule="exact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 3  系统功能模块与功能要求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729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功能模块</w:t>
            </w:r>
          </w:p>
        </w:tc>
        <w:tc>
          <w:tcPr>
            <w:tcW w:type="dxa" w:w="6120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功能要求</w:t>
            </w:r>
          </w:p>
        </w:tc>
      </w:tr>
      <w:tr>
        <w:tc>
          <w:tcPr>
            <w:tcW w:type="dxa" w:w="729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基础</w:t>
            </w:r>
          </w:p>
        </w:tc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课程管理</w:t>
            </w:r>
          </w:p>
        </w:tc>
        <w:tc>
          <w:tcPr>
            <w:tcW w:type="dxa" w:w="6120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支持课程的创建、列表查询、详情查看与删除；删除课程时级联清理其文档、题目、错题、复习计划及向量数据</w:t>
            </w:r>
          </w:p>
        </w:tc>
      </w:tr>
      <w:tr>
        <w:tc>
          <w:tcPr>
            <w:tcW w:type="dxa" w:w="729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F1</w:t>
            </w:r>
          </w:p>
        </w:tc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上传文档</w:t>
            </w:r>
          </w:p>
        </w:tc>
        <w:tc>
          <w:tcPr>
            <w:tcW w:type="dxa" w:w="6120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支持 PDF/DOCX/DOC/MD/TXT，单文件不超过 10 MB；完成解析、切分与向量化后返回文档信息与切分块数，入库状态分为 processing、completed、failed 三种</w:t>
            </w:r>
          </w:p>
        </w:tc>
      </w:tr>
      <w:tr>
        <w:tc>
          <w:tcPr>
            <w:tcW w:type="dxa" w:w="729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F2</w:t>
            </w:r>
          </w:p>
        </w:tc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智能问答</w:t>
            </w:r>
          </w:p>
        </w:tc>
        <w:tc>
          <w:tcPr>
            <w:tcW w:type="dxa" w:w="6120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基于课程知识库检索相关片段后生成回答，并附引用来源；知识库为空时给出上传引导，资料不足时明确说明而非臆断</w:t>
            </w:r>
          </w:p>
        </w:tc>
      </w:tr>
      <w:tr>
        <w:tc>
          <w:tcPr>
            <w:tcW w:type="dxa" w:w="729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F3</w:t>
            </w:r>
          </w:p>
        </w:tc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自动出题</w:t>
            </w:r>
          </w:p>
        </w:tc>
        <w:tc>
          <w:tcPr>
            <w:tcW w:type="dxa" w:w="6120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按题型（单选／多选／判断／简答）、难度（易／中／难）与数量生成题目；客观题返回结构化的题干、选项、正确答案与解析，简答题附参考答案要点</w:t>
            </w:r>
          </w:p>
        </w:tc>
      </w:tr>
      <w:tr>
        <w:tc>
          <w:tcPr>
            <w:tcW w:type="dxa" w:w="729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F4</w:t>
            </w:r>
          </w:p>
        </w:tc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错题本</w:t>
            </w:r>
          </w:p>
        </w:tc>
        <w:tc>
          <w:tcPr>
            <w:tcW w:type="dxa" w:w="6120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提交答案即时判分，答错题目自动沉淀并记录用户答案与正确答案；按课程分组展示，支持按掌握状态筛选、标记掌握与移除</w:t>
            </w:r>
          </w:p>
        </w:tc>
      </w:tr>
      <w:tr>
        <w:tc>
          <w:tcPr>
            <w:tcW w:type="dxa" w:w="729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F5</w:t>
            </w:r>
          </w:p>
        </w:tc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复习计划</w:t>
            </w:r>
          </w:p>
        </w:tc>
        <w:tc>
          <w:tcPr>
            <w:tcW w:type="dxa" w:w="6120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基于错题与知识库内容生成复习计划，条目按日期组织并标注知识点；支持查看计划详情与标记完成；无可复习内容时给出明确提示</w:t>
            </w:r>
          </w:p>
        </w:tc>
      </w:tr>
    </w:tbl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6．数据完整性设计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系统采用“MySQL 存储结构化数据、Chroma 存储向量数据”的双存储策略，MySQL 中以课程表为中心，围绕其建立文档表、出题批次表、题目表、错题表、复习计划表与复习条目表共七张表，并通过四项措施保证数据完整性。其一，业务表之间通过外键建立约束，文档表、出题批次表、题目表、错题表、复习计划表均以课程标识关联课程表，题目表关联出题批次表，复习条目表关联复习计划表，删除课程时严格按“复习条目—复习计划—错题—题目—出题批次—文档—课程”的逆序级联清理；其二，文档入库在同一数据库会话内依次完成“创建记录—解析入库—更新状态—提交”，解析或向量化异常时将该文档状态置为 failed 并记录失败原因，避免出现“半入库”状态；其三，删除文档或课程时同步清理向量库对应集合中的向量，防止产生“可被检索但元数据已不存在”的幽灵数据；其四，出题结果先经格式解析与合法性校验再落库，错题仅在判题结果为错误时写入，保证各表中的业务字段均为合法结构化数据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7．安全性设计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配置层面，大模型接口密钥、接口地址与数据库口令等敏感信息统一通过环境变量文件读取，不写入代码、不纳入版本管理；在输入层面，上传环节对文件类型执行白名单校验并限制文件大小，请求体由数据契约模型完成类型与取值校验，非法请求在进入业务逻辑之前即被拒绝；在持久化层面，全部数据访问均通过 ORM 的参数化查询完成，避免字符串拼接带来的注入风险；在输出层面，前端对用户输入与模型返回内容做基本转义后再渲染，降低跨站脚本风险；在异常层面，全局异常处理器统一返回约定的状态码与提示信息，不向外部暴露调用堆栈等内部细节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8．运行环境与性能要求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运行环境方面，服务端运行于 Python 3.11，由 Uvicorn 启动；业务数据库采用 MySQL 8.0，由 Docker Compose 一键启动；向量库以进程内本地持久化的方式运行，无需独立容器；客户端使用最新版 Chrome 或 Edge 浏览器。性能方面，单个不超过 10 MB 的文档从上传到向量化完成不超过 30 秒；问答、出题与复习计划生成涉及远程模型调用，前端以加载状态给予反馈，检索召回条数可按知识库规模调节；向量库的数据保存在本地持久化目录中，服务重启后不丢失，从而满足反复使用与离线场景的需要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综上，本方案的特点可概括为三点：一是“有据可依”，回答、题目与复习安排均以课程资料为约束，并可给出可核实的来源；二是“闭环完整”，从资料入库到问答、出题、判题、错题沉淀直至复习计划，形成“学、问、练、测、复”的连续学习链路；三是“轻量可控”，除 MySQL 之外不引入分布式中间件，向量库本地持久化，可在普通个人计算机上一键启动。</w:t>
      </w:r>
    </w:p>
    <w:p w14:paraId="3650FC62">
      <w:pPr>
        <w:spacing w:line="500" w:lineRule="exact"/>
        <w:ind w:firstLine="562" w:firstLineChars="200"/>
        <w:rPr>
          <w:rFonts w:hint="default" w:ascii="Times New Roman" w:hAnsi="Times New Roman" w:cs="Times New Roman" w:eastAsiaTheme="minorEastAsia"/>
          <w:b/>
          <w:bCs/>
          <w:sz w:val="24"/>
          <w:szCs w:val="24"/>
        </w:rPr>
      </w:pPr>
      <w:r>
        <w:rPr>
          <w:rFonts w:hint="default" w:ascii="Times New Roman" w:hAnsi="Times New Roman" w:cs="Times New Roman" w:eastAsiaTheme="minorEastAsia" w:eastAsia="宋体"/>
          <w:b/>
          <w:bCs/>
          <w:sz w:val="28"/>
          <w:szCs w:val="28"/>
        </w:rPr>
        <w:t>三、过程论述</w:t>
      </w:r>
      <w:r>
        <w:rPr>
          <w:rFonts w:hint="default" w:ascii="Times New Roman" w:hAnsi="Times New Roman" w:cs="Times New Roman" w:eastAsiaTheme="minorEastAsia" w:eastAsia="宋体"/>
          <w:sz w:val="24"/>
          <w:szCs w:val="24"/>
        </w:rPr>
        <w:t>（格式：宋体，4号，加粗，两端对齐）</w:t>
      </w:r>
    </w:p>
    <w:p w14:paraId="2913F85E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重点说明设计是如何实现的，包括：对设计工作的详细表述。要求层次分明、表达确切。</w:t>
      </w:r>
    </w:p>
    <w:p w14:paraId="373234C3">
      <w:pPr>
        <w:spacing w:line="500" w:lineRule="exact"/>
        <w:ind w:firstLine="560" w:firstLineChars="200"/>
        <w:rPr>
          <w:rFonts w:hint="eastAsia" w:ascii="Times New Roman" w:hAnsi="Times New Roman" w:cs="Times New Roman"/>
          <w:color w:val="FF0000"/>
          <w:sz w:val="28"/>
          <w:szCs w:val="28"/>
          <w:lang w:val="en-US" w:eastAsia="zh-CN"/>
        </w:rPr>
      </w:pPr>
      <w:r>
        <w:rPr>
          <w:rFonts w:hint="eastAsia" w:ascii="Times New Roman" w:hAnsi="Times New Roman" w:cs="Times New Roman"/>
          <w:color w:val="FF0000"/>
          <w:sz w:val="28"/>
          <w:szCs w:val="28"/>
          <w:lang w:val="en-US" w:eastAsia="zh-CN"/>
        </w:rPr>
        <w:t>数据库部分的设计：ER图设计（含关系模式等）、CDM设计、PDM设计（含表结构）</w:t>
      </w:r>
    </w:p>
    <w:p w14:paraId="323CFD72">
      <w:pPr>
        <w:spacing w:line="500" w:lineRule="exact"/>
        <w:ind w:firstLine="560" w:firstLineChars="200"/>
        <w:rPr>
          <w:rFonts w:hint="default" w:ascii="Times New Roman" w:hAnsi="Times New Roman" w:cs="Times New Roman"/>
          <w:color w:val="FF0000"/>
          <w:sz w:val="28"/>
          <w:szCs w:val="28"/>
          <w:lang w:val="en-US" w:eastAsia="zh-CN"/>
        </w:rPr>
      </w:pPr>
      <w:r>
        <w:rPr>
          <w:rFonts w:hint="eastAsia" w:ascii="Times New Roman" w:hAnsi="Times New Roman" w:cs="Times New Roman"/>
          <w:color w:val="FF0000"/>
          <w:sz w:val="28"/>
          <w:szCs w:val="28"/>
          <w:lang w:val="en-US" w:eastAsia="zh-CN"/>
        </w:rPr>
        <w:t>信息系统设计、实现、测试（如何与数据库连接、使用；信息系统功能设计的功能图、核心流程图、实现的界面、关键代码；系统如何测试（了解功能测试、结构测试））</w:t>
      </w:r>
    </w:p>
    <w:p w14:paraId="0AAEFA15">
      <w:pPr>
        <w:spacing w:line="500" w:lineRule="exact"/>
        <w:ind w:firstLine="42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要求：每个图都必须有文字说明，图前说明为什么使用该图、图的主要作用；图后说明图中各成分的作用，和成分之间的交互或图所表达的流程。</w:t>
      </w:r>
    </w:p>
    <w:p w14:paraId="575890D3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（正文格式：宋体，小4号，不加粗，两端对齐，行距为固定值20磅）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1．设计说明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系统的业务数据具有清晰的层级关系：课程是顶层组织单位，文档、出题批次、题目、错题与复习计划均归属于某一课程，题目按批次组织，错题由题目派生，复习条目从属于复习计划。为在设计阶段直观表达“实体—属性—联系”并尽早发现冗余与联系缺失，课题依次采用 E-R 图、概念数据模型（CDM）与物理数据模型（PDM）进行三层建模：先用 E-R 图刻画实体之间的联系类型与基数约束，再用 CDM 描述与数据库产品无关的概念结构，最后用 PDM 落实到 MySQL 8.0 的具体表结构。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2．E-R 图设计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采用 E-R 图的主要作用是：在脱离具体数据库产品的前提下，直观呈现各实体之间的联系类型与基数，明确主键与外键的传递路径，为后续的建表、联表查询与级联删除顺序提供直接依据。本系统的 E-R 图如图 1 所示。</w:t>
      </w:r>
    </w:p>
    <w:p>
      <w:pPr>
        <w:spacing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37467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37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 1  智学助手系统 E-R 图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 1 中各成分的作用如下：矩形表示实体，矩形内上行为实体名称、下行为其对应的数据库表名；菱形表示实体之间的联系，菱形内文字为联系名称；连线两端的“1”与“N”表示该联系的基数，其中“1”为一方、“N”为多方；实线表示实体间的直接联系，虚线表示为便于按课程直接检索而保留的冗余外键联系。课程实体处于中心位置，文档、出题批次与复习计划三类实体直接依赖于它；题目同时依赖出题批次与课程；错题由题目派生并同时关联课程；复习条目从属于复习计划，并通过可空外键与题目建立可选联系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各成分之间的交互体现为一条完整的业务数据流：用户上传文档后，系统在文档实体中创建记录并完成切分与向量化；发起出题时，先创建出题批次记录，再将生成的题目写入题目实体；用户作答后，判题结果错误的题目被写入错题实体，记录用户答案与正确答案；生成复习计划时，先创建复习计划记录，再依据错题与知识点生成若干复习条目；删除课程时，则按“复习条目—复习计划—错题—题目—出题批次—文档—课程”的逆序逐级清理，并同步删除向量库中对应的集合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3．关系模式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 E-R 模型转换为如下关系模式（下划线的属性为主键，其余实体主键在本关系中以斜体表示为外键）：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  <w:u w:val="none"/>
        </w:rPr>
        <w:t>（1）课程（</w:t>
      </w:r>
      <w:r>
        <w:rPr>
          <w:rFonts w:ascii="Times New Roman" w:hAnsi="Times New Roman" w:eastAsia="宋体"/>
          <w:b w:val="0"/>
          <w:i w:val="0"/>
          <w:sz w:val="24"/>
          <w:u w:val="single"/>
        </w:rPr>
        <w:t>课程编号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，课程名称，课程描述，创建时间，更新时间）；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  <w:u w:val="none"/>
        </w:rPr>
        <w:t>（2）文档（</w:t>
      </w:r>
      <w:r>
        <w:rPr>
          <w:rFonts w:ascii="Times New Roman" w:hAnsi="Times New Roman" w:eastAsia="宋体"/>
          <w:b w:val="0"/>
          <w:i w:val="0"/>
          <w:sz w:val="24"/>
          <w:u w:val="single"/>
        </w:rPr>
        <w:t>文档编号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</w:t>
      </w:r>
      <w:r>
        <w:rPr>
          <w:rFonts w:ascii="Times New Roman" w:hAnsi="Times New Roman" w:eastAsia="宋体"/>
          <w:b w:val="0"/>
          <w:i/>
          <w:sz w:val="24"/>
          <w:u w:val="none"/>
        </w:rPr>
        <w:t>课程编号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，文件名，文件类型，文件大小，切分块数，入库状态，错误信息，创建时间）；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  <w:u w:val="none"/>
        </w:rPr>
        <w:t>（3）出题批次（</w:t>
      </w:r>
      <w:r>
        <w:rPr>
          <w:rFonts w:ascii="Times New Roman" w:hAnsi="Times New Roman" w:eastAsia="宋体"/>
          <w:b w:val="0"/>
          <w:i w:val="0"/>
          <w:sz w:val="24"/>
          <w:u w:val="single"/>
        </w:rPr>
        <w:t>批次编号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</w:t>
      </w:r>
      <w:r>
        <w:rPr>
          <w:rFonts w:ascii="Times New Roman" w:hAnsi="Times New Roman" w:eastAsia="宋体"/>
          <w:b w:val="0"/>
          <w:i/>
          <w:sz w:val="24"/>
          <w:u w:val="none"/>
        </w:rPr>
        <w:t>课程编号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，出题主题，题型，难度，题目数量，创建时间）；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  <w:u w:val="none"/>
        </w:rPr>
        <w:t>（4）题目（</w:t>
      </w:r>
      <w:r>
        <w:rPr>
          <w:rFonts w:ascii="Times New Roman" w:hAnsi="Times New Roman" w:eastAsia="宋体"/>
          <w:b w:val="0"/>
          <w:i w:val="0"/>
          <w:sz w:val="24"/>
          <w:u w:val="single"/>
        </w:rPr>
        <w:t>题目编号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</w:t>
      </w:r>
      <w:r>
        <w:rPr>
          <w:rFonts w:ascii="Times New Roman" w:hAnsi="Times New Roman" w:eastAsia="宋体"/>
          <w:b w:val="0"/>
          <w:i/>
          <w:sz w:val="24"/>
          <w:u w:val="none"/>
        </w:rPr>
        <w:t>批次编号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</w:t>
      </w:r>
      <w:r>
        <w:rPr>
          <w:rFonts w:ascii="Times New Roman" w:hAnsi="Times New Roman" w:eastAsia="宋体"/>
          <w:b w:val="0"/>
          <w:i/>
          <w:sz w:val="24"/>
          <w:u w:val="none"/>
        </w:rPr>
        <w:t>课程编号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，题型，题干，选项，正确答案，解析，创建时间）；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  <w:u w:val="none"/>
        </w:rPr>
        <w:t>（5）错题（</w:t>
      </w:r>
      <w:r>
        <w:rPr>
          <w:rFonts w:ascii="Times New Roman" w:hAnsi="Times New Roman" w:eastAsia="宋体"/>
          <w:b w:val="0"/>
          <w:i w:val="0"/>
          <w:sz w:val="24"/>
          <w:u w:val="single"/>
        </w:rPr>
        <w:t>错题编号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</w:t>
      </w:r>
      <w:r>
        <w:rPr>
          <w:rFonts w:ascii="Times New Roman" w:hAnsi="Times New Roman" w:eastAsia="宋体"/>
          <w:b w:val="0"/>
          <w:i/>
          <w:sz w:val="24"/>
          <w:u w:val="none"/>
        </w:rPr>
        <w:t>课程编号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</w:t>
      </w:r>
      <w:r>
        <w:rPr>
          <w:rFonts w:ascii="Times New Roman" w:hAnsi="Times New Roman" w:eastAsia="宋体"/>
          <w:b w:val="0"/>
          <w:i/>
          <w:sz w:val="24"/>
          <w:u w:val="none"/>
        </w:rPr>
        <w:t>题目编号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，用户答案，掌握状态，复习次数，加入时间，更新时间）；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  <w:u w:val="none"/>
        </w:rPr>
        <w:t>（6）复习计划（</w:t>
      </w:r>
      <w:r>
        <w:rPr>
          <w:rFonts w:ascii="Times New Roman" w:hAnsi="Times New Roman" w:eastAsia="宋体"/>
          <w:b w:val="0"/>
          <w:i w:val="0"/>
          <w:sz w:val="24"/>
          <w:u w:val="single"/>
        </w:rPr>
        <w:t>计划编号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</w:t>
      </w:r>
      <w:r>
        <w:rPr>
          <w:rFonts w:ascii="Times New Roman" w:hAnsi="Times New Roman" w:eastAsia="宋体"/>
          <w:b w:val="0"/>
          <w:i/>
          <w:sz w:val="24"/>
          <w:u w:val="none"/>
        </w:rPr>
        <w:t>课程编号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，计划名称，计划说明，计划状态，创建时间）；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  <w:u w:val="none"/>
        </w:rPr>
        <w:t>（7）复习条目（</w:t>
      </w:r>
      <w:r>
        <w:rPr>
          <w:rFonts w:ascii="Times New Roman" w:hAnsi="Times New Roman" w:eastAsia="宋体"/>
          <w:b w:val="0"/>
          <w:i w:val="0"/>
          <w:sz w:val="24"/>
          <w:u w:val="single"/>
        </w:rPr>
        <w:t>条目编号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</w:t>
      </w:r>
      <w:r>
        <w:rPr>
          <w:rFonts w:ascii="Times New Roman" w:hAnsi="Times New Roman" w:eastAsia="宋体"/>
          <w:b w:val="0"/>
          <w:i/>
          <w:sz w:val="24"/>
          <w:u w:val="none"/>
        </w:rPr>
        <w:t>计划编号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</w:t>
      </w:r>
      <w:r>
        <w:rPr>
          <w:rFonts w:ascii="Times New Roman" w:hAnsi="Times New Roman" w:eastAsia="宋体"/>
          <w:b w:val="0"/>
          <w:i/>
          <w:sz w:val="24"/>
          <w:u w:val="none"/>
        </w:rPr>
        <w:t>题目编号</w:t>
      </w:r>
      <w:r>
        <w:rPr>
          <w:rFonts w:ascii="Times New Roman" w:hAnsi="Times New Roman" w:eastAsia="宋体"/>
          <w:b w:val="0"/>
          <w:i w:val="0"/>
          <w:sz w:val="24"/>
          <w:u w:val="none"/>
        </w:rPr>
        <w:t>，知识点，计划复习日期，完成标志，创建时间）。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上述关系模式中，题目与错题两关系额外保留了指向课程的外键，属于为支持“按课程直接检索”而有意保留的受控冗余；该冗余由应用层在同一事务内写入，不会产生更新异常。各关系的非主属性均完全依赖于主键且不存在传递依赖，满足第三范式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4．CDM 设计（概念数据模型）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为将概念结构与具体数据库产品解耦，先建立与 DBMS 无关的概念数据模型。采用 CDM 的主要作用是：明确各实体的业务含义、属性构成与约束条件，并确认全部联系的类型与基数，从而判断是否需要在转换时引入中间联系表。本系统的概念数据模型如图 2 所示，各概念实体的说明见表 4。</w:t>
      </w:r>
    </w:p>
    <w:p>
      <w:pPr>
        <w:spacing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6172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m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61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 2  智学助手系统概念数据模型（CDM）图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 2 中每个矩形代表一个概念实体，矩形首行填充色块内为实体名称，其下各行列出该实体的属性，属性名前标注“PK”表示主键、“FK”表示外键，此处不涉及任何具体的数据库字段类型；实体之间的连线表示联系，线旁文字为联系名称，线两端的“1”与“N”标注联系基数。由图 2 可见，课程实体处于中心位置：文档、出题批次、复习计划三类实体直接依赖于课程；题目同时依赖出题批次与课程；错题依赖题目与课程；复习条目依赖复习计划，并通过可空外键与题目建立可选联系。全部联系均为一对多联系，不存在多对多联系，因此转换为关系模式时无需引入中间联系表，仅需在“多”端关系中保留“一”端的主键作为外键即可。</w:t>
      </w:r>
    </w:p>
    <w:p>
      <w:pPr>
        <w:spacing w:line="400" w:lineRule="exact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 4  CDM 概念实体说明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16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概念实体</w:t>
            </w:r>
          </w:p>
        </w:tc>
        <w:tc>
          <w:tcPr>
            <w:tcW w:type="dxa" w:w="2914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业务含义</w:t>
            </w:r>
          </w:p>
        </w:tc>
        <w:tc>
          <w:tcPr>
            <w:tcW w:type="dxa" w:w="422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主要约束</w:t>
            </w:r>
          </w:p>
        </w:tc>
      </w:tr>
      <w:tr>
        <w:tc>
          <w:tcPr>
            <w:tcW w:type="dxa" w:w="116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课程</w:t>
            </w:r>
          </w:p>
        </w:tc>
        <w:tc>
          <w:tcPr>
            <w:tcW w:type="dxa" w:w="291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一门课程的知识库容器，是系统的数据组织单位</w:t>
            </w:r>
          </w:p>
        </w:tc>
        <w:tc>
          <w:tcPr>
            <w:tcW w:type="dxa" w:w="422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课程名称必填；编号唯一且自增；删除时级联清理其下的全部数据</w:t>
            </w:r>
          </w:p>
        </w:tc>
      </w:tr>
      <w:tr>
        <w:tc>
          <w:tcPr>
            <w:tcW w:type="dxa" w:w="116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文档</w:t>
            </w:r>
          </w:p>
        </w:tc>
        <w:tc>
          <w:tcPr>
            <w:tcW w:type="dxa" w:w="291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一次上传的原始课程资料及其入库结果</w:t>
            </w:r>
          </w:p>
        </w:tc>
        <w:tc>
          <w:tcPr>
            <w:tcW w:type="dxa" w:w="422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必须属于某门课程；入库状态取值为 processing / completed / failed；失败时记录错误原因</w:t>
            </w:r>
          </w:p>
        </w:tc>
      </w:tr>
      <w:tr>
        <w:tc>
          <w:tcPr>
            <w:tcW w:type="dxa" w:w="116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出题批次</w:t>
            </w:r>
          </w:p>
        </w:tc>
        <w:tc>
          <w:tcPr>
            <w:tcW w:type="dxa" w:w="291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一次自动出题请求的参数记录</w:t>
            </w:r>
          </w:p>
        </w:tc>
        <w:tc>
          <w:tcPr>
            <w:tcW w:type="dxa" w:w="422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必须属于某门课程；题型与题目数量必填；难度默认 medium</w:t>
            </w:r>
          </w:p>
        </w:tc>
      </w:tr>
      <w:tr>
        <w:tc>
          <w:tcPr>
            <w:tcW w:type="dxa" w:w="116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</w:t>
            </w:r>
          </w:p>
        </w:tc>
        <w:tc>
          <w:tcPr>
            <w:tcW w:type="dxa" w:w="291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一道由大模型生成的具体题目</w:t>
            </w:r>
          </w:p>
        </w:tc>
        <w:tc>
          <w:tcPr>
            <w:tcW w:type="dxa" w:w="422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必须属于某出题批次；题型取值为 single / multiple / judge / short；题干必填</w:t>
            </w:r>
          </w:p>
        </w:tc>
      </w:tr>
      <w:tr>
        <w:tc>
          <w:tcPr>
            <w:tcW w:type="dxa" w:w="116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错题</w:t>
            </w:r>
          </w:p>
        </w:tc>
        <w:tc>
          <w:tcPr>
            <w:tcW w:type="dxa" w:w="291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一道答错题目的沉淀记录</w:t>
            </w:r>
          </w:p>
        </w:tc>
        <w:tc>
          <w:tcPr>
            <w:tcW w:type="dxa" w:w="422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必须关联某道题目；掌握状态取值为 unmastered / mastered；复习次数不小于 0</w:t>
            </w:r>
          </w:p>
        </w:tc>
      </w:tr>
      <w:tr>
        <w:tc>
          <w:tcPr>
            <w:tcW w:type="dxa" w:w="116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复习计划</w:t>
            </w:r>
          </w:p>
        </w:tc>
        <w:tc>
          <w:tcPr>
            <w:tcW w:type="dxa" w:w="291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一份按日期组织的复习安排</w:t>
            </w:r>
          </w:p>
        </w:tc>
        <w:tc>
          <w:tcPr>
            <w:tcW w:type="dxa" w:w="422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必须属于某门课程；计划名称必填；状态取值为 active / completed</w:t>
            </w:r>
          </w:p>
        </w:tc>
      </w:tr>
      <w:tr>
        <w:tc>
          <w:tcPr>
            <w:tcW w:type="dxa" w:w="116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复习条目</w:t>
            </w:r>
          </w:p>
        </w:tc>
        <w:tc>
          <w:tcPr>
            <w:tcW w:type="dxa" w:w="291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复习计划中的一条具体复习任务</w:t>
            </w:r>
          </w:p>
        </w:tc>
        <w:tc>
          <w:tcPr>
            <w:tcW w:type="dxa" w:w="422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必须属于某计划；复习日期必填；完成标志默认未完成；关联题目可空</w:t>
            </w:r>
          </w:p>
        </w:tc>
      </w:tr>
      <w:tr>
        <w:tc>
          <w:tcPr>
            <w:tcW w:type="dxa" w:w="116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文本片段</w:t>
            </w:r>
          </w:p>
        </w:tc>
        <w:tc>
          <w:tcPr>
            <w:tcW w:type="dxa" w:w="291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文档切分后的向量化单元（存于 Chroma 向量库，非关系表）</w:t>
            </w:r>
          </w:p>
        </w:tc>
        <w:tc>
          <w:tcPr>
            <w:tcW w:type="dxa" w:w="422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携带所属文档编号与课程编号等元数据，供检索与溯源使用</w:t>
            </w:r>
          </w:p>
        </w:tc>
      </w:tr>
    </w:tbl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5．PDM 设计（物理数据模型）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物理数据模型在 MySQL 8.0 上实现，由 app/models 目录下的 SQLAlchemy ORM 模型声明，应用启动时通过元数据自动建表，共 7 张表，其结构如表 5 至表 11 所示。</w:t>
      </w:r>
    </w:p>
    <w:p>
      <w:pPr>
        <w:spacing w:line="400" w:lineRule="exact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 5  courses（课程表）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课程编号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name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VARCHAR(255)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课程名称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description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TEXT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可空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课程描述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CURRENT_TIMESTAMP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updated_at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CURRENT_TIMESTAMP，更新时自动刷新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更新时间</w:t>
            </w:r>
          </w:p>
        </w:tc>
      </w:tr>
    </w:tbl>
    <w:p>
      <w:pPr>
        <w:spacing w:line="400" w:lineRule="exact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 6  documents（文档表）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文档编号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course_id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NULL，外键 → courses.id，索引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所属课程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filename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VARCHAR(512)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原始文件名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file_type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可空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扩展名（pdf / docx / doc / md / txt）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file_size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可空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文件大小（字节）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chunk_count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0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切分块数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processing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processing / completed / failed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error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TEXT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可空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失败原因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CURRENT_TIMESTAMP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spacing w:line="400" w:lineRule="exact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 7  quiz_batches（出题批次表）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批次编号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course_id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NULL，外键 → courses.id，索引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所属课程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topic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VARCHAR(255)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可空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出题主题／范围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question_type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single / multiple / judge / short / mixed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difficulty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VARCHAR(16)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medium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easy / medium / hard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count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题目数量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CURRENT_TIMESTAMP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spacing w:line="400" w:lineRule="exact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 8  questions（题目表）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题目编号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batch_id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NULL，外键 → quiz_batches.id，索引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所属批次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course_id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NULL，外键 → courses.id，索引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所属课程（冗余外键，便于按课程查询）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type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single / multiple / judge / short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TEXT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题干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options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JSON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可空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选项数组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VARCHAR(255)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可空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正确答案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explanation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TEXT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可空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解析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CURRENT_TIMESTAMP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spacing w:line="400" w:lineRule="exact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 9  mistakes（错题表）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错题编号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course_id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NULL，外键 → courses.id，索引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所属课程（冗余外键，便于按课程查询）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question_id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NULL，外键 → questions.id，索引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关联题目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user_answer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VARCHAR(255)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用户答案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VARCHAR(16)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unmastered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unmastered / mastered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review_count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0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复习次数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CURRENT_TIMESTAMP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加入时间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updated_at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CURRENT_TIMESTAMP，更新时自动刷新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更新时间</w:t>
            </w:r>
          </w:p>
        </w:tc>
      </w:tr>
    </w:tbl>
    <w:p>
      <w:pPr>
        <w:spacing w:line="400" w:lineRule="exact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 10  review_plans（复习计划表）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计划编号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course_id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NULL，外键 → courses.id，索引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所属课程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name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VARCHAR(255)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计划名称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description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TEXT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可空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计划说明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VARCHAR(16)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active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active / completed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CURRENT_TIMESTAMP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spacing w:line="400" w:lineRule="exact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 11  review_items（复习条目表）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条目编号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plan_id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NULL，外键 → review_plans.id，索引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所属计划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question_id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可空，外键 → questions.id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关联题目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knowledge_point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VARCHAR(512)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可空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知识点描述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review_date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计划复习日期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completed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TINYINT(1)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0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是否完成（0 未完成，1 已完成）</w:t>
            </w:r>
          </w:p>
        </w:tc>
      </w:tr>
      <w:tr>
        <w:tc>
          <w:tcPr>
            <w:tcW w:type="dxa" w:w="1457"/>
          </w:tcPr>
          <w:p>
            <w:pPr>
              <w:spacing w:line="400" w:lineRule="exact" w:before="0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894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769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 CURRENT_TIMESTAMP</w:t>
            </w:r>
          </w:p>
        </w:tc>
        <w:tc>
          <w:tcPr>
            <w:tcW w:type="dxa" w:w="2186"/>
          </w:tcPr>
          <w:p>
            <w:pPr>
              <w:spacing w:line="400" w:lineRule="exact" w:before="0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各表均以自增 BIGINT 为主键，数据库字符集使用 utf8mb4，以支持完整的中日文字符；questions 表的 options 字段采用 JSON 类型存储选项数组，review_items 表的 completed 字段采用 TINYINT(1) 存储布尔值，复习条目与题目的关联外键可空，用于支持不针对具体题目的知识点复习。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6．向量库的存储设计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Chroma 向量库不属于关系模型，其存储的是文档切分后的文本片段向量，按课程划分集合（命名规则为 course_ 加课程编号），每条记录由“向量 + 元数据”构成，元数据字段包括课程编号、文档编号、块序号、文件名、来源以及 Markdown 文档的章节标题。通过这些元数据，向量库中的片段可与 MySQL 中的 documents、courses 表建立逻辑关联，从而实现“检索到片段后反查所属文档与文件”的溯源能力，并在删除文档或课程时同步清理对应向量，避免产生“幽灵”数据。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7．数据完整性保障</w:t>
      </w:r>
    </w:p>
    <w:p>
      <w:pPr>
        <w:spacing w:line="40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物理层通过四类约束保证数据完整性：实体完整性，各表均以自增 BIGINT 为主键，保证记录可唯一标识；参照完整性，文档表、出题批次表、题目表、错题表、复习计划表均通过课程编号外键关联课程表，题目表关联出题批次表，错题表关联题目表，复习条目表关联复习计划表，且外键列均建立索引；域完整性，状态与题型字段的取值由应用层枚举约束，数值与字符串字段限定类型与长度，作答与复习日期等必填字段不允许为空；用户定义完整性，入库状态默认 processing、切分块数默认 0、难度默认 medium、掌握状态默认 unmastered、完成标志默认未完成。删除课程时，应用层严格按“复习条目—复习计划—错题—题目—出题批次—文档—课程”的逆序逐级清理，并同步删除向量库中对应的集合，从而避免产生孤儿记录与不一致状态。</w:t>
      </w:r>
    </w:p>
    <w:p w14:paraId="0C03E69D">
      <w:pPr>
        <w:spacing w:line="500" w:lineRule="exact"/>
        <w:ind w:firstLine="562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 w:eastAsia="宋体"/>
          <w:b/>
          <w:bCs/>
          <w:sz w:val="28"/>
          <w:szCs w:val="28"/>
        </w:rPr>
        <w:t>四、结果分析</w:t>
      </w:r>
      <w:r>
        <w:rPr>
          <w:rFonts w:hint="default" w:ascii="Times New Roman" w:hAnsi="Times New Roman" w:cs="Times New Roman" w:eastAsiaTheme="minorEastAsia" w:eastAsia="宋体"/>
          <w:sz w:val="24"/>
          <w:szCs w:val="24"/>
        </w:rPr>
        <w:t>（格式：宋体，4号，加粗，两端对齐）</w:t>
      </w:r>
    </w:p>
    <w:p w14:paraId="4F915317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对研究过程中所获得的主要的数据、现象进行定性或定量分析，得出结论和推论。（正文格式：宋体，小4号，不加粗，两端对齐，行距为固定值20磅）</w:t>
      </w:r>
    </w:p>
    <w:p w14:paraId="4FC4775B">
      <w:pPr>
        <w:spacing w:line="500" w:lineRule="exact"/>
        <w:ind w:firstLine="562" w:firstLineChars="200"/>
        <w:rPr>
          <w:rFonts w:hint="default" w:ascii="Times New Roman" w:hAnsi="Times New Roman" w:cs="Times New Roman" w:eastAsiaTheme="minorEastAsia"/>
          <w:b/>
          <w:bCs/>
          <w:sz w:val="24"/>
          <w:szCs w:val="24"/>
        </w:rPr>
      </w:pPr>
      <w:r>
        <w:rPr>
          <w:rFonts w:hint="default" w:ascii="Times New Roman" w:hAnsi="Times New Roman" w:cs="Times New Roman" w:eastAsiaTheme="minorEastAsia" w:eastAsia="宋体"/>
          <w:b/>
          <w:bCs/>
          <w:sz w:val="28"/>
          <w:szCs w:val="28"/>
        </w:rPr>
        <w:t>五、课程设计（实践）总结</w:t>
      </w:r>
      <w:r>
        <w:rPr>
          <w:rFonts w:hint="default" w:ascii="Times New Roman" w:hAnsi="Times New Roman" w:cs="Times New Roman" w:eastAsiaTheme="minorEastAsia" w:eastAsia="宋体"/>
          <w:sz w:val="24"/>
          <w:szCs w:val="24"/>
        </w:rPr>
        <w:t>（格式：宋体，4号，加粗，两端对齐）</w:t>
      </w:r>
    </w:p>
    <w:p w14:paraId="7643D633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总结可以包括:课程设计（实践）过程的收获、遇到的问题，遇到问题解决问题过程的思考、程序调试能力的思考，课程设计（实践）实现过程中的收获和体会等</w:t>
      </w:r>
      <w:r>
        <w:rPr>
          <w:rFonts w:hint="eastAsia" w:ascii="Times New Roman" w:hAnsi="Times New Roman" w:cs="Times New Roman"/>
          <w:b/>
          <w:bCs/>
          <w:color w:val="FF0000"/>
          <w:sz w:val="28"/>
          <w:szCs w:val="28"/>
          <w:lang w:eastAsia="zh-CN"/>
        </w:rPr>
        <w:t>（</w:t>
      </w:r>
      <w:r>
        <w:rPr>
          <w:rFonts w:hint="eastAsia" w:ascii="Times New Roman" w:hAnsi="Times New Roman" w:cs="Times New Roman"/>
          <w:b/>
          <w:bCs/>
          <w:color w:val="FF0000"/>
          <w:sz w:val="28"/>
          <w:szCs w:val="28"/>
          <w:lang w:val="en-US" w:eastAsia="zh-CN"/>
        </w:rPr>
        <w:t>重点介绍自己分工的部分，字数不少于800字</w:t>
      </w:r>
      <w:r>
        <w:rPr>
          <w:rFonts w:hint="eastAsia" w:ascii="Times New Roman" w:hAnsi="Times New Roman" w:cs="Times New Roman"/>
          <w:b/>
          <w:bCs/>
          <w:color w:val="FF0000"/>
          <w:sz w:val="28"/>
          <w:szCs w:val="28"/>
          <w:lang w:eastAsia="zh-CN"/>
        </w:rPr>
        <w:t>）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。</w:t>
      </w:r>
    </w:p>
    <w:p w14:paraId="22A7D82E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（正文格式：宋体，小4号，不加粗，两端对齐，行距为固定值20磅）</w:t>
      </w:r>
    </w:p>
    <w:p w14:paraId="26B3D178">
      <w:pPr>
        <w:spacing w:line="500" w:lineRule="exact"/>
        <w:ind w:firstLine="562" w:firstLineChars="200"/>
        <w:rPr>
          <w:rFonts w:hint="default" w:ascii="Times New Roman" w:hAnsi="Times New Roman" w:cs="Times New Roman" w:eastAsiaTheme="minorEastAsia"/>
          <w:b/>
          <w:bCs/>
          <w:sz w:val="28"/>
          <w:szCs w:val="28"/>
        </w:rPr>
      </w:pPr>
    </w:p>
    <w:p w14:paraId="5CB3C61B">
      <w:pPr>
        <w:spacing w:line="500" w:lineRule="exact"/>
        <w:rPr>
          <w:rFonts w:hint="default"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</w:rPr>
        <w:t>课程设计（实践）报告格式说明：</w:t>
      </w:r>
    </w:p>
    <w:p w14:paraId="391F9D09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1.请按照以上内容的要求撰写；正文部分两端对齐，首行缩进2字符；左右缩进0字符；行距按上文要求，段前、段后为0行。</w:t>
      </w:r>
    </w:p>
    <w:p w14:paraId="39D34E37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2.所有的图须有图号和图名，放在图的下方，居中对齐。如：图1 模拟计费系统用例图。</w:t>
      </w:r>
    </w:p>
    <w:p w14:paraId="5A1431A6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3.所有的表格须有表号和表名，放在表的上方，居中对齐。如：表1 计费功能测试数据和预期结果。</w:t>
      </w:r>
    </w:p>
    <w:p w14:paraId="004620C0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4.所有公式编号，用括号括起来写在右边行末，其间不加虚线。</w:t>
      </w:r>
    </w:p>
    <w:p w14:paraId="4DA278D9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5.图纸要求</w:t>
      </w:r>
    </w:p>
    <w:p w14:paraId="70AAAE93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（1）理工类：图面整洁，布局合理，线条粗细均匀，圆弧连接光滑，尺寸标注规范，文字注释必须使用工程字书写；必须按国家规定标准或工程要求绘制。</w:t>
      </w:r>
    </w:p>
    <w:p w14:paraId="23673427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（2）艺术类：设计方案要求效果图、结构款式图、平面结构图及面料小样齐备，结构图要绘制精细，要有尺寸数据标注。</w:t>
      </w:r>
    </w:p>
    <w:p w14:paraId="343361F2">
      <w:pPr>
        <w:rPr>
          <w:rFonts w:hint="eastAsia" w:ascii="宋体" w:hAnsi="宋体" w:eastAsia="宋体" w:cs="宋体"/>
          <w:b/>
          <w:bCs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br w:type="page"/>
      </w:r>
    </w:p>
    <w:p w14:paraId="5ACF96D7">
      <w:pPr>
        <w:spacing w:line="500" w:lineRule="exact"/>
        <w:jc w:val="center"/>
        <w:rPr>
          <w:rFonts w:hint="eastAsia" w:ascii="宋体" w:hAnsi="宋体" w:eastAsia="宋体" w:cs="宋体"/>
          <w:b/>
          <w:bCs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参考文献</w:t>
      </w:r>
    </w:p>
    <w:p w14:paraId="5588E925">
      <w:pPr>
        <w:spacing w:line="500" w:lineRule="exact"/>
        <w:jc w:val="center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（参考文献标题为三号，宋体，加粗，居中，上下空一行）</w:t>
      </w:r>
    </w:p>
    <w:p w14:paraId="53B4F06B">
      <w:pPr>
        <w:spacing w:line="500" w:lineRule="exact"/>
        <w:jc w:val="center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（正文为五号，宋体，行距为固定值20磅,重要资料必须注明具体出处，详细到页码；网上资料注明日期。）</w:t>
      </w:r>
    </w:p>
    <w:p w14:paraId="724471FA">
      <w:pPr>
        <w:spacing w:line="500" w:lineRule="exact"/>
        <w:jc w:val="center"/>
        <w:rPr>
          <w:rFonts w:hint="default" w:ascii="Times New Roman" w:hAnsi="Times New Roman" w:cs="Times New Roman" w:eastAsiaTheme="minorEastAsia"/>
          <w:b/>
          <w:bCs/>
          <w:color w:val="FF0000"/>
          <w:sz w:val="28"/>
          <w:szCs w:val="28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FF0000"/>
          <w:sz w:val="28"/>
          <w:szCs w:val="28"/>
          <w:lang w:val="en-US" w:eastAsia="zh-CN"/>
        </w:rPr>
        <w:t>不少于10篇，具有技术或业务参考价值、近5年，GB/T引用标准</w:t>
      </w:r>
    </w:p>
    <w:p w14:paraId="00C092FD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1. 参考文献的著录采用顺序编码制，在引文处按论文中引用文献出现的先后以阿拉伯数字连续编码</w:t>
      </w:r>
      <w:r>
        <w:rPr>
          <w:rFonts w:hint="default" w:ascii="Times New Roman" w:hAnsi="Times New Roman" w:cs="Times New Roman" w:eastAsiaTheme="minorEastAsia"/>
          <w:spacing w:val="20"/>
          <w:sz w:val="24"/>
          <w:szCs w:val="24"/>
        </w:rPr>
        <w:t>。参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考文献的序号以方括号加注于被注文字的右上角，内容按序号顺序排列于文后。</w:t>
      </w:r>
    </w:p>
    <w:p w14:paraId="3073DBEC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2. 所引参考文献必须包含以下内容：</w:t>
      </w:r>
    </w:p>
    <w:p w14:paraId="67210C04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* 引用于著作的———作者姓名﹒书名﹒出版地：出版者，出版年﹒起止页码．</w:t>
      </w:r>
    </w:p>
    <w:p w14:paraId="2B343E8A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如：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[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1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]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周振甫.周易译注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[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M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].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北京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: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中华书局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,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1991.25.</w:t>
      </w:r>
    </w:p>
    <w:p w14:paraId="76226A90">
      <w:pPr>
        <w:spacing w:line="500" w:lineRule="exact"/>
        <w:ind w:firstLine="960" w:firstLineChars="4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[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2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]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Clark Kerr. The Uses of the University. Cambridge: Harvard University Press, 1995. 50.</w:t>
      </w:r>
    </w:p>
    <w:p w14:paraId="42A998CD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*引用于杂志的———作者姓名﹒文章名﹒刊名，年，卷（期）：起止页码．</w:t>
      </w:r>
    </w:p>
    <w:p w14:paraId="0884920F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如：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[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1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]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何龄修．读顾诚《南明史》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[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J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].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中国史研究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,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1998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,(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3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):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16~173．</w:t>
      </w:r>
    </w:p>
    <w:p w14:paraId="0706B368">
      <w:pPr>
        <w:spacing w:line="500" w:lineRule="exact"/>
        <w:ind w:firstLine="960" w:firstLineChars="4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[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2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]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George Pascharopoulos. Returns to Education: A Further International Update and Implications. The Journal of Human Resources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,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1985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,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20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(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4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)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:36~38.</w:t>
      </w:r>
    </w:p>
    <w:p w14:paraId="06BE7D76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*引用论文集、学位论文、研究报告类推。</w:t>
      </w:r>
    </w:p>
    <w:p w14:paraId="32295439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*引用报纸文章的――作者姓名．文章名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[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N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].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报纸名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,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出版日期（版次）．</w:t>
      </w:r>
    </w:p>
    <w:p w14:paraId="33494F0F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如：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[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1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]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谢希德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.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创造学习的新思路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[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N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].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人民日报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,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1998-12-25(10)．</w:t>
      </w:r>
    </w:p>
    <w:p w14:paraId="0E3BDBC9">
      <w:pPr>
        <w:spacing w:line="500" w:lineRule="exact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*引用电子文献的――作者姓名．电子文献题名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[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电子文献及载体类型标识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].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电子文献的出处或可获得地址，发表或更新日期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/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引用日期（任选）．</w:t>
      </w:r>
    </w:p>
    <w:p w14:paraId="343D9ADB">
      <w:pPr>
        <w:spacing w:line="500" w:lineRule="exact"/>
        <w:ind w:firstLine="480" w:firstLineChars="200"/>
        <w:rPr>
          <w:rFonts w:hint="eastAsia" w:ascii="仿宋" w:hAnsi="仿宋" w:eastAsia="仿宋" w:cstheme="minorEastAsia"/>
          <w:sz w:val="28"/>
          <w:szCs w:val="28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如：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[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1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]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王明亮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.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关于中国学术期刊标准化数据库系统工程的进展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[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EB/0L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].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http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;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//www.cajcd.cn/pub/wml.txt/980810-2.1998-08-16/1998-10-04．</w:t>
      </w:r>
    </w:p>
    <w:p w14:paraId="102DFBF7"/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BC7446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F963FD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AF963FD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1937A9"/>
    <w:rsid w:val="0C7A0500"/>
    <w:rsid w:val="0D8F50CF"/>
    <w:rsid w:val="102249B7"/>
    <w:rsid w:val="128D37D3"/>
    <w:rsid w:val="1842356E"/>
    <w:rsid w:val="1CC2077A"/>
    <w:rsid w:val="298E53C0"/>
    <w:rsid w:val="2BC109EA"/>
    <w:rsid w:val="397F23E9"/>
    <w:rsid w:val="3AAD1F4E"/>
    <w:rsid w:val="4A757E3C"/>
    <w:rsid w:val="4B1937A9"/>
    <w:rsid w:val="4E636855"/>
    <w:rsid w:val="54233482"/>
    <w:rsid w:val="569771C6"/>
    <w:rsid w:val="595E43C8"/>
    <w:rsid w:val="5D8D7603"/>
    <w:rsid w:val="5DA5242F"/>
    <w:rsid w:val="6731000D"/>
    <w:rsid w:val="6AC7223E"/>
    <w:rsid w:val="77C74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emf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1714</Words>
  <Characters>2064</Characters>
  <Lines>0</Lines>
  <Paragraphs>0</Paragraphs>
  <TotalTime>43</TotalTime>
  <ScaleCrop>false</ScaleCrop>
  <LinksUpToDate>false</LinksUpToDate>
  <CharactersWithSpaces>2244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2025-06-23T03:00:00Z</dcterms:created>
  <dc:creator>微信用户</dc:creator>
  <cp:lastModifiedBy>刘刘刘</cp:lastModifiedBy>
  <dcterms:modified xsi:type="dcterms:W3CDTF">2026-09-22T08:10:49Z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69CCEFEE5704474AB527DF0723DD5F57_11</vt:lpwstr>
  </property>
  <property fmtid="{D5CDD505-2E9C-101B-9397-08002B2CF9AE}" pid="4" name="KSOTemplateDocerSaveRecord">
    <vt:lpwstr>eyJoZGlkIjoiMzM0ZjkxZDAwOWNhM2NlMTBjYjdiMTBhYjc5ZGM0ZjAiLCJ1c2VySWQiOiI4MzUxNDIzMjgifQ==</vt:lpwstr>
  </property>
</Properties>
</file>