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黑体" w:hAnsi="黑体" w:eastAsia="黑体"/>
          <w:b/>
          <w:color w:val="1F3A5F"/>
          <w:sz w:val="52"/>
        </w:rPr>
        <w:t>糖知 SugarGuard AI</w:t>
      </w:r>
    </w:p>
    <w:p>
      <w:pPr>
        <w:jc w:val="center"/>
      </w:pPr>
      <w:r>
        <w:rPr>
          <w:rFonts w:ascii="黑体" w:hAnsi="黑体" w:eastAsia="黑体"/>
          <w:b/>
          <w:color w:val="26A69A"/>
          <w:sz w:val="48"/>
        </w:rPr>
        <w:t>编码规范文档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文档名称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SugarGuard AI 编码规范</w:t>
            </w:r>
          </w:p>
        </w:tc>
      </w:tr>
      <w:tr>
        <w:tc>
          <w:tcPr>
            <w:tcW w:type="dxa" w:w="2268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适用范围</w:t>
            </w:r>
          </w:p>
        </w:tc>
        <w:tc>
          <w:tcPr>
            <w:tcW w:type="dxa" w:w="680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Android (Kotlin) + 后端 (Java) + AI 服务 (Python)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编制人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  <w:tr>
        <w:tc>
          <w:tcPr>
            <w:tcW w:type="dxa" w:w="2268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编制日期</w:t>
            </w:r>
          </w:p>
        </w:tc>
        <w:tc>
          <w:tcPr>
            <w:tcW w:type="dxa" w:w="680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2026-04-18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版本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</w:tr>
    </w:tbl>
    <w:p/>
    <w:p>
      <w:r>
        <w:br w:type="page"/>
      </w:r>
    </w:p>
    <w:p>
      <w:pPr>
        <w:spacing w:before="160" w:after="80"/>
        <w:jc w:val="center"/>
      </w:pPr>
      <w:r>
        <w:rPr>
          <w:rFonts w:ascii="黑体" w:hAnsi="黑体" w:eastAsia="黑体"/>
          <w:b/>
          <w:color w:val="1F3A5F"/>
          <w:sz w:val="44"/>
        </w:rPr>
        <w:t>目 录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一、总则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二、Kotlin 编码规范（Android 端）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三、Java 编码规范（Spring Boot 后端）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四、Python 编码规范（AI 服务）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五、通用规范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六、Git Commit 规范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七、代码审查 Checklist</w:t>
      </w:r>
    </w:p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一、总则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本文档为糖知 SugarGuard AI 项目的统一编码规范，适用于 Android 客户端（Kotlin）、Spring Boot 后端（Java）和 Python AI 服务三个子项目。所有团队成员在编写代码时应遵循本规范，代码审查（Code Review）以本规范为评审基准。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1.1 规范来源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端/层</w:t>
            </w:r>
          </w:p>
        </w:tc>
        <w:tc>
          <w:tcPr>
            <w:tcW w:type="dxa" w:w="3402"/>
            <w:shd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规范基线</w:t>
            </w:r>
          </w:p>
        </w:tc>
        <w:tc>
          <w:tcPr>
            <w:tcW w:type="dxa" w:w="2835"/>
            <w:shd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工具强制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Android (Kotlin)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Google Kotlin Style Guide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ktlint + IDE 格式化</w:t>
            </w:r>
          </w:p>
        </w:tc>
      </w:tr>
      <w:tr>
        <w:tc>
          <w:tcPr>
            <w:tcW w:type="dxa" w:w="1701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后端 (Java)</w:t>
            </w:r>
          </w:p>
        </w:tc>
        <w:tc>
          <w:tcPr>
            <w:tcW w:type="dxa" w:w="340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阿里巴巴 Java 开发手册（黄山版）</w:t>
            </w:r>
          </w:p>
        </w:tc>
        <w:tc>
          <w:tcPr>
            <w:tcW w:type="dxa" w:w="2835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CheckStyle + IDE 格式化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服务 (Python)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PEP 8 + Black 格式化器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black + flake8 + isort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1.2 约定说明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【必须】—— 违反此条将在代码审查中被驳回，必须修改后方可合并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【建议】—— 推荐遵循，但可在合理理由下偏离（需在 PR 中说明）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【禁止】—— 严禁出现，发现即修改</w:t>
      </w:r>
    </w:p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二、Kotlin 编码规范（Android 端）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基于 Google Kotlin Style Guide（https://developer.android.com/kotlin/style-guide），结合项目 Jetpack Compose + MVVM 架构特点进行细化。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2.1 文件结构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【必须】每个 .kt 文件只包含一个顶级类或一组紧密关联的扩展函数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【必须】文件名与主要类名一致，使用 PascalCase（如 HomeScreen.kt、LocalMealViewModel.kt）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【必须】文件头部按以下顺序排列：package 声明 → 空行 → import 语句 → 空行 → 顶级声明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【禁止】使用通配符 import（import xxx.*），IDE 自动优化 import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2.2 命名规范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2268"/>
            <w:shd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3402"/>
            <w:shd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包名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全小写，不使用下划线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com.example.myapplication.ui.compose</w:t>
            </w:r>
          </w:p>
        </w:tc>
      </w:tr>
      <w:tr>
        <w:tc>
          <w:tcPr>
            <w:tcW w:type="dxa" w:w="2268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类 / 接口 / 对象</w:t>
            </w:r>
          </w:p>
        </w:tc>
        <w:tc>
          <w:tcPr>
            <w:tcW w:type="dxa" w:w="2268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PascalCase</w:t>
            </w:r>
          </w:p>
        </w:tc>
        <w:tc>
          <w:tcPr>
            <w:tcW w:type="dxa" w:w="340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HomeScreen, LocalMealViewModel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函数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camelCase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addMeal(), fetchDailyStats()</w:t>
            </w:r>
          </w:p>
        </w:tc>
      </w:tr>
      <w:tr>
        <w:tc>
          <w:tcPr>
            <w:tcW w:type="dxa" w:w="2268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@Composable 函数</w:t>
            </w:r>
          </w:p>
        </w:tc>
        <w:tc>
          <w:tcPr>
            <w:tcW w:type="dxa" w:w="2268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PascalCase（视为 UI 组件）</w:t>
            </w:r>
          </w:p>
        </w:tc>
        <w:tc>
          <w:tcPr>
            <w:tcW w:type="dxa" w:w="340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DiaryScreen(), SugarProgressRing()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常量（const val / companion）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UPPER_SNAKE_CASE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MAX_SUGAR_LIMIT, BASE_URL</w:t>
            </w:r>
          </w:p>
        </w:tc>
      </w:tr>
      <w:tr>
        <w:tc>
          <w:tcPr>
            <w:tcW w:type="dxa" w:w="2268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普通变量 / 属性</w:t>
            </w:r>
          </w:p>
        </w:tc>
        <w:tc>
          <w:tcPr>
            <w:tcW w:type="dxa" w:w="2268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camelCase</w:t>
            </w:r>
          </w:p>
        </w:tc>
        <w:tc>
          <w:tcPr>
            <w:tcW w:type="dxa" w:w="340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userName, dailySugar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LiveData / StateFlow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_前缀私有 + 公开只读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_meals / meals</w:t>
            </w:r>
          </w:p>
        </w:tc>
      </w:tr>
      <w:tr>
        <w:tc>
          <w:tcPr>
            <w:tcW w:type="dxa" w:w="2268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布尔型</w:t>
            </w:r>
          </w:p>
        </w:tc>
        <w:tc>
          <w:tcPr>
            <w:tcW w:type="dxa" w:w="2268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is/has/can/should 前缀</w:t>
            </w:r>
          </w:p>
        </w:tc>
        <w:tc>
          <w:tcPr>
            <w:tcW w:type="dxa" w:w="340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isLoggedIn, hasPermission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2.3 格式要求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【必须】缩进使用 4 个空格，禁止 Tab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【必须】行宽 ≤ 120 字符（IDE 设置 Hard wrap）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【必须】大括号 K&amp;R 风格（左括号在行尾，右括号独占一行）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【必须】函数参数 &gt; 3 个时，每个参数独占一行并对齐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【建议】链式调用每个 . 换行对齐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2.4 Compose 专项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【必须】@Composable 函数用 PascalCase 命名，参数用 modifier: Modifier = Modifier 作为第一个可选参数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【必须】State 管理用 remember + mutableStateOf，避免在 Composable 内直接调用 ViewModel 副作用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【建议】复杂 Composable 拆分为子组件，单个函数体 ≤ 80 行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【禁止】在 LaunchedEffect 中执行无 key 的副作用（必须提供有意义的 key）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2.5 ViewModel &amp; Repository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【必须】ViewModel 中的可变状态使用 private MutableLiveData/MutableStateFlow，对外暴露只读版本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【必须】Repository 方法返回 Flow 或 suspend 函数，禁止在 Repository 层切换线程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【必须】网络请求异常统一在 ViewModel 层 catch，通过 LiveData/StateFlow 通知 UI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【禁止】在 ViewModel 中直接引用 Activity/Context（使用 AndroidViewModel 或 Hilt 注入）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2.6 Room 数据库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【必须】Entity 类使用 @Entity(tableName = "snake_case") 注解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【必须】DAO 接口方法使用 suspend 或返回 Flow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【禁止】在主线程执行数据库操作</w:t>
      </w:r>
    </w:p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三、Java 编码规范（Spring Boot 后端）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基于《阿里巴巴 Java 开发手册（黄山版）》，结合 Spring Boot 3.2 + JPA + MySQL 技术栈细化。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3.1 命名规范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2835"/>
            <w:shd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3402"/>
            <w:shd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包名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全小写，点分隔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com.example.usermanagement.controller</w:t>
            </w:r>
          </w:p>
        </w:tc>
      </w:tr>
      <w:tr>
        <w:tc>
          <w:tcPr>
            <w:tcW w:type="dxa" w:w="1701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类名</w:t>
            </w:r>
          </w:p>
        </w:tc>
        <w:tc>
          <w:tcPr>
            <w:tcW w:type="dxa" w:w="2835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PascalCase，名词</w:t>
            </w:r>
          </w:p>
        </w:tc>
        <w:tc>
          <w:tcPr>
            <w:tcW w:type="dxa" w:w="340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UserController, MealService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接口名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PascalCase，不加 I 前缀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UserRepository（非 IUserRepository）</w:t>
            </w:r>
          </w:p>
        </w:tc>
      </w:tr>
      <w:tr>
        <w:tc>
          <w:tcPr>
            <w:tcW w:type="dxa" w:w="1701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方法名</w:t>
            </w:r>
          </w:p>
        </w:tc>
        <w:tc>
          <w:tcPr>
            <w:tcW w:type="dxa" w:w="2835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camelCase，动词开头</w:t>
            </w:r>
          </w:p>
        </w:tc>
        <w:tc>
          <w:tcPr>
            <w:tcW w:type="dxa" w:w="340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findByUsername(), createMealRecord()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常量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UPPER_SNAKE_CASE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JWT_SECRET_KEY, TOKEN_EXPIRY</w:t>
            </w:r>
          </w:p>
        </w:tc>
      </w:tr>
      <w:tr>
        <w:tc>
          <w:tcPr>
            <w:tcW w:type="dxa" w:w="1701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局部变量</w:t>
            </w:r>
          </w:p>
        </w:tc>
        <w:tc>
          <w:tcPr>
            <w:tcW w:type="dxa" w:w="2835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camelCase</w:t>
            </w:r>
          </w:p>
        </w:tc>
        <w:tc>
          <w:tcPr>
            <w:tcW w:type="dxa" w:w="340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mealList, totalSugar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DTO 类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以 Request/Response/DTO 结尾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LoginRequest, MealRecordDTO</w:t>
            </w:r>
          </w:p>
        </w:tc>
      </w:tr>
      <w:tr>
        <w:tc>
          <w:tcPr>
            <w:tcW w:type="dxa" w:w="1701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枚举值</w:t>
            </w:r>
          </w:p>
        </w:tc>
        <w:tc>
          <w:tcPr>
            <w:tcW w:type="dxa" w:w="2835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UPPER_SNAKE_CASE</w:t>
            </w:r>
          </w:p>
        </w:tc>
        <w:tc>
          <w:tcPr>
            <w:tcW w:type="dxa" w:w="340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BREAKFAST, LUNCH, DINNER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3.2 代码格式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【必须】缩进 4 个空格，禁止 Tab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【必须】行宽 ≤ 120 字符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【必须】左大括号不换行（K&amp;R 风格）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【必须】if/else/for/while/do 语句必须使用大括号，即使只有一行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【必须】方法间空一行，类内逻辑分组间空一行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3.3 注释规范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【必须】所有 public 类和 public 方法必须有 Javadoc 注释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【必须】Controller 的每个端点方法注明：功能描述、@param、@return、HTTP 状态码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【禁止】提交注释掉的代码（Dead Code），使用 Git 历史回溯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【禁止】使用 // TODO 未标注负责人和预期完成时间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3.4 Spring Boot 专项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【必须】Controller 层仅做参数校验和请求转发，业务逻辑放在 Service 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【必须】Service 层使用 @Transactional 注解管理事务边界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【必须】异常使用自定义 BusinessException，统一通过 @ControllerAdvice 处理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【必须】REST API 返回统一格式：{code, message, data}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【禁止】在 Controller 层直接操作 Repository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【禁止】在代码中硬编码数据库密码、API Key（使用 application.yml 或环境变量）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3.5 JPA &amp; 数据库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【必须】Entity 使用 @Table(name = "snake_case") 注解指定表名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【必须】字段名 camelCase，对应列名 snake_case（通过 naming-strategy 配置）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【必须】关联关系明确 fetch = FetchType.LAZY，避免 N+1 查询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【建议】复杂查询使用 @Query + JPQL 或原生 SQL，避免方法名过长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3.6 安全规范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【必须】密码使用 BCrypt 加密存储，禁止明文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【必须】JWT Token 设置合理过期时间（默认 24h）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【必须】接口权限通过 Spring Security 配置，非公开接口必须鉴权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【禁止】在日志中输出用户密码、Token 等敏感信息</w:t>
      </w:r>
    </w:p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四、Python 编码规范（AI 服务）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基于 PEP 8 规范 + Black 格式化器（行宽 88），结合 FastAPI + PyTorch + LangChain 技术栈细化。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4.1 格式化工具链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17"/>
            <w:shd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2268"/>
            <w:shd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4252"/>
            <w:shd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配置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black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代码格式化（行宽 88）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pyproject.toml: [tool.black] line-length = 88</w:t>
            </w:r>
          </w:p>
        </w:tc>
      </w:tr>
      <w:tr>
        <w:tc>
          <w:tcPr>
            <w:tcW w:type="dxa" w:w="1417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isort</w:t>
            </w:r>
          </w:p>
        </w:tc>
        <w:tc>
          <w:tcPr>
            <w:tcW w:type="dxa" w:w="2268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import 排序</w:t>
            </w:r>
          </w:p>
        </w:tc>
        <w:tc>
          <w:tcPr>
            <w:tcW w:type="dxa" w:w="425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profile = "black"（兼容 black）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flake8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静态检查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max-line-length = 88, ignore = E203,W503</w:t>
            </w:r>
          </w:p>
        </w:tc>
      </w:tr>
      <w:tr>
        <w:tc>
          <w:tcPr>
            <w:tcW w:type="dxa" w:w="1417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mypy</w:t>
            </w:r>
          </w:p>
        </w:tc>
        <w:tc>
          <w:tcPr>
            <w:tcW w:type="dxa" w:w="2268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类型检查（可选）</w:t>
            </w:r>
          </w:p>
        </w:tc>
        <w:tc>
          <w:tcPr>
            <w:tcW w:type="dxa" w:w="425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strict = false（渐进式引入）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4.2 命名规范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2268"/>
            <w:shd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3969"/>
            <w:shd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模块/文件名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snake_case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deepseek_agent.py, rag_knowledge.py</w:t>
            </w:r>
          </w:p>
        </w:tc>
      </w:tr>
      <w:tr>
        <w:tc>
          <w:tcPr>
            <w:tcW w:type="dxa" w:w="1701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类名</w:t>
            </w:r>
          </w:p>
        </w:tc>
        <w:tc>
          <w:tcPr>
            <w:tcW w:type="dxa" w:w="2268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PascalCase</w:t>
            </w:r>
          </w:p>
        </w:tc>
        <w:tc>
          <w:tcPr>
            <w:tcW w:type="dxa" w:w="3969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DeepSeekAgent, DrinkRecognizer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函数/方法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snake_case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recognize_drink(), get_health_analysis()</w:t>
            </w:r>
          </w:p>
        </w:tc>
      </w:tr>
      <w:tr>
        <w:tc>
          <w:tcPr>
            <w:tcW w:type="dxa" w:w="1701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常量</w:t>
            </w:r>
          </w:p>
        </w:tc>
        <w:tc>
          <w:tcPr>
            <w:tcW w:type="dxa" w:w="2268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UPPER_SNAKE_CASE</w:t>
            </w:r>
          </w:p>
        </w:tc>
        <w:tc>
          <w:tcPr>
            <w:tcW w:type="dxa" w:w="3969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DEEPSEEK_API_KEY, MODEL_PATH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变量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snake_case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drink_name, sugar_content</w:t>
            </w:r>
          </w:p>
        </w:tc>
      </w:tr>
      <w:tr>
        <w:tc>
          <w:tcPr>
            <w:tcW w:type="dxa" w:w="1701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私有属性</w:t>
            </w:r>
          </w:p>
        </w:tc>
        <w:tc>
          <w:tcPr>
            <w:tcW w:type="dxa" w:w="2268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单下划线前缀</w:t>
            </w:r>
          </w:p>
        </w:tc>
        <w:tc>
          <w:tcPr>
            <w:tcW w:type="dxa" w:w="3969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_db_session, _model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类型别名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PascalCase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DrinkList = List[DrinkItem]</w:t>
            </w:r>
          </w:p>
        </w:tc>
      </w:tr>
      <w:tr>
        <w:tc>
          <w:tcPr>
            <w:tcW w:type="dxa" w:w="1701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FastAPI 路由函数</w:t>
            </w:r>
          </w:p>
        </w:tc>
        <w:tc>
          <w:tcPr>
            <w:tcW w:type="dxa" w:w="2268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snake_case 动词</w:t>
            </w:r>
          </w:p>
        </w:tc>
        <w:tc>
          <w:tcPr>
            <w:tcW w:type="dxa" w:w="3969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recognize_drink(), chat_with_ai()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4.3 代码风格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【必须】缩进 4 个空格，禁止 Tab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【必须】行宽 ≤ 88 字符（Black 默认）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【必须】字符串统一使用双引号 ""（Black 默认）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【必须】import 按标准库 → 第三方库 → 本地模块顺序排列，组间空行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【必须】函数参数和返回值添加类型注解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【禁止】使用 from xxx import *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4.4 类型注解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所有公开函数必须添加参数类型和返回类型注解：</w:t>
      </w:r>
    </w:p>
    <w:p>
      <w:pPr>
        <w:ind w:left="567"/>
        <w:shd w:val="clear" w:fill="F5F5F5"/>
      </w:pPr>
      <w:r>
        <w:rPr>
          <w:rFonts w:ascii="Consolas" w:hAnsi="Consolas" w:eastAsia="Consolas"/>
          <w:b w:val="0"/>
          <w:color w:val="333333"/>
          <w:sz w:val="18"/>
        </w:rPr>
        <w:t>def recognize_drink(</w:t>
        <w:br/>
        <w:t xml:space="preserve">    image: UploadFile,</w:t>
        <w:br/>
        <w:t xml:space="preserve">    user_id: int,</w:t>
        <w:br/>
        <w:t xml:space="preserve">    confidence_threshold: float = 0.5,</w:t>
        <w:br/>
        <w:t>) -&gt; dict[str, Any]:</w:t>
        <w:br/>
        <w:t xml:space="preserve">    """识别饮品并返回营养信息"""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4.5 FastAPI 专项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【必须】路由使用 RESTful 风格：GET 查询、POST 创建、PUT 更新、DELETE 删除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【必须】请求/响应模型使用 Pydantic BaseModel，字段添加 Field(description=...)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【必须】异常使用 HTTPException 并指定合理的 status_code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【必须】异步函数使用 async def，数据库操作使用异步驱动（aiomysql）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【建议】依赖注入使用 Depends()，避免全局变量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4.6 AI / ML 专项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【必须】模型文件路径通过 Settings（pydantic-settings）配置，禁止硬编码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【必须】GPU/CPU 自动检测，提供 CPU 降级方案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【必须】推理结果包含置信度分数，前端展示时供二次确认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【建议】大模型 prompt 模板使用常量或单独文件管理，便于调优迭代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【禁止】在生产代码中使用 print() 输出调试信息（使用 loguru）</w:t>
      </w:r>
    </w:p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五、通用规范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5.1 日志规范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端</w:t>
            </w:r>
          </w:p>
        </w:tc>
        <w:tc>
          <w:tcPr>
            <w:tcW w:type="dxa" w:w="2268"/>
            <w:shd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日志框架</w:t>
            </w:r>
          </w:p>
        </w:tc>
        <w:tc>
          <w:tcPr>
            <w:tcW w:type="dxa" w:w="3969"/>
            <w:shd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日志级别使用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Android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Timber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d=调试 / i=业务流程 / w=异常但可恢复 / e=错误</w:t>
            </w:r>
          </w:p>
        </w:tc>
      </w:tr>
      <w:tr>
        <w:tc>
          <w:tcPr>
            <w:tcW w:type="dxa" w:w="1701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Spring Boot</w:t>
            </w:r>
          </w:p>
        </w:tc>
        <w:tc>
          <w:tcPr>
            <w:tcW w:type="dxa" w:w="2268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SLF4J + Logback</w:t>
            </w:r>
          </w:p>
        </w:tc>
        <w:tc>
          <w:tcPr>
            <w:tcW w:type="dxa" w:w="3969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debug=调试 / info=业务 / warn=告警 / error=异常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Python AI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loguru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debug=调试 / info=业务 / warning=告警 / error=异常</w:t>
            </w:r>
          </w:p>
        </w:tc>
      </w:tr>
    </w:tbl>
    <w:p/>
    <w:p>
      <w:pPr>
        <w:ind w:left="283"/>
      </w:pPr>
      <w:r>
        <w:rPr>
          <w:rFonts w:ascii="宋体" w:hAnsi="宋体" w:eastAsia="宋体"/>
          <w:b w:val="0"/>
          <w:sz w:val="22"/>
        </w:rPr>
        <w:t>• 【禁止】使用 System.out.println / print() / Log.d() 在生产代码中输出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【禁止】在日志中输出密码、Token、完整请求体等敏感信息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【必须】异常日志必须包含堆栈信息（logger.error("msg", e)）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5.2 异常处理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【禁止】空 catch 块（catch (Exception e) {}），必须至少记录日志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【禁止】用 try-catch 控制业务流程（应使用条件判断）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【必须】业务异常使用自定义异常类，包含错误码和用户友好消息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5.3 安全规范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【禁止】在代码中硬编码 API Key、数据库密码、JWT Secret 等敏感信息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【必须】敏感配置通过环境变量或 .env 文件注入，.env 加入 .gitignore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【必须】用户输入在使用前进行校验和转义，防止 SQL 注入和 XSS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5.4 版本控制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【必须】.gitignore 排除：build 产物、IDE 配置、.env、日志文件、__pycache__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【禁止】提交编译产物（.class/.apk/.pyc）、大文件（&gt;10MB）、密钥文件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【必须】每次提交前运行格式化工具（ktlint/checkstyle/black）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六、Git Commit 规范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采用 Conventional Commits 格式：&lt;type&gt;(&lt;scope&gt;): &lt;subject&gt;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134"/>
            <w:shd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268"/>
            <w:shd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4535"/>
            <w:shd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新功能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feat(auth): 添加 JWT 登录接口</w:t>
            </w:r>
          </w:p>
        </w:tc>
      </w:tr>
      <w:tr>
        <w:tc>
          <w:tcPr>
            <w:tcW w:type="dxa" w:w="1134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fix</w:t>
            </w:r>
          </w:p>
        </w:tc>
        <w:tc>
          <w:tcPr>
            <w:tcW w:type="dxa" w:w="2268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修复 Bug</w:t>
            </w:r>
          </w:p>
        </w:tc>
        <w:tc>
          <w:tcPr>
            <w:tcW w:type="dxa" w:w="4535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fix(diary): 修复日记重复添加问题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docs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文档变更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docs: 更新 README 本地运行指南</w:t>
            </w:r>
          </w:p>
        </w:tc>
      </w:tr>
      <w:tr>
        <w:tc>
          <w:tcPr>
            <w:tcW w:type="dxa" w:w="1134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style</w:t>
            </w:r>
          </w:p>
        </w:tc>
        <w:tc>
          <w:tcPr>
            <w:tcW w:type="dxa" w:w="2268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格式调整（不影响逻辑）</w:t>
            </w:r>
          </w:p>
        </w:tc>
        <w:tc>
          <w:tcPr>
            <w:tcW w:type="dxa" w:w="4535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style(kotlin): ktlint 格式化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refactor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重构（不新增功能/修复 Bug）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refactor(vm): 提取公共 BaseViewModel</w:t>
            </w:r>
          </w:p>
        </w:tc>
      </w:tr>
      <w:tr>
        <w:tc>
          <w:tcPr>
            <w:tcW w:type="dxa" w:w="1134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</w:t>
            </w:r>
          </w:p>
        </w:tc>
        <w:tc>
          <w:tcPr>
            <w:tcW w:type="dxa" w:w="2268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添加/修改测试</w:t>
            </w:r>
          </w:p>
        </w:tc>
        <w:tc>
          <w:tcPr>
            <w:tcW w:type="dxa" w:w="4535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test(dao): 新增 MealDao 单元测试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chore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构建/CI/依赖变更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chore: 升级 Spring Boot 到 3.2.5</w:t>
            </w:r>
          </w:p>
        </w:tc>
      </w:tr>
      <w:tr>
        <w:tc>
          <w:tcPr>
            <w:tcW w:type="dxa" w:w="1134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perf</w:t>
            </w:r>
          </w:p>
        </w:tc>
        <w:tc>
          <w:tcPr>
            <w:tcW w:type="dxa" w:w="2268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性能优化</w:t>
            </w:r>
          </w:p>
        </w:tc>
        <w:tc>
          <w:tcPr>
            <w:tcW w:type="dxa" w:w="4535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perf(ai): ViT 推理 batch_size=1 优化</w:t>
            </w:r>
          </w:p>
        </w:tc>
      </w:tr>
    </w:tbl>
    <w:p/>
    <w:p>
      <w:pPr>
        <w:ind w:left="283"/>
      </w:pPr>
      <w:r>
        <w:rPr>
          <w:rFonts w:ascii="宋体" w:hAnsi="宋体" w:eastAsia="宋体"/>
          <w:b w:val="0"/>
          <w:sz w:val="22"/>
        </w:rPr>
        <w:t>• 【必须】scope 为模块名：auth / diary / recognition / ai / analysis / profile / notification 等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【必须】subject 使用中文或英文均可，简明扼要（≤50 字符）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【建议】关联 TAPD 缺陷/需求号：fix(diary): 修复日记重复 [TAPD-BUG022]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七、代码审查 Checklist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每次 PR（Pull Request）合并前，Reviewer 按以下清单逐项检查：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134"/>
            <w:shd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535"/>
            <w:shd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命名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类/方法/变量命名是否符合本规范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通过/驳回</w:t>
            </w:r>
          </w:p>
        </w:tc>
      </w:tr>
      <w:tr>
        <w:tc>
          <w:tcPr>
            <w:tcW w:type="dxa" w:w="1134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格式</w:t>
            </w:r>
          </w:p>
        </w:tc>
        <w:tc>
          <w:tcPr>
            <w:tcW w:type="dxa" w:w="4535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是否通过格式化工具（ktlint/checkstyle/black）</w:t>
            </w:r>
          </w:p>
        </w:tc>
        <w:tc>
          <w:tcPr>
            <w:tcW w:type="dxa" w:w="1701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通过/驳回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逻辑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是否存在明显逻辑错误或边界未处理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通过/驳回</w:t>
            </w:r>
          </w:p>
        </w:tc>
      </w:tr>
      <w:tr>
        <w:tc>
          <w:tcPr>
            <w:tcW w:type="dxa" w:w="1134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</w:t>
            </w:r>
          </w:p>
        </w:tc>
        <w:tc>
          <w:tcPr>
            <w:tcW w:type="dxa" w:w="4535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是否有硬编码密钥、SQL 注入风险</w:t>
            </w:r>
          </w:p>
        </w:tc>
        <w:tc>
          <w:tcPr>
            <w:tcW w:type="dxa" w:w="1701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通过/驳回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日志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是否使用正确的日志框架和级别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通过/驳回</w:t>
            </w:r>
          </w:p>
        </w:tc>
      </w:tr>
      <w:tr>
        <w:tc>
          <w:tcPr>
            <w:tcW w:type="dxa" w:w="1134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异常</w:t>
            </w:r>
          </w:p>
        </w:tc>
        <w:tc>
          <w:tcPr>
            <w:tcW w:type="dxa" w:w="4535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异常是否被正确处理（非空 catch、友好提示）</w:t>
            </w:r>
          </w:p>
        </w:tc>
        <w:tc>
          <w:tcPr>
            <w:tcW w:type="dxa" w:w="1701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通过/驳回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关键逻辑是否有对应单元测试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通过/建议</w:t>
            </w:r>
          </w:p>
        </w:tc>
      </w:tr>
      <w:tr>
        <w:tc>
          <w:tcPr>
            <w:tcW w:type="dxa" w:w="1134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注释</w:t>
            </w:r>
          </w:p>
        </w:tc>
        <w:tc>
          <w:tcPr>
            <w:tcW w:type="dxa" w:w="4535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公开 API 是否有 Javadoc / docstring</w:t>
            </w:r>
          </w:p>
        </w:tc>
        <w:tc>
          <w:tcPr>
            <w:tcW w:type="dxa" w:w="1701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通过/建议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性能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是否有 N+1 查询、内存泄漏等性能隐患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通过/建议</w:t>
            </w:r>
          </w:p>
        </w:tc>
      </w:tr>
      <w:tr>
        <w:tc>
          <w:tcPr>
            <w:tcW w:type="dxa" w:w="1134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TAPD</w:t>
            </w:r>
          </w:p>
        </w:tc>
        <w:tc>
          <w:tcPr>
            <w:tcW w:type="dxa" w:w="4535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 标题是否含 [TAPD-xxx] 关联号</w:t>
            </w:r>
          </w:p>
        </w:tc>
        <w:tc>
          <w:tcPr>
            <w:tcW w:type="dxa" w:w="1701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通过/驳回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2"/>
        </w:rPr>
        <w:t>Reviewer 至少 1 人 Approve 方可合并（核心模块如认证、数据库、AI 接口需 ≥ 2 人）。驳回项必须修复后重新提交审查。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