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2" Type="http://schemas.openxmlformats.org/officeDocument/2006/relationships/extended-properties" Target="docProps/app.xml"/><Relationship Id="rId1" Type="http://schemas.openxmlformats.org/package/2006/relationships/metadata/core-properties" Target="docProps/core.xml"/><Relationship Id="rId3" Type="http://schemas.openxmlformats.org/officeDocument/2006/relationships/custom-properties" Target="docProps/custom.xml"/><Relationship Id="rId0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 xmlns:a="http://schemas.openxmlformats.org/drawingml/2006/main" xmlns:mc="http://schemas.openxmlformats.org/markup-compatibility/2006" mc:Ignorable="w14">
  <w:body>
    <w:p w14:paraId="0FF6C872">
      <w:pPr>
        <w:spacing w:line="432"/>
        <w:jc w:val="left"/>
        <w:rPr>
          <w:color w:val="64748b"/>
        </w:rPr>
      </w:pPr>
      <w:r>
        <w:rPr>
          <w:rFonts w:hint="eastAsia" w:ascii="PingFang SC" w:hAnsi="PingFang SC" w:eastAsia="PingFang SC" w:cs="PingFang SC"/>
          <w:color w:val="64748b"/>
          <w:spacing w:val="120"/>
          <w:sz w:val="24"/>
        </w:rPr>
        <w:t>长江大学文理学院</w:t>
      </w:r>
    </w:p>
    <w:p w14:paraId="18C9ED22">
      <w:pPr>
        <w:spacing w:before="300" w:after="300" w:line="300"/>
        <w:ind w:left="300" w:right="300"/>
        <w:jc w:val="left"/>
        <w:rPr>
          <w:color w:val="0b2545"/>
        </w:rPr>
      </w:pPr>
      <w:r>
        <w:rPr>
          <w:rFonts w:hint="eastAsia" w:ascii="PingFang SC" w:hAnsi="PingFang SC" w:eastAsia="PingFang SC" w:cs="PingFang SC"/>
          <w:b w:val="1"/>
          <w:color w:val="0b2545"/>
          <w:sz w:val="68"/>
        </w:rPr>
        <w:t>大学物理 AI 智慧课堂</w:t>
      </w:r>
    </w:p>
    <w:p w14:paraId="0A92C92E">
      <w:pPr>
        <w:spacing w:after="900" w:line="432"/>
        <w:jc w:val="left"/>
        <w:rPr>
          <w:color w:val="2f6fb3"/>
        </w:rPr>
      </w:pPr>
      <w:r>
        <w:rPr>
          <w:rFonts w:hint="eastAsia" w:ascii="PingFang SC" w:hAnsi="PingFang SC" w:eastAsia="PingFang SC" w:cs="PingFang SC"/>
          <w:color w:val="2f6fb3"/>
          <w:sz w:val="34"/>
        </w:rPr>
        <w:t>产品与技术文档</w:t>
      </w:r>
    </w:p>
    <w:p w14:paraId="60A49EAB">
      <w:pPr>
        <w:spacing w:line="528"/>
        <w:jc w:val="left"/>
        <w:rPr>
          <w:color w:val="475569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ongti SC" w:hAnsi="Songti SC" w:eastAsia="Songti SC" w:cs="Songti SC"/>
          <w:color w:val="475569"/>
          <w:sz w:val="20"/>
        </w:rPr>
        <w:t xml:space="preserve"> 文档版本　V1.0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0"/>
        </w:rPr>
        <w:t xml:space="preserve"> 适用系统　https://dun.xran.uk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0"/>
        </w:rPr>
        <w:t xml:space="preserve"> 技术栈　Next.js 16 · React 19 · EdgeOne Pages · Makers 模型网关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0"/>
        </w:rPr>
        <w:t xml:space="preserve"> 编制日期　2026 年 10 月 </w:t>
      </w:r>
    </w:p>
    <w:p w14:paraId="59803CE1">
      <w:pPr>
        <w:spacing w:before="240" w:after="120"/>
      </w:pPr>
      <w:r>
        <w:rPr>
          <w:rFonts w:hint="eastAsia" w:ascii="Songti SC" w:hAnsi="Songti SC" w:eastAsia="Songti SC" w:cs="Songti SC"/>
          <w:b w:val="1"/>
        </w:rPr>
        <w:t>目　录</w:t>
      </w:r>
    </w:p>
    <w:p w14:paraId="3C7D803F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TOC \o "1-2" \h \z \u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一、项目概述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15B6A50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1.1 建设背景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632DC59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1.2 建设目标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AD902A2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1.3 术语约定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A57069E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二、需求分析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41002CAC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2.1 用户角色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4DBDEFD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2.2 功能需求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93AACC3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2.3 非功能需求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9F760E0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三、总体设计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F16FAB9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3.1 设计原则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0247492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3.2 系统架构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55BE25B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3.3 技术选型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42D2F4D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四、功能设计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FD7D26D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4.1 学生端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6FE800A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4.2 教师端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A12FA1C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4.3 教学闭环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600EE29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"section-5"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五、关键技术实现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section-5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5C94BC3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"section-5-1"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5.1 课堂生成链路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section-5-1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80797B4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"section-5-2"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5.2 并行调度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section-5-2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43CEC27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"section-5-3"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5.3 流式输出与断点保留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section-5-3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9641EF8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"section-5-4"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5.4 模型适配层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section-5-4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4E5C7298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"section-6"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六、数据设计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section-6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B7DE8F7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"section-6-1"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6.1 数据模型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section-6-1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6276244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"section-6-2"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6.2 账号与凭证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section-6-2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12EED7A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"section-6-3"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6.3 快照与恢复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section-6-3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1FAE806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"section-7"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七、接口设计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section-7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E925670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"section-7-1"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7.1 接口清单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section-7-1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A398429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"section-7-2"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7.2 访问控制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section-7-2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BF78147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"section-8"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八、安全设计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section-8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4681ADA6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"section-8-1"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8.1 会话机制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section-8-1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DBA5595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"section-8-2"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8.2 凭据管理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section-8-2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E5A2E1A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"section-8-3"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8.3 内容与边界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section-8-3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E56E1F6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"section-9"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九、性能设计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section-9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457709C1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"section-9-1"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9.1 实测指标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section-9-1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3A5FDA8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"section-9-2"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9.2 优化过程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section-9-2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C3B6D72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"section-9-3"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9.3 容量估算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section-9-3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0FD7875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"section-10"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十、工程质量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section-10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2F8509C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"section-10-1"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10.1 构建与裁剪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section-10-1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4FFC8AF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"section-10-2"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10.2 自动化门禁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section-10-2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7360741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"section-10-3"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10.3 测试体系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section-10-3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D6A8BB9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十一、部署与运维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F4BFFAA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"section-11-1"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11.1 环境与配置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section-11-1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0383404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"section-11-2"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11.2 发布流程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section-11-2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0FE8896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"section-11-3"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11.3 排障要点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section-11-3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80F04E8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十二、演进规划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fldChar w:fldCharType="end" w:fldLock="0" w:dirty="0"/>
      </w:r>
    </w:p>
    <w:p w14:paraId="79D82AE6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5648796C">
      <w:pPr>
        <w:pStyle w:val="000004"/>
        <w:keepNext w:val="1"/>
        <w:keepLines w:val="1"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1" w:name="section-1"/>
      <w:r>
        <w:rPr>
          <w:rFonts w:hint="eastAsia" w:ascii="PingFang SC" w:hAnsi="PingFang SC" w:eastAsia="PingFang SC" w:cs="PingFang SC"/>
          <w:b w:val="1"/>
          <w:color w:val="0b2545"/>
          <w:spacing w:val="7"/>
          <w:sz w:val="40"/>
        </w:rPr>
        <w:t>一、项目概述</w:t>
      </w:r>
      <w:bookmarkEnd w:id="1"/>
    </w:p>
    <w:p w14:paraId="666691FE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" w:name="section-1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1.1 建设背景</w:t>
      </w:r>
      <w:bookmarkEnd w:id="2"/>
    </w:p>
    <w:p w14:paraId="7C5BEAE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大学物理是理工科的基础课，课时紧、概念密，学生对抽象模型的掌握程度差异很大。任课教师面对一个班几十名学生，能拿到的信号通常只有作业和期末成绩，中间过程是空白的：谁在哪一章掉队、哪次实验没做、哪道题反复错，往往要到期中之后才浮现。</w:t>
      </w:r>
    </w:p>
    <w:p w14:paraId="5BB7D46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市面上的教学平台大多解决其中一段：题库解决练，资源库解决看，AI 助手解决问。但课程章节、班级名单、评价标准仍然散落在各个系统里，教师要在几处之间来回切换。本项目把这些环节收进一个工作台，让学生端和教师端共用同一套账号、同一份课程结构和同一条证据链。</w:t>
      </w:r>
    </w:p>
    <w:p w14:paraId="6BC82C97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3" w:name="section-1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1.2 建设目标</w:t>
      </w:r>
      <w:bookmarkEnd w:id="3"/>
    </w:p>
    <w:p w14:paraId="46CDCD8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系统围绕三个目标建设。</w:t>
      </w:r>
    </w:p>
    <w:p w14:paraId="79314CF1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把学习过程变成可读的证据。</w:t>
      </w:r>
      <w:r>
        <w:rPr>
          <w:rFonts w:hint="eastAsia" w:ascii="Songti SC" w:hAnsi="Songti SC" w:eastAsia="Songti SC" w:cs="Songti SC"/>
          <w:color w:val="1f2937"/>
          <w:sz w:val="21"/>
        </w:rPr>
        <w:t>诊断、闯关、实验、问答四类行为都留下记录，按学生聚合，形成可复核的学习报告。</w:t>
      </w:r>
    </w:p>
    <w:p w14:paraId="574AC32B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让教师保留判断权。</w:t>
      </w:r>
      <w:r>
        <w:rPr>
          <w:rFonts w:hint="eastAsia" w:ascii="Songti SC" w:hAnsi="Songti SC" w:eastAsia="Songti SC" w:cs="Songti SC"/>
          <w:color w:val="1f2937"/>
          <w:sz w:val="21"/>
        </w:rPr>
        <w:t>AI 给出建议分与建议方向，复核分和理由始终由教师填写，并且覆盖建议值。</w:t>
      </w:r>
    </w:p>
    <w:p w14:paraId="29E7EEE8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把备课成本降下来。</w:t>
      </w:r>
      <w:r>
        <w:rPr>
          <w:rFonts w:hint="eastAsia" w:ascii="Songti SC" w:hAnsi="Songti SC" w:eastAsia="Songti SC" w:cs="Songti SC"/>
          <w:color w:val="1f2937"/>
          <w:sz w:val="21"/>
        </w:rPr>
        <w:t>一句需求即可生成一堂可播放的课，覆盖大纲、讲稿与画面，教师只需调整内容而不必从零排版。</w:t>
      </w:r>
    </w:p>
    <w:p w14:paraId="381CA795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4" w:name="section-1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1.3 术语约定</w:t>
      </w:r>
      <w:bookmarkEnd w:id="4"/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13ED78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术语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A5E478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含义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125FC1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视图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D4ACDC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工作台内的一个功能页面，通过左侧导航切换，对应一个路由。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264B17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场景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99F5A7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课堂的最小播放单元，类型包括讲授页、测验、交互仿真与项目任务。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B5EDA8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预置课堂包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5F390A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随系统内置的成品课堂，不依赖网络与模型额度，可直接播放。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97C903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过程证据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AEFB8A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学生在诊断、闯关、实验、问答中产生的记录，是学习报告的数据来源。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F7211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复核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501542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教师对 AI 建议分的确认或改写，必须填写理由。</w:t>
            </w:r>
          </w:p>
        </w:tc>
      </w:tr>
    </w:tbl>
    <w:p w14:paraId="63EA4338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5" w:name="section-2"/>
      <w:r>
        <w:rPr>
          <w:rFonts w:hint="eastAsia" w:ascii="PingFang SC" w:hAnsi="PingFang SC" w:eastAsia="PingFang SC" w:cs="PingFang SC"/>
          <w:b w:val="1"/>
          <w:color w:val="0b2545"/>
          <w:spacing w:val="7"/>
          <w:sz w:val="40"/>
        </w:rPr>
        <w:t>二、需求分析</w:t>
      </w:r>
      <w:bookmarkEnd w:id="5"/>
    </w:p>
    <w:p w14:paraId="73138B4A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6" w:name="section-2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2.1 用户角色</w:t>
      </w:r>
      <w:bookmarkEnd w:id="6"/>
    </w:p>
    <w:p w14:paraId="5FA5A57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系统服务两类角色，权限与信息范围不同。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2159"/>
        <w:gridCol w:w="4819"/>
      </w:tblGrid>
      <w:tr>
        <w:trPr>
          <w:tblHeader w:val="1"/>
        </w:trPr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D8152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角色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D87302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核心诉求</w:t>
            </w:r>
          </w:p>
        </w:tc>
        <w:tc>
          <w:tcPr>
            <w:tcW w:w="481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337B57C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可见范围</w:t>
            </w:r>
          </w:p>
        </w:tc>
      </w:tr>
      <w:tr>
        <w:trPr/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8DFBE8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8C80F9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知道下一步练什么，看到自己的进步</w:t>
            </w:r>
          </w:p>
        </w:tc>
        <w:tc>
          <w:tcPr>
            <w:tcW w:w="481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393FEB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本人诊断、项目、任务、实验记录与学习报告</w:t>
            </w:r>
          </w:p>
        </w:tc>
      </w:tr>
      <w:tr>
        <w:trPr/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883744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FF8117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定位风险学生，完成评价复核</w:t>
            </w:r>
          </w:p>
        </w:tc>
        <w:tc>
          <w:tcPr>
            <w:tcW w:w="481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697123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全班画像、课程矩阵、待复核评价、教学洞察</w:t>
            </w:r>
          </w:p>
        </w:tc>
      </w:tr>
    </w:tbl>
    <w:p w14:paraId="6006C87D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7" w:name="section-2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2.2 功能需求</w:t>
      </w:r>
      <w:bookmarkEnd w:id="7"/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4985"/>
        <w:gridCol w:w="1328"/>
      </w:tblGrid>
      <w:tr>
        <w:trPr>
          <w:tblHeader w:val="1"/>
        </w:trPr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B256A3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模块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E25F51D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功能描述</w:t>
            </w:r>
          </w:p>
        </w:tc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386D6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优先级</w:t>
            </w:r>
          </w:p>
        </w:tc>
      </w:tr>
      <w:tr>
        <w:trPr/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97331E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账号与会话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E6D574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注册、登录、退出；角色区分；跨角色访问拦截</w:t>
            </w:r>
          </w:p>
        </w:tc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B815C7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高</w:t>
            </w:r>
          </w:p>
        </w:tc>
      </w:tr>
      <w:tr>
        <w:trPr/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0147E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学情诊断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5370D0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八题前测，输出七维掌握度，作为后续匹配依据</w:t>
            </w:r>
          </w:p>
        </w:tc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E6C888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高</w:t>
            </w:r>
          </w:p>
        </w:tc>
      </w:tr>
      <w:tr>
        <w:trPr/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2F4981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项目匹配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0E3D37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结合薄弱维度、学习方式与能力目标排序，给出推荐理由</w:t>
            </w:r>
          </w:p>
        </w:tc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83C33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高</w:t>
            </w:r>
          </w:p>
        </w:tc>
      </w:tr>
      <w:tr>
        <w:trPr/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302C3C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任务闯关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910AD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按项目拆关卡，逐题判分并记录</w:t>
            </w:r>
          </w:p>
        </w:tc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D3C94A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高</w:t>
            </w:r>
          </w:p>
        </w:tc>
      </w:tr>
      <w:tr>
        <w:trPr/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B4BD3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虚拟实验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81469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参数可调，现象与读数实时联动，支持测量记录</w:t>
            </w:r>
          </w:p>
        </w:tc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666282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高</w:t>
            </w:r>
          </w:p>
        </w:tc>
      </w:tr>
      <w:tr>
        <w:trPr/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4254C2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AI 助教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CBDCD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围绕当前章节问答，回答附引用来源</w:t>
            </w:r>
          </w:p>
        </w:tc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2A356C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中</w:t>
            </w:r>
          </w:p>
        </w:tc>
      </w:tr>
      <w:tr>
        <w:trPr/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5CCE7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A6242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汇总四类证据，支持导出</w:t>
            </w:r>
          </w:p>
        </w:tc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5DE726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高</w:t>
            </w:r>
          </w:p>
        </w:tc>
      </w:tr>
      <w:tr>
        <w:trPr/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956B11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班级治理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C82B0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风险排序、班级画像、课程矩阵</w:t>
            </w:r>
          </w:p>
        </w:tc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B6CFBF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高</w:t>
            </w:r>
          </w:p>
        </w:tc>
      </w:tr>
      <w:tr>
        <w:trPr/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EE55A7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评价复核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EA20B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改分、写理由、导出汇总</w:t>
            </w:r>
          </w:p>
        </w:tc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25A926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高</w:t>
            </w:r>
          </w:p>
        </w:tc>
      </w:tr>
      <w:tr>
        <w:trPr/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1DBB5D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课堂生成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C9ECB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一句需求生成可播放课堂，含大纲、内容、讲稿</w:t>
            </w:r>
          </w:p>
        </w:tc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725C66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高</w:t>
            </w:r>
          </w:p>
        </w:tc>
      </w:tr>
      <w:tr>
        <w:trPr/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A5CDF9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课堂播放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EDF9E8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场景切换、讲稿同步、进度控制</w:t>
            </w:r>
          </w:p>
        </w:tc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7716F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高</w:t>
            </w:r>
          </w:p>
        </w:tc>
      </w:tr>
    </w:tbl>
    <w:p w14:paraId="5D59D1AA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8" w:name="section-2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2.3 非功能需求</w:t>
      </w:r>
      <w:bookmarkEnd w:id="8"/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4320"/>
        <w:gridCol w:w="2159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A3DBDE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维度</w:t>
            </w:r>
          </w:p>
        </w:tc>
        <w:tc>
          <w:tcPr>
            <w:tcW w:w="4320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3111DA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要求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448D050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达成方式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F4B9AC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响应</w:t>
            </w:r>
          </w:p>
        </w:tc>
        <w:tc>
          <w:tcPr>
            <w:tcW w:w="4320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48322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首屏可读内容在服务端直出，不依赖客户端水合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AE62A0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路由静态化，十三个视图预渲染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DC83D9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可用</w:t>
            </w:r>
          </w:p>
        </w:tc>
        <w:tc>
          <w:tcPr>
            <w:tcW w:w="4320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F110E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断网状态下，工作台与预置课堂仍可完整使用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1337C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数据本地化，模型调用只出现在生成与问答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B03BC4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安全</w:t>
            </w:r>
          </w:p>
        </w:tc>
        <w:tc>
          <w:tcPr>
            <w:tcW w:w="4320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96A116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高耗能接口需登录；凭据不落仓库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2273C7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会话门禁 + 产物泄露门禁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52F2A8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兼容</w:t>
            </w:r>
          </w:p>
        </w:tc>
        <w:tc>
          <w:tcPr>
            <w:tcW w:w="4320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0912BE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桌面浏览器 1280 像素以上正常显示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02A33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响应式栅格与侧栏折叠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15A9AD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可维护</w:t>
            </w:r>
          </w:p>
        </w:tc>
        <w:tc>
          <w:tcPr>
            <w:tcW w:w="4320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482BDF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改一处配置不会引发静默降级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C9C0E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构建期门禁，配置缺失即失败</w:t>
            </w:r>
          </w:p>
        </w:tc>
      </w:tr>
    </w:tbl>
    <w:p w14:paraId="29DCD78F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9" w:name="section-3"/>
      <w:r>
        <w:rPr>
          <w:rFonts w:hint="eastAsia" w:ascii="PingFang SC" w:hAnsi="PingFang SC" w:eastAsia="PingFang SC" w:cs="PingFang SC"/>
          <w:b w:val="1"/>
          <w:color w:val="0b2545"/>
          <w:spacing w:val="7"/>
          <w:sz w:val="40"/>
        </w:rPr>
        <w:t>三、总体设计</w:t>
      </w:r>
      <w:bookmarkEnd w:id="9"/>
    </w:p>
    <w:p w14:paraId="39D78E02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0" w:name="section-3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3.1 设计原则</w:t>
      </w:r>
      <w:bookmarkEnd w:id="10"/>
    </w:p>
    <w:p w14:paraId="16A4EC1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四条原则贯穿整个实现。</w:t>
      </w:r>
    </w:p>
    <w:p w14:paraId="7BF7711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本地优先。</w:t>
      </w:r>
      <w:r>
        <w:rPr>
          <w:rFonts w:hint="eastAsia" w:ascii="Songti SC" w:hAnsi="Songti SC" w:eastAsia="Songti SC" w:cs="Songti SC"/>
          <w:color w:val="1f2937"/>
          <w:sz w:val="21"/>
        </w:rPr>
        <w:t>账号、学习记录、生成结果都存在浏览器，服务端不保存业务数据。这样断网可用，也避免了为演示环境准备数据库。代价是换设备不同步，这一点在手册里写明了。</w:t>
      </w:r>
    </w:p>
    <w:p w14:paraId="77A3267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边缘只做代理。</w:t>
      </w:r>
      <w:r>
        <w:rPr>
          <w:rFonts w:hint="eastAsia" w:ascii="Songti SC" w:hAnsi="Songti SC" w:eastAsia="Songti SC" w:cs="Songti SC"/>
          <w:color w:val="1f2937"/>
          <w:sz w:val="21"/>
        </w:rPr>
        <w:t>云函数负责页面渲染与模型转发，不做业务计算。凡是能在浏览器算完的，不放服务端。</w:t>
      </w:r>
    </w:p>
    <w:p w14:paraId="78019BF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门禁按成本划线。</w:t>
      </w:r>
      <w:r>
        <w:rPr>
          <w:rFonts w:hint="eastAsia" w:ascii="Songti SC" w:hAnsi="Songti SC" w:eastAsia="Songti SC" w:cs="Songti SC"/>
          <w:color w:val="1f2937"/>
          <w:sz w:val="21"/>
        </w:rPr>
        <w:t>只有会消耗模型额度或上游资源的接口要求登录，其余接口放行。判据是「会不会花钱」，不是「是不是敏感」。</w:t>
      </w:r>
    </w:p>
    <w:p w14:paraId="263FAF7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配置缺失即失败。</w:t>
      </w:r>
      <w:r>
        <w:rPr>
          <w:rFonts w:hint="eastAsia" w:ascii="Songti SC" w:hAnsi="Songti SC" w:eastAsia="Songti SC" w:cs="Songti SC"/>
          <w:color w:val="1f2937"/>
          <w:sz w:val="21"/>
        </w:rPr>
        <w:t>函数超时、加速区域、凭据泄露这三类配置，任何一项不符合预期，构建或部署直接中止，不允许静默降级。</w:t>
      </w:r>
    </w:p>
    <w:p w14:paraId="362677ED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1" w:name="section-3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3.2 系统架构</w:t>
      </w:r>
      <w:bookmarkEnd w:id="11"/>
    </w:p>
    <w:p w14:paraId="0F0385FC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2788588"/>
            <wp:docPr id="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　系统架构：浏览器本地优先，边缘函数承担渲染与模型转发</w:t>
      </w:r>
    </w:p>
    <w:p w14:paraId="6582879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系统分四层。浏览器层是 React 客户端，负责交互与本地存储；边缘层是 EdgeOne Pages，提供静态资源与云函数；应用层是 Next.js 的路由与接口；模型层是 Makers 网关，只接一个模型。</w:t>
      </w:r>
    </w:p>
    <w:p w14:paraId="3FAA7C5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交付侧另有一条独立链路：代码推送到仓库后，由 GitHub Actions 完成构建、裁剪、门禁与上传，与本地部署走同一条流水线。</w:t>
      </w:r>
    </w:p>
    <w:p w14:paraId="66BC55BC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2　系统首页：需求输入与六个预置课堂包</w:t>
      </w:r>
    </w:p>
    <w:p w14:paraId="76867C09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2" w:name="section-3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3.3 技术选型</w:t>
      </w:r>
      <w:bookmarkEnd w:id="12"/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993"/>
        <w:gridCol w:w="4652"/>
      </w:tblGrid>
      <w:tr>
        <w:trPr>
          <w:tblHeader w:val="1"/>
        </w:trPr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E51E00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层次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0C8B80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选型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9145EF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理由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0EFE09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框架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DCD54C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Next.js 16（App Router）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DD5A9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路由级静态化与接口同仓，十三个视图可预渲染；服务端组件减少首屏依赖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6E5003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视图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6DE5AA2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React 19 + Tailwind CSS 4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FAD05C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组件复用度高，样式集中在类名，改版成本低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6B0DD7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托管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EA7666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EdgeOne Pages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514253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静态资源与云函数同域，支持自定义域名；可配置函数执行时长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C3E2D7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模型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AFDC0F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Makers 网关 · minimax-m3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E915A3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统一 OpenAI 兼容协议，无需分别对接厂商；单一模型保证输出格式稳定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581E18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存储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C7E618F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localStorage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D987C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零运维、断网可用；按账号分区即可满足单机演示与课堂使用</w:t>
            </w:r>
          </w:p>
        </w:tc>
      </w:tr>
    </w:tbl>
    <w:p w14:paraId="77E2F6CA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13" w:name="section-4"/>
      <w:r>
        <w:rPr>
          <w:rFonts w:hint="eastAsia" w:ascii="PingFang SC" w:hAnsi="PingFang SC" w:eastAsia="PingFang SC" w:cs="PingFang SC"/>
          <w:b w:val="1"/>
          <w:color w:val="0b2545"/>
          <w:spacing w:val="7"/>
          <w:sz w:val="40"/>
        </w:rPr>
        <w:t>四、功能设计</w:t>
      </w:r>
      <w:bookmarkEnd w:id="13"/>
    </w:p>
    <w:p w14:paraId="61B436A9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4" w:name="section-4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4.1 学生端</w:t>
      </w:r>
      <w:bookmarkEnd w:id="14"/>
    </w:p>
    <w:p w14:paraId="11A52C0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学生端八个视图按学习顺序排列，左侧导航即是推荐路径。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2491"/>
        <w:gridCol w:w="4154"/>
      </w:tblGrid>
      <w:tr>
        <w:trPr>
          <w:tblHeader w:val="1"/>
        </w:trPr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848820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视图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5D8839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解决的问题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0FDBE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关键设计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C86685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学习总览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F160D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这一周该做什么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8588EF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把诊断结论、进行中的项目、待办任务收敛到一屏，只给一个下一步入口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5C8B89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学情诊断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149980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薄弱点在哪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06F1D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八题覆盖七个维度，结果以雷达图与列表并列呈现，低于阈值的维度标红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D9C27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章节与知识图谱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22522F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课程如何组织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2BABB1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章节、概念、项目三视角切换，概念视角按依赖关系布局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F29CA8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项目匹配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9ED227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该做哪个项目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6C9964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排序依据为薄弱维度、学习方式、能力目标三项，卡片写明推荐理由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359AFC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任务闯关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D8F75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今天练什么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9D5661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项目拆为五阶关卡，逐题提交即时判分，进度本地留存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801DA1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AI 助教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A489A1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概念怎么理解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C89BD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自动带入当前章节上下文，回答附引用段落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879784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虚拟实验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86A50D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参数变化的影响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AD8A53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滑块驱动模型计算，曲线与读数同步；测量可记录成表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7496C9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3C9E40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阶段性结论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D778D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四类证据按时间轴汇总，支持导出 Markdown</w:t>
            </w:r>
          </w:p>
        </w:tc>
      </w:tr>
    </w:tbl>
    <w:p w14:paraId="5478A0EC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3　学生端学习总览：待办入口按优先级只显示一个</w:t>
      </w:r>
    </w:p>
    <w:p w14:paraId="42338468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5" w:name="section-4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4.2 教师端</w:t>
      </w:r>
      <w:bookmarkEnd w:id="15"/>
    </w:p>
    <w:p w14:paraId="6390816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教师端五个视图对应一次完整的治理动作：定位、观察、对照、复核、调整。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2491"/>
        <w:gridCol w:w="4154"/>
      </w:tblGrid>
      <w:tr>
        <w:trPr>
          <w:tblHeader w:val="1"/>
        </w:trPr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B7352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视图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44F1DB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解决的问题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11CED4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关键设计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F5D2EC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教学驾驶舱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AD5177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今天关注谁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5EAA08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风险学生按连续未完成与掌握度下滑两个信号排序，右侧并列待复核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69E01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班级画像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EA53C1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班级整体状态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B71884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一行一名学生，投入度、完成率、活跃度、风险标记四列，可展开明细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B6540D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课程项目矩阵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CBB26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目标与项目是否对齐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9E5CEF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章节 × 项目矩阵，用于发现无项目覆盖的章节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45D476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评价复核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4570FE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建议分是否采纳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7DE15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复核分与理由为必填，保存后标记已复核，支持整表导出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F461E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教学洞察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CB1D6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下一步怎么调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455030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以结论形式给出建议，每条附原始数据入口</w:t>
            </w:r>
          </w:p>
        </w:tc>
      </w:tr>
    </w:tbl>
    <w:p w14:paraId="7677017E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1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4　教学驾驶舱：风险学生与待办复核并列呈现</w:t>
      </w:r>
    </w:p>
    <w:p w14:paraId="0678C9C4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6" w:name="section-4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4.3 教学闭环</w:t>
      </w:r>
      <w:bookmarkEnd w:id="16"/>
    </w:p>
    <w:p w14:paraId="40027BA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两侧不是各自独立的模块，而是同一条闭环的两端。学生完成诊断后，画像驱动项目排序；项目拆成关卡，闯关与实验产生的记录汇入学习报告；教师复核评价时看到的就是这条证据链；复核结果与教学洞察再反哺下一轮的项目匹配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2"/>
        <w:gridCol w:w="2159"/>
        <w:gridCol w:w="4985"/>
      </w:tblGrid>
      <w:tr>
        <w:trPr>
          <w:tblHeader w:val="1"/>
        </w:trPr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22D360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环节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CB42A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输入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694509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输出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FFB991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诊断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10A23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八题作答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92D7DB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七维掌握度画像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11E11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匹配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6CCFEB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画像 + 学习方式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8FFEFD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带理由的项目排序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18617C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实践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90BE4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项目 + 章节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62BE2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闯关记录、实验测量、问答记录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10A5F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汇总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46B817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四类过程证据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30648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802F21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复核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AF9833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报告 + 建议分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826A32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复核分与理由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110DB6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反哺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CCF4CD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复核结果</w:t>
            </w:r>
          </w:p>
        </w:tc>
        <w:tc>
          <w:tcPr>
            <w:tcW w:w="498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26854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下一轮匹配权重</w:t>
            </w:r>
          </w:p>
        </w:tc>
      </w:tr>
    </w:tbl>
    <w:p w14:paraId="61C955D3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17" w:name="section-5"/>
      <w:r>
        <w:rPr>
          <w:rFonts w:hint="eastAsia" w:ascii="PingFang SC" w:hAnsi="PingFang SC" w:eastAsia="PingFang SC" w:cs="PingFang SC"/>
          <w:b w:val="1"/>
          <w:color w:val="0b2545"/>
          <w:spacing w:val="7"/>
          <w:sz w:val="40"/>
        </w:rPr>
        <w:t>五、关键技术实现</w:t>
      </w:r>
      <w:bookmarkEnd w:id="17"/>
    </w:p>
    <w:p w14:paraId="352C4C26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8" w:name="section-5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5.1 课堂生成链路</w:t>
      </w:r>
      <w:bookmarkEnd w:id="18"/>
    </w:p>
    <w:p w14:paraId="690E38C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一句需求要变成可播放的课堂，中间有四步：生成大纲、确定角色、逐场景写内容、写讲稿与动作。四步串行，只有逐场景内容这一步内部并行。</w:t>
      </w:r>
    </w:p>
    <w:p w14:paraId="07820A86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4704837"/>
            <wp:docPr id="14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0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5　一次生成请求的时序：大纲流式返回，角色与内容随后，最后落盘</w:t>
      </w:r>
    </w:p>
    <w:p w14:paraId="74659E63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7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6　生成结果在播放器中呈现，讲稿随进度高亮</w:t>
      </w:r>
    </w:p>
    <w:p w14:paraId="4ED963B9">
      <w:pPr>
        <w:spacing w:line="432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 xml:space="preserve"> 拆成四步的原因是可恢复性。大纲先出，学生十几秒内能看到课程骨架；角色决定讲稿口吻，必须在大纲之后确定；讲稿与动作独立生成，某个场景配音有问题时只重做那一场，不必整堂课重来。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2824"/>
        <w:gridCol w:w="2991"/>
      </w:tblGrid>
      <w:tr>
        <w:trPr>
          <w:tblHeader w:val="1"/>
        </w:trPr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BCF3F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阶段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0905BBD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接口</w:t>
            </w:r>
          </w:p>
        </w:tc>
        <w:tc>
          <w:tcPr>
            <w:tcW w:w="29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97F3B7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实测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F75AC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课堂大纲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DB2704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/api/generate/scene-outlines-stream</w:t>
            </w:r>
          </w:p>
        </w:tc>
        <w:tc>
          <w:tcPr>
            <w:tcW w:w="29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D5362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200，78.5 秒，15 个场景，收到完成事件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E06F63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智能体角色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891C4E6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/api/generate/agent-profiles</w:t>
            </w:r>
          </w:p>
        </w:tc>
        <w:tc>
          <w:tcPr>
            <w:tcW w:w="29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02F3B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200，约 29 秒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54B2BB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逐场景内容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1049F8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/api/generate/scene-content</w:t>
            </w:r>
          </w:p>
        </w:tc>
        <w:tc>
          <w:tcPr>
            <w:tcW w:w="29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39FFEC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200，单场景 60–82 秒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45F3F7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讲稿与动作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1827487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/api/generate/scene-actions</w:t>
            </w:r>
          </w:p>
        </w:tc>
        <w:tc>
          <w:tcPr>
            <w:tcW w:w="29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1C61F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200，约 10 秒</w:t>
            </w:r>
          </w:p>
        </w:tc>
      </w:tr>
    </w:tbl>
    <w:p w14:paraId="16F9A8A3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9" w:name="section-5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5.2 并行调度</w:t>
      </w:r>
      <w:bookmarkEnd w:id="19"/>
    </w:p>
    <w:p w14:paraId="6774CF6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内容生成是耗时大头，因此做成两阶段流水线：内容按并发预取，按顺序消费。预取与消费之间没有栅栏，第一个场景画出来的时间与串行一致，后续场景的内容在后台已经备好。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3322"/>
        <w:gridCol w:w="2825"/>
      </w:tblGrid>
      <w:tr>
        <w:trPr>
          <w:tblHeader w:val="1"/>
        </w:trPr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0596F2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方式</w:t>
            </w:r>
          </w:p>
        </w:tc>
        <w:tc>
          <w:tcPr>
            <w:tcW w:w="332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09C675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四个场景的耗时</w:t>
            </w:r>
          </w:p>
        </w:tc>
        <w:tc>
          <w:tcPr>
            <w:tcW w:w="28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766D04D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总墙钟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4F06C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串行</w:t>
            </w:r>
          </w:p>
        </w:tc>
        <w:tc>
          <w:tcPr>
            <w:tcW w:w="332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790592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66 / 165 / 54 / 32 秒</w:t>
            </w:r>
          </w:p>
        </w:tc>
        <w:tc>
          <w:tcPr>
            <w:tcW w:w="28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A11E8B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317 秒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70281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四路并行</w:t>
            </w:r>
          </w:p>
        </w:tc>
        <w:tc>
          <w:tcPr>
            <w:tcW w:w="332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9F02A6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69 / 71 / 76 / 83 秒</w:t>
            </w:r>
          </w:p>
        </w:tc>
        <w:tc>
          <w:tcPr>
            <w:tcW w:w="28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F5902A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f2937"/>
                <w:sz w:val="18"/>
              </w:rPr>
              <w:t>83 秒</w:t>
            </w:r>
          </w:p>
        </w:tc>
      </w:tr>
    </w:tbl>
    <w:p w14:paraId="5D54D63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并行时单个请求没有被拖慢，仍在串行单场的区间内，说明瓶颈在模型输出长度而非排队。并发度可配置，默认四路，上限十路；设为零即退回串行，便于在低配额环境下降级。</w:t>
      </w:r>
    </w:p>
    <w:p w14:paraId="6255B15F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0" w:name="section-5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5.3 流式输出与断点保留</w:t>
      </w:r>
      <w:bookmarkEnd w:id="20"/>
    </w:p>
    <w:p w14:paraId="765F116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大纲接口以事件流返回，每解析出一个完整场景就推一条事件，前端边收边渲染。流在中途断开时，已经解析出的场景会被保留并直接收尾，不整批重来。早期版本在这里做全量重试，两次生成叠加会撞上函数执行上限，最后连可用的十二个场景都拿不到。</w:t>
      </w:r>
    </w:p>
    <w:p w14:paraId="41EC824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内容接口对模型返回做结构校验与修复：JSON 不完整时先尝试补全，失败再重试，重试仍失败才把错误抛给前端。单个场景失败只影响那一场。</w:t>
      </w:r>
    </w:p>
    <w:p w14:paraId="6FBFED32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1" w:name="section-5-4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5.4 模型适配层</w:t>
      </w:r>
      <w:bookmarkEnd w:id="21"/>
    </w:p>
    <w:p w14:paraId="64A255B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模型统一走 Makers 网关的 OpenAI 兼容协议，适配层只做三件事：解析模型串、注入思考开关、统一错误映射。</w:t>
      </w:r>
    </w:p>
    <w:p w14:paraId="393923D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 xml:space="preserve">思考开关是必须的。当前模型默认把思考过程写进正文，形如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&lt;think&gt;…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，会让大纲的 JSON 解析失败。实测只有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thinking: { type: "disabled" }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 能真正关闭，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reasoning_effort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 与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chat_template_kwargs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 均无效。适配层在调用前统一注入，用户显式开启时以用户设置为准。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62D4962F">
            <w:pPr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 xml:space="preserve"> 适配层同时负责「模型串 → 厂商 + 模型」的解析，换模型只需改一个环境变量，业务代码不用动。这条约定写在了配置模块的注释里，避免后来者绕过适配层直接调厂商 SDK。 </w:t>
            </w:r>
          </w:p>
        </w:tc>
      </w:tr>
    </w:tbl>
    <w:p w14:paraId="0CF039C2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22" w:name="section-6"/>
      <w:r>
        <w:rPr>
          <w:rFonts w:hint="eastAsia" w:ascii="PingFang SC" w:hAnsi="PingFang SC" w:eastAsia="PingFang SC" w:cs="PingFang SC"/>
          <w:b w:val="1"/>
          <w:color w:val="0b2545"/>
          <w:spacing w:val="7"/>
          <w:sz w:val="40"/>
        </w:rPr>
        <w:t>六、数据设计</w:t>
      </w:r>
      <w:bookmarkEnd w:id="22"/>
    </w:p>
    <w:p w14:paraId="3CFEC154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3" w:name="section-6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6.1 数据模型</w:t>
      </w:r>
      <w:bookmarkEnd w:id="23"/>
    </w:p>
    <w:p w14:paraId="52B00C1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业务数据全部在浏览器本地，按账号分区。键空间如下。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24"/>
        <w:gridCol w:w="2159"/>
        <w:gridCol w:w="3323"/>
      </w:tblGrid>
      <w:tr>
        <w:trPr>
          <w:tblHeader w:val="1"/>
        </w:trPr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815A398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键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130338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内容</w:t>
            </w:r>
          </w:p>
        </w:tc>
        <w:tc>
          <w:tcPr>
            <w:tcW w:w="332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ED48A8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说明</w:t>
            </w:r>
          </w:p>
        </w:tc>
      </w:tr>
      <w:tr>
        <w:trPr/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78259EA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physics-ai-accounts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EF4E13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账号表</w:t>
            </w:r>
          </w:p>
        </w:tc>
        <w:tc>
          <w:tcPr>
            <w:tcW w:w="332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A66C74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用户名、角色、口令哈希、盐、迭代次数</w:t>
            </w:r>
          </w:p>
        </w:tc>
      </w:tr>
      <w:tr>
        <w:trPr/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B5A59D">
            <w:pPr>
              <w:jc w:val="left"/>
              <w:rPr>
                <w:color w:val="1f2937"/>
              </w:rPr>
            </w:pPr>
            <w:r>
              <w:rPr>
                <w:rFonts w:hint="eastAsia" w:ascii="SF Mono" w:hAnsi="SF Mono" w:eastAsia="SF Mono" w:cs="SF Mono"/>
                <w:color w:val="1f2937"/>
                <w:sz w:val="18"/>
                <w:shd w:val="clear" w:fill="eef2f7"/>
              </w:rPr>
              <w:t>physics-ai-accounts:corrupt-&lt;时间戳&gt;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F62D5F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损坏备份</w:t>
            </w:r>
          </w:p>
        </w:tc>
        <w:tc>
          <w:tcPr>
            <w:tcW w:w="332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DB82E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账号表解析失败时先备份再报错</w:t>
            </w:r>
          </w:p>
        </w:tc>
      </w:tr>
      <w:tr>
        <w:trPr/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9359BC5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physics-ai-session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669327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会话</w:t>
            </w:r>
          </w:p>
        </w:tc>
        <w:tc>
          <w:tcPr>
            <w:tcW w:w="332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ADFD11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当前账号 id 与登录时间</w:t>
            </w:r>
          </w:p>
        </w:tc>
      </w:tr>
      <w:tr>
        <w:trPr/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A916FB">
            <w:pPr>
              <w:jc w:val="left"/>
              <w:rPr>
                <w:color w:val="1f2937"/>
              </w:rPr>
            </w:pPr>
            <w:r>
              <w:rPr>
                <w:rFonts w:hint="eastAsia" w:ascii="SF Mono" w:hAnsi="SF Mono" w:eastAsia="SF Mono" w:cs="SF Mono"/>
                <w:color w:val="1f2937"/>
                <w:sz w:val="18"/>
                <w:shd w:val="clear" w:fill="eef2f7"/>
              </w:rPr>
              <w:t>physics-ai-stage:&lt;账号 id&gt;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10269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课堂数据</w:t>
            </w:r>
          </w:p>
        </w:tc>
        <w:tc>
          <w:tcPr>
            <w:tcW w:w="332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394AE5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生成结果与播放进度，按账号隔离</w:t>
            </w:r>
          </w:p>
        </w:tc>
      </w:tr>
      <w:tr>
        <w:trPr/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80799A5">
            <w:pPr>
              <w:jc w:val="left"/>
              <w:rPr>
                <w:color w:val="1f2937"/>
              </w:rPr>
            </w:pPr>
            <w:r>
              <w:rPr>
                <w:rFonts w:hint="eastAsia" w:ascii="SF Mono" w:hAnsi="SF Mono" w:eastAsia="SF Mono" w:cs="SF Mono"/>
                <w:color w:val="1f2937"/>
                <w:sz w:val="18"/>
                <w:shd w:val="clear" w:fill="eef2f7"/>
              </w:rPr>
              <w:t>physics-ai-evidence:&lt;账号 id&gt;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3B78C6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过程证据</w:t>
            </w:r>
          </w:p>
        </w:tc>
        <w:tc>
          <w:tcPr>
            <w:tcW w:w="332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6FE6B7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诊断、闯关、实验、问答记录</w:t>
            </w:r>
          </w:p>
        </w:tc>
      </w:tr>
      <w:tr>
        <w:trPr/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3106229">
            <w:pPr>
              <w:jc w:val="left"/>
              <w:rPr>
                <w:color w:val="1f2937"/>
              </w:rPr>
            </w:pPr>
            <w:r>
              <w:rPr>
                <w:rFonts w:hint="eastAsia" w:ascii="SF Mono" w:hAnsi="SF Mono" w:eastAsia="SF Mono" w:cs="SF Mono"/>
                <w:color w:val="1f2937"/>
                <w:sz w:val="18"/>
                <w:shd w:val="clear" w:fill="eef2f7"/>
              </w:rPr>
              <w:t>physics-ai-snapshot:&lt;账号 id&gt;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A74B06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快照</w:t>
            </w:r>
          </w:p>
        </w:tc>
        <w:tc>
          <w:tcPr>
            <w:tcW w:w="332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6155EB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破坏性操作前的 24 小时可恢复副本</w:t>
            </w:r>
          </w:p>
        </w:tc>
      </w:tr>
    </w:tbl>
    <w:p w14:paraId="6D2E246E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4" w:name="section-6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6.2 账号与凭证</w:t>
      </w:r>
      <w:bookmarkEnd w:id="24"/>
    </w:p>
    <w:p w14:paraId="42FCBB5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用户名三到三十二字符，允许字母、数字、下划线、连字符与中文。口令至少八位，使用 PBKDF2 迭代 21 万次，配十六字节随机盐，只存哈希与参数，不存明文。</w:t>
      </w:r>
    </w:p>
    <w:p w14:paraId="1EA914D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 xml:space="preserve">演示账号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student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 与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teacher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 在注册时保留，避免同名账号与演示身份落到两套数据分区。角色在注册时确定，登录后按角色进入对应工作台。</w:t>
      </w:r>
    </w:p>
    <w:p w14:paraId="2854E16A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5" w:name="section-6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6.3 快照与恢复</w:t>
      </w:r>
      <w:bookmarkEnd w:id="25"/>
    </w:p>
    <w:p w14:paraId="1394D67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重置诊断、切换项目、清空测量记录这类破坏性操作，执行前都会写一份快照，保留 24 小时。界面上的「恢复上次结果」读取的就是这份快照。快照按账号隔离，退出登录不影响。</w:t>
      </w:r>
    </w:p>
    <w:p w14:paraId="4F1F7EE7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26" w:name="section-7"/>
      <w:r>
        <w:rPr>
          <w:rFonts w:hint="eastAsia" w:ascii="PingFang SC" w:hAnsi="PingFang SC" w:eastAsia="PingFang SC" w:cs="PingFang SC"/>
          <w:b w:val="1"/>
          <w:color w:val="0b2545"/>
          <w:spacing w:val="7"/>
          <w:sz w:val="40"/>
        </w:rPr>
        <w:t>七、接口设计</w:t>
      </w:r>
      <w:bookmarkEnd w:id="26"/>
    </w:p>
    <w:p w14:paraId="7F078673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7" w:name="section-7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7.1 接口清单</w:t>
      </w:r>
      <w:bookmarkEnd w:id="27"/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6"/>
        <w:gridCol w:w="996"/>
        <w:gridCol w:w="4154"/>
      </w:tblGrid>
      <w:tr>
        <w:trPr>
          <w:tblHeader w:val="1"/>
        </w:trPr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E63789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路径</w:t>
            </w:r>
          </w:p>
        </w:tc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8C6E78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方法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B5778D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用途</w:t>
            </w:r>
          </w:p>
        </w:tc>
      </w:tr>
      <w:tr>
        <w:trPr/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B536E7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/api/health</w:t>
            </w:r>
          </w:p>
        </w:tc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7DB3920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GET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15CD55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健康检查，用于部署后预热与自检</w:t>
            </w:r>
          </w:p>
        </w:tc>
      </w:tr>
      <w:tr>
        <w:trPr/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E90C321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/api/server-providers</w:t>
            </w:r>
          </w:p>
        </w:tc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5878B9E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GET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7291C0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返回服务端已配置的模型与并发度</w:t>
            </w:r>
          </w:p>
        </w:tc>
      </w:tr>
      <w:tr>
        <w:trPr/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BF44F4A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/api/generate/scene-outlines-stream</w:t>
            </w:r>
          </w:p>
        </w:tc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0953FCD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POST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79AF6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流式生成课堂大纲</w:t>
            </w:r>
          </w:p>
        </w:tc>
      </w:tr>
      <w:tr>
        <w:trPr/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FAE020E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/api/generate/agent-profiles</w:t>
            </w:r>
          </w:p>
        </w:tc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559250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POST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BCC4A2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生成授课角色设定</w:t>
            </w:r>
          </w:p>
        </w:tc>
      </w:tr>
      <w:tr>
        <w:trPr/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D5A90D8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/api/generate/scene-content</w:t>
            </w:r>
          </w:p>
        </w:tc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B85EC71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POST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4CC63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生成单个场景的画面内容</w:t>
            </w:r>
          </w:p>
        </w:tc>
      </w:tr>
      <w:tr>
        <w:trPr/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6D9F7ED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/api/generate/scene-actions</w:t>
            </w:r>
          </w:p>
        </w:tc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0D786C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POST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A20ED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生成讲稿与画面动作</w:t>
            </w:r>
          </w:p>
        </w:tc>
      </w:tr>
      <w:tr>
        <w:trPr/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A7051C3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/api/chat</w:t>
            </w:r>
          </w:p>
        </w:tc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0CABDC8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POST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739D2B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AI 助教对话</w:t>
            </w:r>
          </w:p>
        </w:tc>
      </w:tr>
      <w:tr>
        <w:trPr/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2F3A19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/api/pbl/v2/evaluate</w:t>
            </w:r>
          </w:p>
        </w:tc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4DE0B7E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POST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D442F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项目式学习评价</w:t>
            </w:r>
          </w:p>
        </w:tc>
      </w:tr>
      <w:tr>
        <w:trPr/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93D97C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/api/extract-document</w:t>
            </w:r>
          </w:p>
        </w:tc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E4B8CC2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POST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DD5C7F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材料解析，本地处理，不消耗模型额度</w:t>
            </w:r>
          </w:p>
        </w:tc>
      </w:tr>
      <w:tr>
        <w:trPr/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8FAEF4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/api/materials</w:t>
            </w:r>
          </w:p>
        </w:tc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0EEC39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GET / POST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011A5A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材料列表与上传</w:t>
            </w:r>
          </w:p>
        </w:tc>
      </w:tr>
    </w:tbl>
    <w:p w14:paraId="0A82DAEB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8" w:name="section-7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7.2 访问控制</w:t>
      </w:r>
      <w:bookmarkEnd w:id="28"/>
    </w:p>
    <w:p w14:paraId="779D6F3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门禁按前缀生效，覆盖六类会消耗外部资源的接口：生成、对话、智能体、项目评价、转写、联网搜索。其余接口放行，保证断网演示与本地解析不受影响。</w:t>
      </w:r>
    </w:p>
    <w:p w14:paraId="72B1AA6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未登录访问被拦时返回 401，并在响应头回带门禁判定依据（只含请求头名称，不含取值），便于现场排障。</w:t>
      </w:r>
    </w:p>
    <w:p w14:paraId="2E109AAE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29" w:name="section-8"/>
      <w:r>
        <w:rPr>
          <w:rFonts w:hint="eastAsia" w:ascii="PingFang SC" w:hAnsi="PingFang SC" w:eastAsia="PingFang SC" w:cs="PingFang SC"/>
          <w:b w:val="1"/>
          <w:color w:val="0b2545"/>
          <w:spacing w:val="7"/>
          <w:sz w:val="40"/>
        </w:rPr>
        <w:t>八、安全设计</w:t>
      </w:r>
      <w:bookmarkEnd w:id="29"/>
    </w:p>
    <w:p w14:paraId="5E2E2218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30" w:name="section-8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8.1 会话机制</w:t>
      </w:r>
      <w:bookmarkEnd w:id="30"/>
    </w:p>
    <w:p w14:paraId="5668CFF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登录成功后，客户端写入会话 Cookie，同时所有发往本站接口的请求附带同名请求头。服务端两条通道任一有效即放行，避免单一通道被中间层剥离时整体失效。</w:t>
      </w:r>
    </w:p>
    <w:p w14:paraId="1BCCE3F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令牌形如「账号标识.时间戳」，服务端校验形状与长度。账号体系在本地完成，服务端不持有账号数据，这是「断网可用」这一目标的直接结果。</w:t>
      </w:r>
    </w:p>
    <w:p w14:paraId="0BD9AB62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31" w:name="section-8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8.2 凭据管理</w:t>
      </w:r>
      <w:bookmarkEnd w:id="31"/>
    </w:p>
    <w:p w14:paraId="0082CED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模型密钥只存在于平台环境变量，不进入仓库，也不写入本地配置文件。构建阶段有一道产物泄露门禁：扫描函数包，发现白名单外的环境变量名或凭据取值即中止部署。</w:t>
      </w:r>
    </w:p>
    <w:p w14:paraId="11EB65F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这道门禁拦下过一次真实问题：平台命令行工具在设置变量时会把值同时写入本地环境文件，下一次构建就把密钥内联进了函数产物。现在报错信息会直接指出变量来自哪个文件。</w:t>
      </w:r>
    </w:p>
    <w:p w14:paraId="2034156B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32" w:name="section-8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8.3 内容与边界</w:t>
      </w:r>
      <w:bookmarkEnd w:id="32"/>
    </w:p>
    <w:p w14:paraId="53F8E37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系统只处理本校课程内容，校名与课程名以配置形式集中管理，并由构建期字面量检查守住，避免出现其他院校或上游项目的名称。上传材料在浏览器本地解析，不上传第三方服务。</w:t>
      </w:r>
    </w:p>
    <w:p w14:paraId="0F6963E1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3" w:name="section-9"/>
      <w:r>
        <w:rPr>
          <w:rFonts w:hint="eastAsia" w:ascii="PingFang SC" w:hAnsi="PingFang SC" w:eastAsia="PingFang SC" w:cs="PingFang SC"/>
          <w:b w:val="1"/>
          <w:color w:val="0b2545"/>
          <w:spacing w:val="7"/>
          <w:sz w:val="40"/>
        </w:rPr>
        <w:t>九、性能设计</w:t>
      </w:r>
      <w:bookmarkEnd w:id="33"/>
    </w:p>
    <w:p w14:paraId="3F756B71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34" w:name="section-9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9.1 实测指标</w:t>
      </w:r>
      <w:bookmarkEnd w:id="34"/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56"/>
        <w:gridCol w:w="5150"/>
      </w:tblGrid>
      <w:tr>
        <w:trPr>
          <w:tblHeader w:val="1"/>
        </w:trPr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790888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指标</w:t>
            </w:r>
          </w:p>
        </w:tc>
        <w:tc>
          <w:tcPr>
            <w:tcW w:w="5150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7F30FC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实测值</w:t>
            </w:r>
          </w:p>
        </w:tc>
      </w:tr>
      <w:tr>
        <w:trPr/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AFAC1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关键路由可达性</w:t>
            </w:r>
          </w:p>
        </w:tc>
        <w:tc>
          <w:tcPr>
            <w:tcW w:w="5150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0574D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15 条路由全部 200，首帧含校名与水合标记</w:t>
            </w:r>
          </w:p>
        </w:tc>
      </w:tr>
      <w:tr>
        <w:trPr/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ACAB04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客户端资源</w:t>
            </w:r>
          </w:p>
        </w:tc>
        <w:tc>
          <w:tcPr>
            <w:tcW w:w="5150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68B86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41 个构建产物全部 200</w:t>
            </w:r>
          </w:p>
        </w:tc>
      </w:tr>
      <w:tr>
        <w:trPr/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852EB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函数最大执行时长</w:t>
            </w:r>
          </w:p>
        </w:tc>
        <w:tc>
          <w:tcPr>
            <w:tcW w:w="5150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91D691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120 秒</w:t>
            </w:r>
          </w:p>
        </w:tc>
      </w:tr>
      <w:tr>
        <w:trPr/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7DEB50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函数包体积</w:t>
            </w:r>
          </w:p>
        </w:tc>
        <w:tc>
          <w:tcPr>
            <w:tcW w:w="5150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1563A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119.8 MiB（平台上限 128 MiB）</w:t>
            </w:r>
          </w:p>
        </w:tc>
      </w:tr>
      <w:tr>
        <w:trPr/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5403D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运行期路由</w:t>
            </w:r>
          </w:p>
        </w:tc>
        <w:tc>
          <w:tcPr>
            <w:tcW w:w="5150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D15244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65 条</w:t>
            </w:r>
          </w:p>
        </w:tc>
      </w:tr>
      <w:tr>
        <w:trPr/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DBCAD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单场景内容生成</w:t>
            </w:r>
          </w:p>
        </w:tc>
        <w:tc>
          <w:tcPr>
            <w:tcW w:w="5150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F2891A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60–82 秒</w:t>
            </w:r>
          </w:p>
        </w:tc>
      </w:tr>
      <w:tr>
        <w:trPr/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D625DA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四场景并行</w:t>
            </w:r>
          </w:p>
        </w:tc>
        <w:tc>
          <w:tcPr>
            <w:tcW w:w="5150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9D41E9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83 秒（串行 317 秒）</w:t>
            </w:r>
          </w:p>
        </w:tc>
      </w:tr>
      <w:tr>
        <w:trPr/>
        <w:tc>
          <w:tcPr>
            <w:tcW w:w="315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EEFD81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整堂课（15 场景）</w:t>
            </w:r>
          </w:p>
        </w:tc>
        <w:tc>
          <w:tcPr>
            <w:tcW w:w="5150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4C046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约 8 分钟</w:t>
            </w:r>
          </w:p>
        </w:tc>
      </w:tr>
    </w:tbl>
    <w:p w14:paraId="42A1F6DD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35" w:name="section-9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9.2 优化过程</w:t>
      </w:r>
      <w:bookmarkEnd w:id="35"/>
    </w:p>
    <w:p w14:paraId="6E6F882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最初的瓶颈是函数执行时长。平台默认三十秒，而单场景内容生成稳定在三十二秒左右，接口被截断。把上限提到一百二十秒之后，单场景可以完整返回。</w:t>
      </w:r>
    </w:p>
    <w:p w14:paraId="3047C9B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接着暴露的是总时长。十五个场景串行要十七到二十分钟，学生看到的是长时间的等待。改成四路并行后，四个场景的总墙钟从 317 秒降到 83 秒，整堂课压到八分钟左右。</w:t>
      </w:r>
    </w:p>
    <w:p w14:paraId="5FCA5A4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两次优化都没有改动生成质量：一次是抬高平台限制，一次是改变调度方式。</w:t>
      </w:r>
    </w:p>
    <w:p w14:paraId="4FEB82E9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36" w:name="section-9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9.3 容量估算</w:t>
      </w:r>
      <w:bookmarkEnd w:id="36"/>
    </w:p>
    <w:p w14:paraId="31F540F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单个课堂的数据量在百 KB 量级，浏览器本地存储足以容纳数十个课堂。函数侧无状态，容量取决于平台并发能力与模型服务规格，与本地存储无关。一个班三十人同时生成时，建议分批提交，以保证每堂课的输出质量。</w:t>
      </w:r>
    </w:p>
    <w:p w14:paraId="6E7DC30A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7" w:name="section-10"/>
      <w:r>
        <w:rPr>
          <w:rFonts w:hint="eastAsia" w:ascii="PingFang SC" w:hAnsi="PingFang SC" w:eastAsia="PingFang SC" w:cs="PingFang SC"/>
          <w:b w:val="1"/>
          <w:color w:val="0b2545"/>
          <w:spacing w:val="7"/>
          <w:sz w:val="40"/>
        </w:rPr>
        <w:t>十、工程质量</w:t>
      </w:r>
      <w:bookmarkEnd w:id="37"/>
    </w:p>
    <w:p w14:paraId="5190B39D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38" w:name="section-10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10.1 构建与裁剪</w:t>
      </w:r>
      <w:bookmarkEnd w:id="38"/>
    </w:p>
    <w:p w14:paraId="49F15B4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未裁剪的函数产物约 180 MiB，超过平台上限。构建后执行裁剪：去掉仅用于构建的依赖、类型声明、源码映射与示例资源，保留运行期真正读取的模板与静态资源。裁剪发生在打包完成、上传之前，因此不能使用控制台的仓库导入，只能走脚本或持续集成。</w:t>
      </w:r>
    </w:p>
    <w:p w14:paraId="409F076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裁剪脚本带自检：模板目录为空即判定构建失败，避免带着缺失资源上线。这个问题曾经导致生成接口返回「模板未找到」，现在被前移到了构建阶段。</w:t>
      </w:r>
    </w:p>
    <w:p w14:paraId="3D21BFD8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39" w:name="section-10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10.2 自动化门禁</w:t>
      </w:r>
      <w:bookmarkEnd w:id="39"/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5815"/>
      </w:tblGrid>
      <w:tr>
        <w:trPr>
          <w:tblHeader w:val="1"/>
        </w:trPr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5CA1C4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门禁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94A24C9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拦截的问题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92B9C2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函数超时校验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59E90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配置缺失或低于阈值时中止部署，防止静默退回默认值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EC6288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产物泄露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CCC727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函数包中出现白名单外变量或凭据取值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054D2D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加速区域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3E8666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项目区域与预期不符时中止，避免把大陆节点带上线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52386E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校名字面量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854379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界面出现硬编码的其他院校名称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DC5F0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上游品牌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CC482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出站内容出现上游项目标识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674496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文档数字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051AC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参赛材料中的行数、体积、项数与实测不一致</w:t>
            </w:r>
          </w:p>
        </w:tc>
      </w:tr>
    </w:tbl>
    <w:p w14:paraId="28DC5BA4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40" w:name="section-10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10.3 测试体系</w:t>
      </w:r>
      <w:bookmarkEnd w:id="40"/>
    </w:p>
    <w:p w14:paraId="0B6BD0E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单元测试一百六十余例，集中在三块：物理域的计算与路由、账号与会话、部署脚本的门禁逻辑。端到端自检脚本覆盖二十五项，包含关键路由、客户端资源、构建号一致性、门禁三态与模型供给。</w:t>
      </w:r>
    </w:p>
    <w:p w14:paraId="76636E9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角色门禁有专门的回归用例：学生访问教师路径、访问不存在的视图、教师访问学生路径，三种情况都必须回到本角色首页。这条规则曾经被「未知视图」绕过，现在由纯函数判定，不依赖路由表是否命中。</w:t>
      </w:r>
    </w:p>
    <w:p w14:paraId="664CB604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41" w:name="section-11"/>
      <w:r>
        <w:rPr>
          <w:rFonts w:hint="eastAsia" w:ascii="PingFang SC" w:hAnsi="PingFang SC" w:eastAsia="PingFang SC" w:cs="PingFang SC"/>
          <w:b w:val="1"/>
          <w:color w:val="0b2545"/>
          <w:spacing w:val="7"/>
          <w:sz w:val="40"/>
        </w:rPr>
        <w:t>十一、部署与运维</w:t>
      </w:r>
      <w:bookmarkEnd w:id="41"/>
    </w:p>
    <w:p w14:paraId="52E84F94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42" w:name="section-11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11.1 环境与配置</w:t>
      </w:r>
      <w:bookmarkEnd w:id="42"/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24"/>
        <w:gridCol w:w="5482"/>
      </w:tblGrid>
      <w:tr>
        <w:trPr>
          <w:tblHeader w:val="1"/>
        </w:trPr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D852F9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变量</w:t>
            </w:r>
          </w:p>
        </w:tc>
        <w:tc>
          <w:tcPr>
            <w:tcW w:w="548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4A6EFA9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用途</w:t>
            </w:r>
          </w:p>
        </w:tc>
      </w:tr>
      <w:tr>
        <w:trPr/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0D8CD77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MAKERS_MODELS_KEY</w:t>
            </w:r>
          </w:p>
        </w:tc>
        <w:tc>
          <w:tcPr>
            <w:tcW w:w="548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2A1A9C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模型网关鉴权</w:t>
            </w:r>
          </w:p>
        </w:tc>
      </w:tr>
      <w:tr>
        <w:trPr/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654D2FC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MAKERS_MODELS</w:t>
            </w:r>
          </w:p>
        </w:tc>
        <w:tc>
          <w:tcPr>
            <w:tcW w:w="548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BD3D36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模型白名单</w:t>
            </w:r>
          </w:p>
        </w:tc>
      </w:tr>
      <w:tr>
        <w:trPr/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5A0B81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DEFAULT_MODEL</w:t>
            </w:r>
          </w:p>
        </w:tc>
        <w:tc>
          <w:tcPr>
            <w:tcW w:w="548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7BD751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默认模型串，含厂商前缀</w:t>
            </w:r>
          </w:p>
        </w:tc>
      </w:tr>
      <w:tr>
        <w:trPr/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2463EC1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PARALLEL_SCENE_CONCURRENCY</w:t>
            </w:r>
          </w:p>
        </w:tc>
        <w:tc>
          <w:tcPr>
            <w:tcW w:w="548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CA37A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生成并发度，未设置时按部署形态取默认值</w:t>
            </w:r>
          </w:p>
        </w:tc>
      </w:tr>
    </w:tbl>
    <w:p w14:paraId="07034EFD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43" w:name="section-11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11.2 发布流程</w:t>
      </w:r>
      <w:bookmarkEnd w:id="43"/>
    </w:p>
    <w:p w14:paraId="1822A98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本地发布执行一条命令，脚本按构建、裁剪、门禁、区域核对、上传的顺序推进，任一步失败即中止。持续集成侧由仓库推送触发，在托管 runner 上执行同一条流水线，产物与本地一致。</w:t>
      </w:r>
    </w:p>
    <w:p w14:paraId="7F0F3E2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发布完成后脚本会预热函数，确认健康检查返回预期状态，再结束流程。</w:t>
      </w:r>
    </w:p>
    <w:p w14:paraId="0D3E8ECE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44" w:name="section-11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11.3 排障要点</w:t>
      </w:r>
      <w:bookmarkEnd w:id="44"/>
    </w:p>
    <w:p w14:paraId="222DF9B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三类问题在现场最容易遇到。</w:t>
      </w:r>
    </w:p>
    <w:p w14:paraId="51D85319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接口超时。</w:t>
      </w:r>
      <w:r>
        <w:rPr>
          <w:rFonts w:hint="eastAsia" w:ascii="Songti SC" w:hAnsi="Songti SC" w:eastAsia="Songti SC" w:cs="Songti SC"/>
          <w:color w:val="1f2937"/>
          <w:sz w:val="21"/>
        </w:rPr>
        <w:t>先看函数执行时长配置是否生效，再看单次生成的场景数量。场景越多，单请求越接近上限。</w:t>
      </w:r>
    </w:p>
    <w:p w14:paraId="68911F63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模型无响应。</w:t>
      </w:r>
      <w:r>
        <w:rPr>
          <w:rFonts w:hint="eastAsia" w:ascii="Songti SC" w:hAnsi="Songti SC" w:eastAsia="Songti SC" w:cs="Songti SC"/>
          <w:color w:val="1f2937"/>
          <w:sz w:val="21"/>
        </w:rPr>
        <w:t>检查网关凭据与模型白名单；额度耗尽时接口会返回明确的配额错误，等窗口刷新即可恢复。</w:t>
      </w:r>
    </w:p>
    <w:p w14:paraId="310559E6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部署失败。</w:t>
      </w:r>
      <w:r>
        <w:rPr>
          <w:rFonts w:hint="eastAsia" w:ascii="Songti SC" w:hAnsi="Songti SC" w:eastAsia="Songti SC" w:cs="Songti SC"/>
          <w:color w:val="1f2937"/>
          <w:sz w:val="21"/>
        </w:rPr>
        <w:t>优先看体积与泄露两道门禁的输出，它们会指出具体是哪个依赖或哪个变量。</w:t>
      </w:r>
    </w:p>
    <w:p w14:paraId="06C65C6A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45" w:name="section-12"/>
      <w:r>
        <w:rPr>
          <w:rFonts w:hint="eastAsia" w:ascii="PingFang SC" w:hAnsi="PingFang SC" w:eastAsia="PingFang SC" w:cs="PingFang SC"/>
          <w:b w:val="1"/>
          <w:color w:val="0b2545"/>
          <w:spacing w:val="7"/>
          <w:sz w:val="40"/>
        </w:rPr>
        <w:t>十二、演进规划</w:t>
      </w:r>
      <w:bookmarkEnd w:id="45"/>
    </w:p>
    <w:p w14:paraId="2F3FC7C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近期计划集中在三处。其一是把生成过程的分步进度做得更细，让学生知道当前停在哪一步。其二是把课堂数据做成可导出的包，便于教师之间共享。其三是补齐移动端的只读视图，方便学生在手机上查看报告。</w:t>
      </w:r>
    </w:p>
    <w:p w14:paraId="62E14364">
      <w:pPr>
        <w:spacing w:before="105" w:after="105" w:line="432"/>
        <w:ind w:left="105" w:right="105"/>
        <w:jc w:val="both"/>
        <w:rPr>
          <w:color w:val="1f2937"/>
        </w:rPr>
        <w:sectPr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  <w:r>
        <w:rPr>
          <w:rFonts w:hint="eastAsia" w:ascii="Songti SC" w:hAnsi="Songti SC" w:eastAsia="Songti SC" w:cs="Songti SC"/>
          <w:color w:val="1f2937"/>
          <w:sz w:val="21"/>
        </w:rPr>
        <w:t>中期考虑引入服务端存储，解决换设备不同步的问题。这会改变「本地优先」的边界，需要重新设计同步策略与冲突处理，因此放在课堂生成链路稳定之后。</w:t>
      </w:r>
    </w:p>
    <w:p w14:paraId="0C2EA265"/>
    <w:sectPr/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toc 2" w:uiPriority="39" w:semiHidden="1" w:unhideWhenUsed="1"/>
    <w:lsdException w:name="toc 3" w:uiPriority="39" w:semiHidden="1" w:unhideWhenUsed="1"/>
    <w:lsdException w:name="List Continue 2" w:semiHidden="1" w:unhideWhenUsed="1"/>
    <w:lsdException w:name="List Number 5" w:semiHidden="1" w:unhideWhenUsed="1"/>
    <w:lsdException w:name="index heading" w:semiHidden="1" w:unhideWhenUsed="1"/>
    <w:lsdException w:name="List Continue" w:semiHidden="1" w:unhideWhenUsed="1"/>
    <w:lsdException w:name="toc 8" w:uiPriority="39" w:semiHidden="1" w:unhideWhenUsed="1"/>
    <w:lsdException w:name="List Continue 4" w:semiHidden="1" w:unhideWhenUsed="1"/>
    <w:lsdException w:name="List 4" w:semiHidden="1" w:unhideWhenUsed="1"/>
    <w:lsdException w:name="Closing" w:semiHidden="1" w:unhideWhenUsed="1"/>
    <w:lsdException w:name="footer" w:semiHidden="1" w:unhideWhenUsed="1"/>
    <w:lsdException w:name="List 5" w:semiHidden="1" w:unhideWhenUsed="1"/>
    <w:lsdException w:name="index 2" w:semiHidden="1" w:unhideWhenUsed="1"/>
    <w:lsdException w:name="toa heading" w:semiHidden="1" w:unhideWhenUsed="1"/>
    <w:lsdException w:name="toc 9" w:uiPriority="39" w:semiHidden="1" w:unhideWhenUsed="1"/>
    <w:lsdException w:name="index 8" w:semiHidden="1" w:unhideWhenUsed="1"/>
    <w:lsdException w:name="heading 5" w:uiPriority="9" w:semiHidden="1" w:unhideWhenUsed="1" w:qFormat="1"/>
    <w:lsdException w:name="heading 4" w:uiPriority="9" w:semiHidden="1" w:unhideWhenUsed="1" w:qFormat="1"/>
    <w:lsdException w:name="List 2" w:semiHidden="1" w:unhideWhenUsed="1"/>
    <w:lsdException w:name="heading 6" w:uiPriority="9" w:semiHidden="1" w:unhideWhenUsed="1" w:qFormat="1"/>
    <w:lsdException w:name="heading 8" w:uiPriority="9" w:semiHidden="1" w:unhideWhenUsed="1" w:qFormat="1"/>
    <w:lsdException w:name="endnote text" w:semiHidden="1" w:unhideWhenUsed="1"/>
    <w:lsdException w:name="caption" w:uiPriority="35" w:semiHidden="1" w:unhideWhenUsed="1" w:qFormat="1"/>
    <w:lsdException w:name="envelope return" w:semiHidden="1" w:unhideWhenUsed="1"/>
    <w:lsdException w:name="annotation text" w:semiHidden="1" w:unhideWhenUsed="1"/>
    <w:lsdException w:name="Signature" w:semiHidden="1" w:unhideWhenUsed="1"/>
    <w:lsdException w:name="List Bullet 2" w:semiHidden="1" w:unhideWhenUsed="1"/>
    <w:lsdException w:name="table of figures" w:semiHidden="1" w:unhideWhenUsed="1"/>
    <w:lsdException w:name="footnote reference" w:semiHidden="1" w:unhideWhenUsed="1"/>
    <w:lsdException w:name="index 1" w:semiHidden="1" w:unhideWhenUsed="1"/>
    <w:lsdException w:name="List Number" w:semiHidden="1" w:unhideWhenUsed="1"/>
    <w:lsdException w:name="index 6" w:semiHidden="1" w:unhideWhenUsed="1"/>
    <w:lsdException w:name="Body Text First Indent 2" w:semiHidden="1" w:unhideWhenUsed="1"/>
    <w:lsdException w:name="Date" w:semiHidden="1" w:unhideWhenUsed="1"/>
    <w:lsdException w:name="List Bullet 5" w:semiHidden="1" w:unhideWhenUsed="1"/>
    <w:lsdException w:name="List Continue 3" w:semiHidden="1" w:unhideWhenUsed="1"/>
    <w:lsdException w:name="index 7" w:semiHidden="1" w:unhideWhenUsed="1"/>
    <w:lsdException w:name="Body Text First Indent" w:semiHidden="1" w:unhideWhenUsed="1"/>
    <w:lsdException w:name="footnote text" w:semiHidden="1" w:unhideWhenUsed="1"/>
    <w:lsdException w:name="List" w:semiHidden="1" w:unhideWhenUsed="1"/>
    <w:lsdException w:name="Body Text 3" w:semiHidden="1" w:unhideWhenUsed="1"/>
    <w:lsdException w:name="heading 1" w:uiPriority="9" w:qFormat="1"/>
    <w:lsdException w:name="index 9" w:semiHidden="1" w:unhideWhenUsed="1"/>
    <w:lsdException w:name="macro" w:semiHidden="1" w:unhideWhenUsed="1"/>
    <w:lsdException w:name="line number" w:semiHidden="1" w:unhideWhenUsed="1"/>
    <w:lsdException w:name="List Bullet 3" w:semiHidden="1" w:unhideWhenUsed="1"/>
    <w:lsdException w:name="Salutation" w:semiHidden="1" w:unhideWhenUsed="1"/>
    <w:lsdException w:name="Normal Indent" w:semiHidden="1" w:unhideWhenUsed="1"/>
    <w:lsdException w:name="List Continue 5" w:semiHidden="1" w:unhideWhenUsed="1"/>
    <w:lsdException w:name="heading 3" w:uiPriority="9" w:semiHidden="1" w:unhideWhenUsed="1" w:qFormat="1"/>
    <w:lsdException w:name="toc 1" w:uiPriority="39" w:semiHidden="1" w:unhideWhenUsed="1"/>
    <w:lsdException w:name="FollowedHyperlink" w:semiHidden="1" w:unhideWhenUsed="1"/>
    <w:lsdException w:name="Body Text Indent 3" w:semiHidden="1" w:unhideWhenUsed="1"/>
    <w:lsdException w:name="Body Text" w:semiHidden="1" w:unhideWhenUsed="1"/>
    <w:lsdException w:name="Title" w:uiPriority="10" w:qFormat="1"/>
    <w:lsdException w:name="toc 6" w:uiPriority="39" w:semiHidden="1" w:unhideWhenUsed="1"/>
    <w:lsdException w:name="toc 5" w:uiPriority="39" w:semiHidden="1" w:unhideWhenUsed="1"/>
    <w:lsdException w:name="endnote reference" w:semiHidden="1" w:unhideWhenUsed="1"/>
    <w:lsdException w:name="Message Header" w:semiHidden="1" w:unhideWhenUsed="1"/>
    <w:lsdException w:name="heading 9" w:uiPriority="9" w:semiHidden="1" w:unhideWhenUsed="1" w:qFormat="1"/>
    <w:lsdException w:name="toc 7" w:uiPriority="39" w:semiHidden="1" w:unhideWhenUsed="1"/>
    <w:lsdException w:name="table of authorities" w:semiHidden="1" w:unhideWhenUsed="1"/>
    <w:lsdException w:name="List Bullet" w:semiHidden="1" w:unhideWhenUsed="1"/>
    <w:lsdException w:name="toc 4" w:uiPriority="39" w:semiHidden="1" w:unhideWhenUsed="1"/>
    <w:lsdException w:name="index 3" w:semiHidden="1" w:unhideWhenUsed="1"/>
    <w:lsdException w:name="header" w:semiHidden="1" w:unhideWhenUsed="1"/>
    <w:lsdException w:name="heading 7" w:uiPriority="9" w:semiHidden="1" w:unhideWhenUsed="1" w:qFormat="1"/>
    <w:lsdException w:name="Body Text Indent 2" w:semiHidden="1" w:unhideWhenUsed="1"/>
    <w:lsdException w:name="Default Paragraph Font" w:uiPriority="1" w:semiHidden="1" w:unhideWhenUsed="1"/>
    <w:lsdException w:name="Strong" w:uiPriority="22" w:qFormat="1"/>
    <w:lsdException w:name="index 4" w:semiHidden="1" w:unhideWhenUsed="1"/>
    <w:lsdException w:name="Note Heading" w:semiHidden="1" w:unhideWhenUsed="1"/>
    <w:lsdException w:name="List Number 2" w:semiHidden="1" w:unhideWhenUsed="1"/>
    <w:lsdException w:name="List 3" w:semiHidden="1" w:unhideWhenUsed="1"/>
    <w:lsdException w:name="List Number 4" w:semiHidden="1" w:unhideWhenUsed="1"/>
    <w:lsdException w:name="Subtitle" w:uiPriority="11" w:qFormat="1"/>
    <w:lsdException w:name="Block Text" w:semiHidden="1" w:unhideWhenUsed="1"/>
    <w:lsdException w:name="List Number 3" w:semiHidden="1" w:unhideWhenUsed="1"/>
    <w:lsdException w:name="annotation reference" w:semiHidden="1" w:unhideWhenUsed="1"/>
    <w:lsdException w:name="Normal" w:uiPriority="0" w:qFormat="1"/>
    <w:lsdException w:name="Body Text Indent" w:semiHidden="1" w:unhideWhenUsed="1"/>
    <w:lsdException w:name="envelope address" w:semiHidden="1" w:unhideWhenUsed="1"/>
    <w:lsdException w:name="index 5" w:semiHidden="1" w:unhideWhenUsed="1"/>
    <w:lsdException w:name="Hyperlink" w:semiHidden="1" w:unhideWhenUsed="1"/>
    <w:lsdException w:name="page number" w:semiHidden="1" w:unhideWhenUsed="1"/>
    <w:lsdException w:name="Body Text 2" w:semiHidden="1" w:unhideWhenUsed="1"/>
    <w:lsdException w:name="List Bullet 4" w:semiHidden="1" w:unhideWhenUsed="1"/>
    <w:lsdException w:name="heading 2" w:uiPriority="9" w:semiHidden="1" w:unhideWhenUsed="1" w:qFormat="1"/>
  </w:latentStyles>
  <w:style w:type="paragraph" w:styleId="000002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000004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3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  <w:style w:type="paragraph" w:styleId="000005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9" Type="http://schemas.openxmlformats.org/officeDocument/2006/relationships/image" Target="media/image5.png"/><Relationship Id="rId5" Type="http://schemas.openxmlformats.org/officeDocument/2006/relationships/image" Target="media/image1.png"/><Relationship Id="rId2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1" Type="http://schemas.openxmlformats.org/officeDocument/2006/relationships/settings" Target="settings.xml"/><Relationship Id="rId6" Type="http://schemas.openxmlformats.org/officeDocument/2006/relationships/image" Target="media/image2.png"/><Relationship Id="rId10" Type="http://schemas.openxmlformats.org/officeDocument/2006/relationships/image" Target="media/image6.png"/><Relationship Id="rId0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2026-10-25T19:00:20Z</dcterms:created>
  <dcterms:modified xsi:type="dcterms:W3CDTF">2026-10-25T19:00:20Z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"01a172ad01847a7796a886de24693ca1", "ReservedCode1": "", "ContentPropagator": "00119111010856365494821B355", "PropagateID": "01a172ad01847a7796a886de24693ca1", "ReservedCode2": ""}}</vt:lpwstr>
  </property>
</Properties>
</file>