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0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r="http://schemas.openxmlformats.org/officeDocument/2006/relationships" xmlns:pic="http://schemas.openxmlformats.org/drawingml/2006/picture" xmlns:wp="http://schemas.openxmlformats.org/drawingml/2006/wordprocessingDrawing" xmlns:w="http://schemas.openxmlformats.org/wordprocessingml/2006/main" xmlns:a="http://schemas.openxmlformats.org/drawingml/2006/main" xmlns:mc="http://schemas.openxmlformats.org/markup-compatibility/2006" mc:Ignorable="w14">
  <w:body>
    <w:p w14:paraId="0FF6C872">
      <w:pPr>
        <w:spacing w:line="432"/>
        <w:jc w:val="left"/>
        <w:rPr>
          <w:color w:val="64748b"/>
        </w:rPr>
      </w:pPr>
      <w:r>
        <w:rPr>
          <w:rFonts w:hint="eastAsia" w:ascii="PingFang SC" w:hAnsi="PingFang SC" w:eastAsia="PingFang SC" w:cs="PingFang SC"/>
          <w:color w:val="64748b"/>
          <w:spacing w:val="120"/>
          <w:sz w:val="24"/>
        </w:rPr>
        <w:t>长江大学文理学院</w:t>
      </w:r>
    </w:p>
    <w:p w14:paraId="18C9ED22">
      <w:pPr>
        <w:spacing w:before="300" w:after="300" w:line="300"/>
        <w:ind w:left="300" w:right="300"/>
        <w:jc w:val="left"/>
        <w:rPr>
          <w:color w:val="0b2545"/>
        </w:rPr>
      </w:pPr>
      <w:r>
        <w:rPr>
          <w:rFonts w:hint="eastAsia" w:ascii="PingFang SC" w:hAnsi="PingFang SC" w:eastAsia="PingFang SC" w:cs="PingFang SC"/>
          <w:b w:val="1"/>
          <w:color w:val="0b2545"/>
          <w:sz w:val="68"/>
        </w:rPr>
        <w:t>大学物理 AI 智慧课堂</w:t>
      </w:r>
    </w:p>
    <w:p w14:paraId="0A92C92E">
      <w:pPr>
        <w:spacing w:after="900" w:line="432"/>
        <w:jc w:val="left"/>
        <w:rPr>
          <w:color w:val="2f6fb3"/>
        </w:rPr>
      </w:pPr>
      <w:r>
        <w:rPr>
          <w:rFonts w:hint="eastAsia" w:ascii="PingFang SC" w:hAnsi="PingFang SC" w:eastAsia="PingFang SC" w:cs="PingFang SC"/>
          <w:color w:val="2f6fb3"/>
          <w:sz w:val="34"/>
        </w:rPr>
        <w:t>产品与技术文档</w:t>
      </w:r>
    </w:p>
    <w:p w14:paraId="60A49EAB">
      <w:pPr>
        <w:spacing w:line="528"/>
        <w:jc w:val="left"/>
        <w:rPr>
          <w:color w:val="475569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ongti SC" w:hAnsi="Songti SC" w:eastAsia="Songti SC" w:cs="Songti SC"/>
          <w:color w:val="475569"/>
          <w:sz w:val="20"/>
        </w:rPr>
        <w:t xml:space="preserve"> 文档版本　V1.0</w:t>
      </w:r>
      <w:r>
        <w:rPr>
          <w:rFonts w:ascii="Songti SC" w:hAnsi="Songti SC" w:eastAsia="Songti SC" w:cs="Songti SC"/>
        </w:rPr>
        <w:br w:type="textWrapping"/>
      </w:r>
      <w:r>
        <w:rPr>
          <w:rFonts w:hint="eastAsia" w:ascii="Songti SC" w:hAnsi="Songti SC" w:eastAsia="Songti SC" w:cs="Songti SC"/>
          <w:color w:val="475569"/>
          <w:sz w:val="20"/>
        </w:rPr>
        <w:t xml:space="preserve"> 适用系统　https://dun.xran.uk</w:t>
      </w:r>
      <w:r>
        <w:rPr>
          <w:rFonts w:ascii="Songti SC" w:hAnsi="Songti SC" w:eastAsia="Songti SC" w:cs="Songti SC"/>
        </w:rPr>
        <w:br w:type="textWrapping"/>
      </w:r>
      <w:r>
        <w:rPr>
          <w:rFonts w:hint="eastAsia" w:ascii="Songti SC" w:hAnsi="Songti SC" w:eastAsia="Songti SC" w:cs="Songti SC"/>
          <w:color w:val="475569"/>
          <w:sz w:val="20"/>
        </w:rPr>
        <w:t xml:space="preserve"> 技术栈　Next.js 16 · React 19 · EdgeOne Pages · Makers 模型网关</w:t>
      </w:r>
      <w:r>
        <w:rPr>
          <w:rFonts w:ascii="Songti SC" w:hAnsi="Songti SC" w:eastAsia="Songti SC" w:cs="Songti SC"/>
        </w:rPr>
        <w:br w:type="textWrapping"/>
      </w:r>
      <w:r>
        <w:rPr>
          <w:rFonts w:hint="eastAsia" w:ascii="Songti SC" w:hAnsi="Songti SC" w:eastAsia="Songti SC" w:cs="Songti SC"/>
          <w:color w:val="475569"/>
          <w:sz w:val="20"/>
        </w:rPr>
        <w:t xml:space="preserve"> 编制日期　2026 年 10 月 </w:t>
      </w:r>
    </w:p>
    <w:p w14:paraId="59803CE1">
      <w:pPr>
        <w:spacing w:before="240" w:after="120"/>
      </w:pPr>
      <w:r>
        <w:rPr>
          <w:rFonts w:hint="eastAsia" w:ascii="Songti SC" w:hAnsi="Songti SC" w:eastAsia="Songti SC" w:cs="Songti SC"/>
          <w:b w:val="1"/>
        </w:rPr>
        <w:t>目　录</w:t>
      </w:r>
    </w:p>
    <w:p w14:paraId="3C7D803F">
      <w:pPr>
        <w:pStyle w:val="000002"/>
        <w:tabs>
          <w:tab w:val="right" w:leader="dot" w:pos="9072"/>
        </w:tabs>
        <w:ind w:left="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TOC \o "1-2" \h \z \u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"section-1"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一、项目概述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section-1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615B6A50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"section-1-1"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1.1 建设背景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section-1-1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0632DC59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"section-1-2"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1.2 建设目标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section-1-2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2AD902A2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"section-1-3"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1.3 术语约定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section-1-3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518028FC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"section-1-4"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1.4 系统形态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section-1-4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41002CAC">
      <w:pPr>
        <w:pStyle w:val="000002"/>
        <w:tabs>
          <w:tab w:val="right" w:leader="dot" w:pos="9072"/>
        </w:tabs>
        <w:ind w:left="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"section-2"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二、需求分析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section-2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64DBDEFD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"section-2-1"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2.1 用户角色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section-2-1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0BF280C2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"section-2-2"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2.2 功能需求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section-2-2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4C969E6B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"section-2-3"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2.3 非功能需求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section-2-3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70645392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"section-2-4"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2.4 需求取舍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section-2-4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60247492">
      <w:pPr>
        <w:pStyle w:val="000002"/>
        <w:tabs>
          <w:tab w:val="right" w:leader="dot" w:pos="9072"/>
        </w:tabs>
        <w:ind w:left="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"section-3"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三、总体设计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section-3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055BE25B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"section-3-1"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3.1 设计原则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section-3-1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29721FC4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"section-3-2"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3.2 系统架构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section-3-2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5258D3F5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"section-3-3"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3.3 技术选型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section-3-3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7700A429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"section-3-4"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3.4 分层职责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section-3-4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6680A3FB">
      <w:pPr>
        <w:pStyle w:val="000002"/>
        <w:tabs>
          <w:tab w:val="right" w:leader="dot" w:pos="9072"/>
        </w:tabs>
        <w:ind w:left="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"section-4"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四、功能设计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section-4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6F7377E2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"section-4-1"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4.1 学生端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section-4-1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71A5023A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"section-4-2"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4.2 教师端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section-4-2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14762851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"section-4-3"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4.3 教学闭环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section-4-3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58AED326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"section-4-4"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4.4 视图与路由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section-4-4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04ECF705">
      <w:pPr>
        <w:pStyle w:val="000002"/>
        <w:tabs>
          <w:tab w:val="right" w:leader="dot" w:pos="9072"/>
        </w:tabs>
        <w:ind w:left="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"section-5"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五、关键技术实现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section-5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6C935A17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"section-5-1"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5.1 课堂生成链路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section-5-1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09A40CD6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"section-5-2"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5.2 并行调度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section-5-2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4DC8F943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"section-5-3"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5.3 流式输出与断点保留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section-5-3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4DA725F1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"section-5-4"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5.4 结构校验与修复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section-5-4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08ED392C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"section-5-5"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5.5 模型适配层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section-5-5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78DBD5FC">
      <w:pPr>
        <w:pStyle w:val="000002"/>
        <w:tabs>
          <w:tab w:val="right" w:leader="dot" w:pos="9072"/>
        </w:tabs>
        <w:ind w:left="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"section-6"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六、数据设计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section-6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25F2582D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"section-6-1"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6.1 数据模型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section-6-1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612EA570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"section-6-2"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6.2 账号与凭证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section-6-2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2217AD4E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"section-6-3"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6.3 快照与恢复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section-6-3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0D2544F9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"section-6-4"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6.4 数据生命周期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section-6-4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7DFBB88F">
      <w:pPr>
        <w:pStyle w:val="000002"/>
        <w:tabs>
          <w:tab w:val="right" w:leader="dot" w:pos="9072"/>
        </w:tabs>
        <w:ind w:left="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"section-7"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七、接口设计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section-7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189292F0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"section-7-1"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7.1 接口清单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section-7-1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1AE45722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"section-7-2"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7.2 请求与响应契约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section-7-2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47E7DB4B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"section-7-3"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7.3 访问控制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section-7-3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3725BE59">
      <w:pPr>
        <w:pStyle w:val="000002"/>
        <w:tabs>
          <w:tab w:val="right" w:leader="dot" w:pos="9072"/>
        </w:tabs>
        <w:ind w:left="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"section-8"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八、安全设计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section-8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50F38870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"section-8-1"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8.1 会话机制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section-8-1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7DC857BB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"section-8-2"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8.2 凭据管理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section-8-2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3848CBE4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"section-8-3"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8.3 内容与边界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section-8-3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648727D5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"section-8-4"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8.4 威胁模型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section-8-4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54016BF3">
      <w:pPr>
        <w:pStyle w:val="000002"/>
        <w:tabs>
          <w:tab w:val="right" w:leader="dot" w:pos="9072"/>
        </w:tabs>
        <w:ind w:left="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"section-9"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九、性能设计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section-9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7F4BFFAA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"section-9-1"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9.1 实测指标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section-9-1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1A6D4B80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"section-9-2"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9.2 性能模型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section-9-2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45ACE769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"section-9-3"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9.3 容量估算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section-9-3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69CEE374">
      <w:pPr>
        <w:pStyle w:val="000002"/>
        <w:tabs>
          <w:tab w:val="right" w:leader="dot" w:pos="9072"/>
        </w:tabs>
        <w:ind w:left="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"section-10"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十、工程质量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section-10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0C11C8C7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"section-10-1"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10.1 构建与裁剪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section-10-1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21935155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"section-10-2"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10.2 自动化门禁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section-10-2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21031DA8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"section-10-3"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10.3 测试体系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section-10-3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195D8182">
      <w:pPr>
        <w:pStyle w:val="000002"/>
        <w:tabs>
          <w:tab w:val="right" w:leader="dot" w:pos="9072"/>
        </w:tabs>
        <w:ind w:left="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"section-11"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十一、部署与运维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section-11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271F69AE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"section-11-1"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11.1 环境与配置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section-11-1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27972D6D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"section-11-2"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11.2 发布流程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section-11-2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</w:p>
    <w:p w14:paraId="4415FAFB">
      <w:pPr>
        <w:pStyle w:val="000003"/>
        <w:tabs>
          <w:tab w:val="right" w:leader="dot" w:pos="9072"/>
        </w:tabs>
        <w:ind w:left="200"/>
      </w:pP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HYPERLINK \l "section-11-3"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hint="eastAsia" w:ascii="Songti SC" w:hAnsi="Songti SC" w:eastAsia="Songti SC" w:cs="Songti SC"/>
        </w:rPr>
        <w:t>11.3 排障要点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tab/>
      </w:r>
      <w:r>
        <w:rPr>
          <w:rFonts w:ascii="Songti SC" w:hAnsi="Songti SC" w:eastAsia="Songti SC" w:cs="Songti SC"/>
        </w:rPr>
        <w:fldChar w:fldCharType="begin" w:fldLock="0" w:dirty="0"/>
      </w:r>
      <w:r>
        <w:rPr>
          <w:rFonts w:ascii="Songti SC" w:hAnsi="Songti SC" w:eastAsia="Songti SC" w:cs="Songti SC"/>
        </w:rPr>
        <w:instrText xml:space="preserve"> PAGEREF section-11-3 \h </w:instrText>
      </w:r>
      <w:r>
        <w:rPr>
          <w:rFonts w:ascii="Songti SC" w:hAnsi="Songti SC" w:eastAsia="Songti SC" w:cs="Songti SC"/>
        </w:rPr>
        <w:fldChar w:fldCharType="separate" w:fldLock="0" w:dirty="0"/>
      </w:r>
      <w:r>
        <w:rPr>
          <w:rFonts w:ascii="Songti SC" w:hAnsi="Songti SC" w:eastAsia="Songti SC" w:cs="Songti SC"/>
        </w:rPr>
        <w:t>1</w:t>
      </w:r>
      <w:r>
        <w:rPr>
          <w:rFonts w:ascii="Songti SC" w:hAnsi="Songti SC" w:eastAsia="Songti SC" w:cs="Songti SC"/>
        </w:rPr>
        <w:fldChar w:fldCharType="end" w:fldLock="0" w:dirty="0"/>
      </w:r>
      <w:r>
        <w:rPr>
          <w:rFonts w:ascii="Songti SC" w:hAnsi="Songti SC" w:eastAsia="Songti SC" w:cs="Songti SC"/>
        </w:rPr>
        <w:fldChar w:fldCharType="end" w:fldLock="0" w:dirty="0"/>
      </w:r>
    </w:p>
    <w:p w14:paraId="625DDAF4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37D6BB77">
      <w:pPr>
        <w:pStyle w:val="000004"/>
        <w:keepNext w:val="1"/>
        <w:keepLines w:val="1"/>
        <w:pBdr>
          <w:bottom w:val="single" w:color="12386e" w:sz="12"/>
        </w:pBdr>
        <w:spacing w:before="510" w:beforeAutospacing="1" w:after="510" w:afterAutospacing="1" w:line="432"/>
        <w:ind w:left="510" w:right="510"/>
        <w:outlineLvl w:val="0"/>
        <w:rPr>
          <w:color w:val="0b2545"/>
          <w:kern w:val="44"/>
          <w:sz w:val="44"/>
          <w:szCs w:val="44"/>
        </w:rPr>
      </w:pPr>
      <w:bookmarkStart w:id="1" w:name="section-1"/>
      <w:r>
        <w:rPr>
          <w:rFonts w:hint="eastAsia" w:ascii="PingFang SC" w:hAnsi="PingFang SC" w:eastAsia="PingFang SC" w:cs="PingFang SC"/>
          <w:b w:val="1"/>
          <w:color w:val="0b2545"/>
          <w:spacing w:val="7"/>
          <w:sz w:val="40"/>
        </w:rPr>
        <w:t>一、项目概述</w:t>
      </w:r>
      <w:bookmarkEnd w:id="1"/>
    </w:p>
    <w:p w14:paraId="47D803FB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2" w:name="section-1-1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1.1 建设背景</w:t>
      </w:r>
      <w:bookmarkEnd w:id="2"/>
    </w:p>
    <w:p w14:paraId="0D873023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大学物理是理工科的基础课，课时紧、概念密，学生对抽象模型的掌握程度差异很大。同一个班里，有人卡在受力分析，有人卡在刚体转动，还有人只是不会把公式代进具体情境。任课教师面对几十名学生，能拿到的信号通常只有作业和期末成绩，中间过程是空白的：谁在哪一章掉队、哪次实验没做、哪道题反复错，往往要到期中之后才浮现，此时再调整教学节奏已经偏晚。</w:t>
      </w:r>
    </w:p>
    <w:p w14:paraId="59483770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造成这种空白的原因不是教师不关心，而是过程数据没有被结构化地留下来。纸面作业、课堂提问、实验报告分散在不同载体上，缺少统一的标识把人、章节、任务对应起来，也就无法聚合成可比较的画像。真正可用的教学证据需要三个条件同时成立：行为发生时即被记录、记录能落到具体知识点、记录能按学生聚合。三者缺一，数据就只是日志。</w:t>
      </w:r>
    </w:p>
    <w:p w14:paraId="15C85AF0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市面上的教学平台大多只解决其中一段：题库解决练，资源库解决看，AI 助手解决问。但课程章节、班级名单、评价标准仍然散落在各个系统里，教师要在几处之间来回切换，学生也要记住不同入口。更关键的是，这些系统之间不共享同一套知识结构，导致"练过的题"与"讲过的章"对不上，画像自然无从谈起。本项目把这些环节收进一个工作台，让学生端和教师端共用同一套账号、同一份课程结构和同一条证据链。</w:t>
      </w:r>
    </w:p>
    <w:p w14:paraId="54378502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另一条线索来自生成式模型的能力变化。过去做一节课的数字化材料，需要教师自己写大纲、找素材、排版面、配解说，一节课的准备工作以小时计。现在一句需求就可以生成包含大纲、画面与讲稿的完整课堂，教师的工作从"生产"转为"挑选与修订"。这一转变对系统提出的要求不是更强的模型，而是更稳的工程：生成的中间结果要能看见、能中断、能局部重做，否则等待时间会把效率优势抵消掉。</w:t>
      </w:r>
    </w:p>
    <w:p w14:paraId="64B8CD70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3" w:name="section-1-2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1.2 建设目标</w:t>
      </w:r>
      <w:bookmarkEnd w:id="3"/>
    </w:p>
    <w:p w14:paraId="722A1E46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系统围绕三个目标建设，三者互为支撑，缺一项都会让闭环断开。</w:t>
      </w:r>
    </w:p>
    <w:p w14:paraId="30ECD09A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b w:val="1"/>
          <w:color w:val="1f2937"/>
          <w:sz w:val="21"/>
        </w:rPr>
        <w:t>把学习过程变成可读的证据。</w:t>
      </w:r>
      <w:r>
        <w:rPr>
          <w:rFonts w:hint="eastAsia" w:ascii="Songti SC" w:hAnsi="Songti SC" w:eastAsia="Songti SC" w:cs="Songti SC"/>
          <w:color w:val="1f2937"/>
          <w:sz w:val="21"/>
        </w:rPr>
        <w:t>诊断、闯关、实验、问答四类行为都留下记录，按学生聚合，形成可复核的学习报告。四类记录分别对应"知道什么""会做什么""观察到什么""问过什么"，覆盖了认知与实践两个侧面。每条记录都带时间戳与所属知识点，因此报告不只是结果清单，还能还原出学习路径的先后顺序。</w:t>
      </w:r>
    </w:p>
    <w:p w14:paraId="106CCF76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b w:val="1"/>
          <w:color w:val="1f2937"/>
          <w:sz w:val="21"/>
        </w:rPr>
        <w:t>让教师保留判断权。</w:t>
      </w:r>
      <w:r>
        <w:rPr>
          <w:rFonts w:hint="eastAsia" w:ascii="Songti SC" w:hAnsi="Songti SC" w:eastAsia="Songti SC" w:cs="Songti SC"/>
          <w:color w:val="1f2937"/>
          <w:sz w:val="21"/>
        </w:rPr>
        <w:t>AI 给出建议分与建议方向，复核分和理由始终由教师填写，并且覆盖建议值。这一约束是刻意的：教学评价涉及学生切身利益，模型只能作为参照，不能成为裁决者。系统在交互上强制执行这一点——理由为空时保存按钮不生效，从流程上杜绝"一键采纳"。</w:t>
      </w:r>
    </w:p>
    <w:p w14:paraId="15B6A508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b w:val="1"/>
          <w:color w:val="1f2937"/>
          <w:sz w:val="21"/>
        </w:rPr>
        <w:t>把备课成本降下来。</w:t>
      </w:r>
      <w:r>
        <w:rPr>
          <w:rFonts w:hint="eastAsia" w:ascii="Songti SC" w:hAnsi="Songti SC" w:eastAsia="Songti SC" w:cs="Songti SC"/>
          <w:color w:val="1f2937"/>
          <w:sz w:val="21"/>
        </w:rPr>
        <w:t>一句需求即可生成一堂可播放的课，覆盖大纲、讲稿与画面，教师只需调整内容而不必从零排版。生成过程被拆成可观察的四个阶段，每个阶段的产物都能单独检视；某个场景不满意时只重做那一场，不必整堂课重来。</w:t>
      </w:r>
    </w:p>
    <w:p w14:paraId="263FAF7D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4" w:name="section-1-3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1.3 术语约定</w:t>
      </w:r>
      <w:bookmarkEnd w:id="4"/>
    </w:p>
    <w:p w14:paraId="28C859CE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为避免同一概念在不同章节里指代不同对象，先统一以下术语。后续章节一律按此含义使用。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7"/>
        <w:gridCol w:w="6479"/>
      </w:tblGrid>
      <w:tr>
        <w:trPr>
          <w:tblHeader w:val="1"/>
        </w:trPr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013FA4C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术语</w:t>
            </w:r>
          </w:p>
        </w:tc>
        <w:tc>
          <w:tcPr>
            <w:tcW w:w="647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F335C72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含义</w:t>
            </w:r>
          </w:p>
        </w:tc>
      </w:tr>
      <w:tr>
        <w:trPr/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00282A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视图</w:t>
            </w:r>
          </w:p>
        </w:tc>
        <w:tc>
          <w:tcPr>
            <w:tcW w:w="647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D9F5A8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工作台内的一个功能页面，通过左侧导航切换，对应一个路由。</w:t>
            </w:r>
          </w:p>
        </w:tc>
      </w:tr>
      <w:tr>
        <w:trPr/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68780F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场景</w:t>
            </w:r>
          </w:p>
        </w:tc>
        <w:tc>
          <w:tcPr>
            <w:tcW w:w="647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EACCCC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课堂的最小播放单元，类型包括讲授页、测验、交互仿真与项目任务。</w:t>
            </w:r>
          </w:p>
        </w:tc>
      </w:tr>
      <w:tr>
        <w:trPr/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84BE87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预置课堂包</w:t>
            </w:r>
          </w:p>
        </w:tc>
        <w:tc>
          <w:tcPr>
            <w:tcW w:w="647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2F8A10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随系统内置的成品课堂，不依赖网络与模型额度，可直接播放。</w:t>
            </w:r>
          </w:p>
        </w:tc>
      </w:tr>
      <w:tr>
        <w:trPr/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E48618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过程证据</w:t>
            </w:r>
          </w:p>
        </w:tc>
        <w:tc>
          <w:tcPr>
            <w:tcW w:w="647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9828BB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学生在诊断、闯关、实验、问答中产生的记录，是学习报告的数据来源。</w:t>
            </w:r>
          </w:p>
        </w:tc>
      </w:tr>
      <w:tr>
        <w:trPr/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094F3CF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复核</w:t>
            </w:r>
          </w:p>
        </w:tc>
        <w:tc>
          <w:tcPr>
            <w:tcW w:w="647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22A659B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教师对 AI 建议分的确认或改写，必须填写理由。</w:t>
            </w:r>
          </w:p>
        </w:tc>
      </w:tr>
      <w:tr>
        <w:trPr/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9D9E9F0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门禁</w:t>
            </w:r>
          </w:p>
        </w:tc>
        <w:tc>
          <w:tcPr>
            <w:tcW w:w="647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C662022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构建、部署或请求链路上的一道自动检查，不满足条件即中止。</w:t>
            </w:r>
          </w:p>
        </w:tc>
      </w:tr>
      <w:tr>
        <w:trPr/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9314FDF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适配层</w:t>
            </w:r>
          </w:p>
        </w:tc>
        <w:tc>
          <w:tcPr>
            <w:tcW w:w="647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60391DE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业务代码与模型厂商协议之间的唯一入口，负责参数注入与错误归一。</w:t>
            </w:r>
          </w:p>
        </w:tc>
      </w:tr>
    </w:tbl>
    <w:p w14:paraId="59946514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5" w:name="section-1-4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1.4 系统形态</w:t>
      </w:r>
      <w:bookmarkEnd w:id="5"/>
    </w:p>
    <w:p w14:paraId="4AC8FFAA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系统以单站点形态交付，前端、接口与静态资源同域部署，不依赖独立的后端服务与数据库。下表是当前线上版本的关键规模指标，后续章节的设计取舍都以这组数字为约束条件。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90"/>
        <w:gridCol w:w="1661"/>
        <w:gridCol w:w="3655"/>
      </w:tblGrid>
      <w:tr>
        <w:trPr>
          <w:tblHeader w:val="1"/>
        </w:trPr>
        <w:tc>
          <w:tcPr>
            <w:tcW w:w="299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3EC1FEC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维度</w:t>
            </w:r>
          </w:p>
        </w:tc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491BF8E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规模</w:t>
            </w:r>
          </w:p>
        </w:tc>
        <w:tc>
          <w:tcPr>
            <w:tcW w:w="365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DCDDF88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说明</w:t>
            </w:r>
          </w:p>
        </w:tc>
      </w:tr>
      <w:tr>
        <w:trPr/>
        <w:tc>
          <w:tcPr>
            <w:tcW w:w="299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856C60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功能视图</w:t>
            </w:r>
          </w:p>
        </w:tc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514253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13 个</w:t>
            </w:r>
          </w:p>
        </w:tc>
        <w:tc>
          <w:tcPr>
            <w:tcW w:w="365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C0E7C51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学生端 8 个，教师端 5 个，全部预渲染</w:t>
            </w:r>
          </w:p>
        </w:tc>
      </w:tr>
      <w:tr>
        <w:trPr/>
        <w:tc>
          <w:tcPr>
            <w:tcW w:w="299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E49B8C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预置课堂包</w:t>
            </w:r>
          </w:p>
        </w:tc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575434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6 套</w:t>
            </w:r>
          </w:p>
        </w:tc>
        <w:tc>
          <w:tcPr>
            <w:tcW w:w="365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57A507E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不依赖网络与模型额度，可直接播放</w:t>
            </w:r>
          </w:p>
        </w:tc>
      </w:tr>
      <w:tr>
        <w:trPr/>
        <w:tc>
          <w:tcPr>
            <w:tcW w:w="299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7BD1CF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运行期路由</w:t>
            </w:r>
          </w:p>
        </w:tc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C6A329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65 条</w:t>
            </w:r>
          </w:p>
        </w:tc>
        <w:tc>
          <w:tcPr>
            <w:tcW w:w="365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1EF686E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页面路由、接口路由与静态资源路由合计</w:t>
            </w:r>
          </w:p>
        </w:tc>
      </w:tr>
      <w:tr>
        <w:trPr/>
        <w:tc>
          <w:tcPr>
            <w:tcW w:w="299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61C7EA1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客户端构建产物</w:t>
            </w:r>
          </w:p>
        </w:tc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D6D1076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41 个</w:t>
            </w:r>
          </w:p>
        </w:tc>
        <w:tc>
          <w:tcPr>
            <w:tcW w:w="365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1AACE3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脚本、样式与字体，全部经自检确认可达</w:t>
            </w:r>
          </w:p>
        </w:tc>
      </w:tr>
      <w:tr>
        <w:trPr/>
        <w:tc>
          <w:tcPr>
            <w:tcW w:w="299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3632E3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函数包体积</w:t>
            </w:r>
          </w:p>
        </w:tc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7F8819A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119.8 MiB</w:t>
            </w:r>
          </w:p>
        </w:tc>
        <w:tc>
          <w:tcPr>
            <w:tcW w:w="365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EB0A2B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平台上限 128 MiB，裁剪后留有余量</w:t>
            </w:r>
          </w:p>
        </w:tc>
      </w:tr>
      <w:tr>
        <w:trPr/>
        <w:tc>
          <w:tcPr>
            <w:tcW w:w="299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D37CC18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函数最大执行时长</w:t>
            </w:r>
          </w:p>
        </w:tc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EBF73AD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120 秒</w:t>
            </w:r>
          </w:p>
        </w:tc>
        <w:tc>
          <w:tcPr>
            <w:tcW w:w="365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871E04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平台上限，单场景生成需要此余量</w:t>
            </w:r>
          </w:p>
        </w:tc>
      </w:tr>
      <w:tr>
        <w:trPr/>
        <w:tc>
          <w:tcPr>
            <w:tcW w:w="299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5F0A13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单元测试</w:t>
            </w:r>
          </w:p>
        </w:tc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73A4D3C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160 余例</w:t>
            </w:r>
          </w:p>
        </w:tc>
        <w:tc>
          <w:tcPr>
            <w:tcW w:w="365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17AF0B2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物理域、账号会话、部署脚本三块</w:t>
            </w:r>
          </w:p>
        </w:tc>
      </w:tr>
      <w:tr>
        <w:trPr/>
        <w:tc>
          <w:tcPr>
            <w:tcW w:w="299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081B786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端到端自检</w:t>
            </w:r>
          </w:p>
        </w:tc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E4D578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25 项</w:t>
            </w:r>
          </w:p>
        </w:tc>
        <w:tc>
          <w:tcPr>
            <w:tcW w:w="365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0D72D6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路由、资源、构建号、门禁三态、模型供给</w:t>
            </w:r>
          </w:p>
        </w:tc>
      </w:tr>
      <w:tr>
        <w:trPr/>
        <w:tc>
          <w:tcPr>
            <w:tcW w:w="299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206F1D1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自动化门禁</w:t>
            </w:r>
          </w:p>
        </w:tc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BFC79CB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6 道</w:t>
            </w:r>
          </w:p>
        </w:tc>
        <w:tc>
          <w:tcPr>
            <w:tcW w:w="365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0025366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构建期 5 道，部署期 1 道，失败即中止</w:t>
            </w:r>
          </w:p>
        </w:tc>
      </w:tr>
    </w:tbl>
    <w:p w14:paraId="263A5BAB">
      <w:pPr>
        <w:pStyle w:val="000004"/>
        <w:keepNext w:val="1"/>
        <w:keepLines w:val="1"/>
        <w:pageBreakBefore/>
        <w:pBdr>
          <w:bottom w:val="single" w:color="12386e" w:sz="12"/>
        </w:pBdr>
        <w:spacing w:before="510" w:beforeAutospacing="1" w:after="510" w:afterAutospacing="1" w:line="432"/>
        <w:ind w:left="510" w:right="510"/>
        <w:outlineLvl w:val="0"/>
        <w:rPr>
          <w:color w:val="0b2545"/>
          <w:kern w:val="44"/>
          <w:sz w:val="44"/>
          <w:szCs w:val="44"/>
        </w:rPr>
      </w:pPr>
      <w:bookmarkStart w:id="6" w:name="section-2"/>
      <w:r>
        <w:rPr>
          <w:rFonts w:hint="eastAsia" w:ascii="PingFang SC" w:hAnsi="PingFang SC" w:eastAsia="PingFang SC" w:cs="PingFang SC"/>
          <w:b w:val="1"/>
          <w:color w:val="0b2545"/>
          <w:spacing w:val="7"/>
          <w:sz w:val="40"/>
        </w:rPr>
        <w:t>二、需求分析</w:t>
      </w:r>
      <w:bookmarkEnd w:id="6"/>
    </w:p>
    <w:p w14:paraId="36340C3F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7" w:name="section-2-1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2.1 用户角色</w:t>
      </w:r>
      <w:bookmarkEnd w:id="7"/>
    </w:p>
    <w:p w14:paraId="5DDD2AC0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系统服务两类角色，权限与信息范围不同。角色在注册时确定且不可更改，登录后按角色进入对应工作台，跨角色的路径访问会被重定向回本角色首页。这一约束不是为了限制功能，而是为了保证两侧看到的是同一份数据在不同视角下的投影，避免出现"教师用学生身份看到半成品数据"的错位。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8"/>
        <w:gridCol w:w="2159"/>
        <w:gridCol w:w="4819"/>
      </w:tblGrid>
      <w:tr>
        <w:trPr>
          <w:tblHeader w:val="1"/>
        </w:trPr>
        <w:tc>
          <w:tcPr>
            <w:tcW w:w="132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4F9A8FE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角色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3824253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核心诉求</w:t>
            </w:r>
          </w:p>
        </w:tc>
        <w:tc>
          <w:tcPr>
            <w:tcW w:w="481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E5B2538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可见范围</w:t>
            </w:r>
          </w:p>
        </w:tc>
      </w:tr>
      <w:tr>
        <w:trPr/>
        <w:tc>
          <w:tcPr>
            <w:tcW w:w="132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7233DE0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学生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7496C9D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知道下一步练什么，看到自己的进步</w:t>
            </w:r>
          </w:p>
        </w:tc>
        <w:tc>
          <w:tcPr>
            <w:tcW w:w="481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D7F7F6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本人诊断、项目、任务、实验记录与学习报告</w:t>
            </w:r>
          </w:p>
        </w:tc>
      </w:tr>
      <w:tr>
        <w:trPr/>
        <w:tc>
          <w:tcPr>
            <w:tcW w:w="132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487C63D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教师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1D8A14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定位风险学生，完成评价复核</w:t>
            </w:r>
          </w:p>
        </w:tc>
        <w:tc>
          <w:tcPr>
            <w:tcW w:w="481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6B08CFF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全班画像、课程矩阵、待复核评价、教学洞察</w:t>
            </w:r>
          </w:p>
        </w:tc>
      </w:tr>
    </w:tbl>
    <w:p w14:paraId="79BF1BBB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两类角色的操作节奏也不相同。学生的使用是碎片化的，每次进来通常只有几分钟，因此学生端强调"只给一个下一步"，把选择成本压到最低；教师的使用是批量的，一次要处理整班数据，因此教师端强调表格、排序与批量导出，允许一屏内看到多行对比。这一差异直接决定了两个工作台在信息密度上的不同取向。</w:t>
      </w:r>
    </w:p>
    <w:p w14:paraId="0939B446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8" w:name="section-2-2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2.2 功能需求</w:t>
      </w:r>
      <w:bookmarkEnd w:id="8"/>
    </w:p>
    <w:p w14:paraId="10D8CECC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功能按学习链路拆解为十一个模块，覆盖从身份进入到证据沉淀的完整过程。优先级判定标准是"缺少该模块是否会导致链路断开"：导致断开的为高，仅影响体验的为中。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3"/>
        <w:gridCol w:w="4985"/>
        <w:gridCol w:w="1328"/>
      </w:tblGrid>
      <w:tr>
        <w:trPr>
          <w:tblHeader w:val="1"/>
        </w:trPr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9F420CE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模块</w:t>
            </w:r>
          </w:p>
        </w:tc>
        <w:tc>
          <w:tcPr>
            <w:tcW w:w="498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225DD4D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功能描述</w:t>
            </w:r>
          </w:p>
        </w:tc>
        <w:tc>
          <w:tcPr>
            <w:tcW w:w="132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D1191D3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优先级</w:t>
            </w:r>
          </w:p>
        </w:tc>
      </w:tr>
      <w:tr>
        <w:trPr/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BDA952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账号与会话</w:t>
            </w:r>
          </w:p>
        </w:tc>
        <w:tc>
          <w:tcPr>
            <w:tcW w:w="498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2AC2382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注册、登录、退出；角色区分；跨角色访问拦截</w:t>
            </w:r>
          </w:p>
        </w:tc>
        <w:tc>
          <w:tcPr>
            <w:tcW w:w="132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9C97A0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高</w:t>
            </w:r>
          </w:p>
        </w:tc>
      </w:tr>
      <w:tr>
        <w:trPr/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459CB9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学情诊断</w:t>
            </w:r>
          </w:p>
        </w:tc>
        <w:tc>
          <w:tcPr>
            <w:tcW w:w="498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F67913C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八题前测，输出七维掌握度，作为后续匹配依据</w:t>
            </w:r>
          </w:p>
        </w:tc>
        <w:tc>
          <w:tcPr>
            <w:tcW w:w="132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2CF01CB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高</w:t>
            </w:r>
          </w:p>
        </w:tc>
      </w:tr>
      <w:tr>
        <w:trPr/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1553E4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项目匹配</w:t>
            </w:r>
          </w:p>
        </w:tc>
        <w:tc>
          <w:tcPr>
            <w:tcW w:w="498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17C37F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结合薄弱维度、学习方式与能力目标排序，给出推荐理由</w:t>
            </w:r>
          </w:p>
        </w:tc>
        <w:tc>
          <w:tcPr>
            <w:tcW w:w="132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4CBCF91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高</w:t>
            </w:r>
          </w:p>
        </w:tc>
      </w:tr>
      <w:tr>
        <w:trPr/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34B440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任务闯关</w:t>
            </w:r>
          </w:p>
        </w:tc>
        <w:tc>
          <w:tcPr>
            <w:tcW w:w="498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E29B46C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按项目拆关卡，逐题判分并记录</w:t>
            </w:r>
          </w:p>
        </w:tc>
        <w:tc>
          <w:tcPr>
            <w:tcW w:w="132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4DD79B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高</w:t>
            </w:r>
          </w:p>
        </w:tc>
      </w:tr>
      <w:tr>
        <w:trPr/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057192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虚拟实验</w:t>
            </w:r>
          </w:p>
        </w:tc>
        <w:tc>
          <w:tcPr>
            <w:tcW w:w="498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949404E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参数可调，现象与读数实时联动，支持测量记录</w:t>
            </w:r>
          </w:p>
        </w:tc>
        <w:tc>
          <w:tcPr>
            <w:tcW w:w="132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FE553BD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高</w:t>
            </w:r>
          </w:p>
        </w:tc>
      </w:tr>
      <w:tr>
        <w:trPr/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D9453B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AI 助教</w:t>
            </w:r>
          </w:p>
        </w:tc>
        <w:tc>
          <w:tcPr>
            <w:tcW w:w="498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458C51B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围绕当前章节追问与提示，引导补全推理链条；本地规则引擎驱动</w:t>
            </w:r>
          </w:p>
        </w:tc>
        <w:tc>
          <w:tcPr>
            <w:tcW w:w="132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92D7DB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中</w:t>
            </w:r>
          </w:p>
        </w:tc>
      </w:tr>
      <w:tr>
        <w:trPr/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6A5D636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学习报告</w:t>
            </w:r>
          </w:p>
        </w:tc>
        <w:tc>
          <w:tcPr>
            <w:tcW w:w="498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63474D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汇总四类证据，支持 Markdown、JSON 与 PDF 三种导出</w:t>
            </w:r>
          </w:p>
        </w:tc>
        <w:tc>
          <w:tcPr>
            <w:tcW w:w="132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B59CED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高</w:t>
            </w:r>
          </w:p>
        </w:tc>
      </w:tr>
      <w:tr>
        <w:trPr/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8C9497C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班级治理</w:t>
            </w:r>
          </w:p>
        </w:tc>
        <w:tc>
          <w:tcPr>
            <w:tcW w:w="498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46B817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风险排序、班级画像、课程矩阵</w:t>
            </w:r>
          </w:p>
        </w:tc>
        <w:tc>
          <w:tcPr>
            <w:tcW w:w="132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ACB320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高</w:t>
            </w:r>
          </w:p>
        </w:tc>
      </w:tr>
      <w:tr>
        <w:trPr/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65B128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评价复核</w:t>
            </w:r>
          </w:p>
        </w:tc>
        <w:tc>
          <w:tcPr>
            <w:tcW w:w="498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D75D81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改分、写理由、导出汇总</w:t>
            </w:r>
          </w:p>
        </w:tc>
        <w:tc>
          <w:tcPr>
            <w:tcW w:w="132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3D95BEC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高</w:t>
            </w:r>
          </w:p>
        </w:tc>
      </w:tr>
      <w:tr>
        <w:trPr/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F58CB7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课堂生成</w:t>
            </w:r>
          </w:p>
        </w:tc>
        <w:tc>
          <w:tcPr>
            <w:tcW w:w="498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8AE8DDE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一句需求生成可播放课堂，含大纲、内容、讲稿</w:t>
            </w:r>
          </w:p>
        </w:tc>
        <w:tc>
          <w:tcPr>
            <w:tcW w:w="132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E5579F2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高</w:t>
            </w:r>
          </w:p>
        </w:tc>
      </w:tr>
      <w:tr>
        <w:trPr/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ADD197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课堂播放</w:t>
            </w:r>
          </w:p>
        </w:tc>
        <w:tc>
          <w:tcPr>
            <w:tcW w:w="498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75B5F71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场景切换、讲稿同步、进度控制</w:t>
            </w:r>
          </w:p>
        </w:tc>
        <w:tc>
          <w:tcPr>
            <w:tcW w:w="132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CE3E79E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高</w:t>
            </w:r>
          </w:p>
        </w:tc>
      </w:tr>
    </w:tbl>
    <w:p w14:paraId="43DA9F0A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9" w:name="section-2-3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2.3 非功能需求</w:t>
      </w:r>
      <w:bookmarkEnd w:id="9"/>
    </w:p>
    <w:p w14:paraId="4259692F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非功能需求在此项目中的地位不低于功能需求，因为它直接决定了现场演示能否成立。会议室网络、评审设备的浏览器版本、模型服务的响应抖动，都是无法预先控制的变量，只能在设计上留出余量。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8"/>
        <w:gridCol w:w="4653"/>
        <w:gridCol w:w="2325"/>
      </w:tblGrid>
      <w:tr>
        <w:trPr>
          <w:tblHeader w:val="1"/>
        </w:trPr>
        <w:tc>
          <w:tcPr>
            <w:tcW w:w="132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9B5CDE9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维度</w:t>
            </w:r>
          </w:p>
        </w:tc>
        <w:tc>
          <w:tcPr>
            <w:tcW w:w="465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091CD22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要求</w:t>
            </w:r>
          </w:p>
        </w:tc>
        <w:tc>
          <w:tcPr>
            <w:tcW w:w="23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B493829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达成方式</w:t>
            </w:r>
          </w:p>
        </w:tc>
      </w:tr>
      <w:tr>
        <w:trPr/>
        <w:tc>
          <w:tcPr>
            <w:tcW w:w="132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44F26F6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响应</w:t>
            </w:r>
          </w:p>
        </w:tc>
        <w:tc>
          <w:tcPr>
            <w:tcW w:w="465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D595E5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首屏可读内容在服务端直出，不依赖客户端水合</w:t>
            </w:r>
          </w:p>
        </w:tc>
        <w:tc>
          <w:tcPr>
            <w:tcW w:w="23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9DA9EA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路由静态化，十三个视图预渲染</w:t>
            </w:r>
          </w:p>
        </w:tc>
      </w:tr>
      <w:tr>
        <w:trPr/>
        <w:tc>
          <w:tcPr>
            <w:tcW w:w="132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2CB2411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可用</w:t>
            </w:r>
          </w:p>
        </w:tc>
        <w:tc>
          <w:tcPr>
            <w:tcW w:w="465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5F05AF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断网状态下，工作台与预置课堂仍可完整使用</w:t>
            </w:r>
          </w:p>
        </w:tc>
        <w:tc>
          <w:tcPr>
            <w:tcW w:w="23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24723D1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数据本地化，模型调用只出现在课堂生成</w:t>
            </w:r>
          </w:p>
        </w:tc>
      </w:tr>
      <w:tr>
        <w:trPr/>
        <w:tc>
          <w:tcPr>
            <w:tcW w:w="132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97F3B7B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安全</w:t>
            </w:r>
          </w:p>
        </w:tc>
        <w:tc>
          <w:tcPr>
            <w:tcW w:w="465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B304C7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高耗能接口需登录；凭据不落仓库</w:t>
            </w:r>
          </w:p>
        </w:tc>
        <w:tc>
          <w:tcPr>
            <w:tcW w:w="23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07AB96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会话门禁 + 产物泄露门禁</w:t>
            </w:r>
          </w:p>
        </w:tc>
      </w:tr>
      <w:tr>
        <w:trPr/>
        <w:tc>
          <w:tcPr>
            <w:tcW w:w="132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75B2EB1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兼容</w:t>
            </w:r>
          </w:p>
        </w:tc>
        <w:tc>
          <w:tcPr>
            <w:tcW w:w="465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1C927FF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桌面浏览器 1280 像素以上正常显示</w:t>
            </w:r>
          </w:p>
        </w:tc>
        <w:tc>
          <w:tcPr>
            <w:tcW w:w="23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CD5362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响应式栅格与侧栏折叠</w:t>
            </w:r>
          </w:p>
        </w:tc>
      </w:tr>
      <w:tr>
        <w:trPr/>
        <w:tc>
          <w:tcPr>
            <w:tcW w:w="132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194D4D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可维护</w:t>
            </w:r>
          </w:p>
        </w:tc>
        <w:tc>
          <w:tcPr>
            <w:tcW w:w="465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74F31FC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改一处配置不会引发静默降级</w:t>
            </w:r>
          </w:p>
        </w:tc>
        <w:tc>
          <w:tcPr>
            <w:tcW w:w="23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C0614E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构建期门禁，配置缺失即失败</w:t>
            </w:r>
          </w:p>
        </w:tc>
      </w:tr>
      <w:tr>
        <w:trPr/>
        <w:tc>
          <w:tcPr>
            <w:tcW w:w="132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1F532A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可观测</w:t>
            </w:r>
          </w:p>
        </w:tc>
        <w:tc>
          <w:tcPr>
            <w:tcW w:w="465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A02329B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失败时能定位到阶段，而非只知道"出错了"</w:t>
            </w:r>
          </w:p>
        </w:tc>
        <w:tc>
          <w:tcPr>
            <w:tcW w:w="23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C69A22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分阶段日志、门禁回执、健康检查</w:t>
            </w:r>
          </w:p>
        </w:tc>
      </w:tr>
      <w:tr>
        <w:trPr/>
        <w:tc>
          <w:tcPr>
            <w:tcW w:w="132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11049F8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可恢复</w:t>
            </w:r>
          </w:p>
        </w:tc>
        <w:tc>
          <w:tcPr>
            <w:tcW w:w="465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1D7D6C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破坏性操作在 24 小时内可回退</w:t>
            </w:r>
          </w:p>
        </w:tc>
        <w:tc>
          <w:tcPr>
            <w:tcW w:w="23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3904FDE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操作前写快照，界面提供恢复入口</w:t>
            </w:r>
          </w:p>
        </w:tc>
      </w:tr>
    </w:tbl>
    <w:p w14:paraId="4D022C10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10" w:name="section-2-4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2.4 需求取舍</w:t>
      </w:r>
      <w:bookmarkEnd w:id="10"/>
    </w:p>
    <w:p w14:paraId="6907EBBF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需求分析的价值不只在于列做什么，也在于说明不做什么。以下三项是经过权衡后明确排除的，每一项都对应一个已知代价。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7"/>
        <w:gridCol w:w="2657"/>
        <w:gridCol w:w="3822"/>
      </w:tblGrid>
      <w:tr>
        <w:trPr>
          <w:tblHeader w:val="1"/>
        </w:trPr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DFE2B50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未采纳方案</w:t>
            </w:r>
          </w:p>
        </w:tc>
        <w:tc>
          <w:tcPr>
            <w:tcW w:w="265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24D42E9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排除理由</w:t>
            </w:r>
          </w:p>
        </w:tc>
        <w:tc>
          <w:tcPr>
            <w:tcW w:w="382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6D5C264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代价与边界</w:t>
            </w:r>
          </w:p>
        </w:tc>
      </w:tr>
      <w:tr>
        <w:trPr/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6C93DF2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服务端数据库</w:t>
            </w:r>
          </w:p>
        </w:tc>
        <w:tc>
          <w:tcPr>
            <w:tcW w:w="265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2C7FE4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演示环境无需跨设备同步，引入数据库会把"断网可用"变成"必须联网"，同时带来账号体系、迁移与备份三份运维负担</w:t>
            </w:r>
          </w:p>
        </w:tc>
        <w:tc>
          <w:tcPr>
            <w:tcW w:w="382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0F05B86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换设备不同步；清缓存丢数据。手册中已明确提示，并提供导出作为迁移手段</w:t>
            </w:r>
          </w:p>
        </w:tc>
      </w:tr>
      <w:tr>
        <w:trPr/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12BAB8D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多模型动态路由</w:t>
            </w:r>
          </w:p>
        </w:tc>
        <w:tc>
          <w:tcPr>
            <w:tcW w:w="265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0B03F66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不同厂商对同一份提示词的输出格式、思考开关、截断行为不一致，动态路由会让格式问题变成概率问题，难以复现</w:t>
            </w:r>
          </w:p>
        </w:tc>
        <w:tc>
          <w:tcPr>
            <w:tcW w:w="382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C825A3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单一模型的能力上限即是系统上限。适配层保留切换入口，换模型只改一个变量，但同一时刻只接一个</w:t>
            </w:r>
          </w:p>
        </w:tc>
      </w:tr>
      <w:tr>
        <w:trPr/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AB942DD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移动端编辑视图</w:t>
            </w:r>
          </w:p>
        </w:tc>
        <w:tc>
          <w:tcPr>
            <w:tcW w:w="265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ADB1D9B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诊断、闯关、复核都以表格与多列对比为主，在窄屏上无法保持信息完整性，勉强适配会得到"能看不能用"的半成品</w:t>
            </w:r>
          </w:p>
        </w:tc>
        <w:tc>
          <w:tcPr>
            <w:tcW w:w="382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66EA041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移动端仅保证可查看，不保证可操作。桌面端 1280 像素以下启用侧栏折叠</w:t>
            </w:r>
          </w:p>
        </w:tc>
      </w:tr>
    </w:tbl>
    <w:p w14:paraId="7B103786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三项取舍的共同逻辑是：在资源有限的条件下，优先保证链路的完整与可演示，而不是覆盖所有场景。凡是被排除的方案，都在代码结构上留了接入点——数据访问收敛在单一模块、模型调用收敛在适配层、布局收敛在栅格——因此后续补齐不需要重写，只需要替换实现。</w:t>
      </w:r>
    </w:p>
    <w:p w14:paraId="2F900F1B">
      <w:pPr>
        <w:pStyle w:val="000004"/>
        <w:keepNext w:val="1"/>
        <w:keepLines w:val="1"/>
        <w:pageBreakBefore/>
        <w:pBdr>
          <w:bottom w:val="single" w:color="12386e" w:sz="12"/>
        </w:pBdr>
        <w:spacing w:before="510" w:beforeAutospacing="1" w:after="510" w:afterAutospacing="1" w:line="432"/>
        <w:ind w:left="510" w:right="510"/>
        <w:outlineLvl w:val="0"/>
        <w:rPr>
          <w:color w:val="0b2545"/>
          <w:kern w:val="44"/>
          <w:sz w:val="44"/>
          <w:szCs w:val="44"/>
        </w:rPr>
      </w:pPr>
      <w:bookmarkStart w:id="11" w:name="section-3"/>
      <w:r>
        <w:rPr>
          <w:rFonts w:hint="eastAsia" w:ascii="PingFang SC" w:hAnsi="PingFang SC" w:eastAsia="PingFang SC" w:cs="PingFang SC"/>
          <w:b w:val="1"/>
          <w:color w:val="0b2545"/>
          <w:spacing w:val="7"/>
          <w:sz w:val="40"/>
        </w:rPr>
        <w:t>三、总体设计</w:t>
      </w:r>
      <w:bookmarkEnd w:id="11"/>
    </w:p>
    <w:p w14:paraId="5FE3B6EF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12" w:name="section-3-1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3.1 设计原则</w:t>
      </w:r>
      <w:bookmarkEnd w:id="12"/>
    </w:p>
    <w:p w14:paraId="6E3F9B5A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四条原则贯穿整个实现。它们不是抽象的口号，每一条都对应着具体的代码结构与可验证的约束。</w:t>
      </w:r>
    </w:p>
    <w:p w14:paraId="6CA92255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b w:val="1"/>
          <w:color w:val="1f2937"/>
          <w:sz w:val="21"/>
        </w:rPr>
        <w:t>本地优先。</w:t>
      </w:r>
      <w:r>
        <w:rPr>
          <w:rFonts w:hint="eastAsia" w:ascii="Songti SC" w:hAnsi="Songti SC" w:eastAsia="Songti SC" w:cs="Songti SC"/>
          <w:color w:val="1f2937"/>
          <w:sz w:val="21"/>
        </w:rPr>
        <w:t xml:space="preserve">账号、学习记录、生成结果都存在浏览器，服务端不保存业务数据。这样断网可用，也避免了为演示环境准备数据库。落地方式是所有读写经过同一层存储模块，键名带账号前缀，任何组件都不直接触碰 </w:t>
      </w:r>
      <w:r>
        <w:rPr>
          <w:rFonts w:ascii="SF Mono" w:hAnsi="SF Mono" w:eastAsia="SF Mono" w:cs="SF Mono"/>
          <w:color w:val="1f2937"/>
          <w:sz w:val="18"/>
          <w:shd w:val="clear" w:fill="eef2f7"/>
        </w:rPr>
        <w:t>localStorage</w:t>
      </w:r>
      <w:r>
        <w:rPr>
          <w:rFonts w:hint="eastAsia" w:ascii="Songti SC" w:hAnsi="Songti SC" w:eastAsia="Songti SC" w:cs="Songti SC"/>
          <w:color w:val="1f2937"/>
          <w:sz w:val="21"/>
        </w:rPr>
        <w:t>。代价是换设备不同步，这一点在手册里写明了，并通过导出功能给出迁移路径。</w:t>
      </w:r>
    </w:p>
    <w:p w14:paraId="4A7B193F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b w:val="1"/>
          <w:color w:val="1f2937"/>
          <w:sz w:val="21"/>
        </w:rPr>
        <w:t>边缘只做代理。</w:t>
      </w:r>
      <w:r>
        <w:rPr>
          <w:rFonts w:hint="eastAsia" w:ascii="Songti SC" w:hAnsi="Songti SC" w:eastAsia="Songti SC" w:cs="Songti SC"/>
          <w:color w:val="1f2937"/>
          <w:sz w:val="21"/>
        </w:rPr>
        <w:t>云函数负责页面渲染与模型转发，不做业务计算。凡是能在浏览器算完的，不放服务端。这条原则的收益是双重的：函数无状态，因此可以随意扩缩；业务逻辑不落在服务端，因此不存在"服务端与本地两份状态不一致"的问题。判断标准很简单——一段逻辑如果不需要密钥也不需要跨用户数据，就应该在客户端。</w:t>
      </w:r>
    </w:p>
    <w:p w14:paraId="5AC9CE07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b w:val="1"/>
          <w:color w:val="1f2937"/>
          <w:sz w:val="21"/>
        </w:rPr>
        <w:t>门禁按成本划线。</w:t>
      </w:r>
      <w:r>
        <w:rPr>
          <w:rFonts w:hint="eastAsia" w:ascii="Songti SC" w:hAnsi="Songti SC" w:eastAsia="Songti SC" w:cs="Songti SC"/>
          <w:color w:val="1f2937"/>
          <w:sz w:val="21"/>
        </w:rPr>
        <w:t>只有会消耗模型额度或上游资源的接口要求登录，其余接口放行。判据是"会不会花钱"，不是"是不是敏感"。这样做的结果是断网演示、本地文档解析、健康检查这些路径完全不受会话状态影响，现场不会因为一次登录态过期而整体瘫痪。被保护的六类接口前缀集中定义在一处，新增接口时只需判断是否落入这些前缀。</w:t>
      </w:r>
    </w:p>
    <w:p w14:paraId="6D2E246E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b w:val="1"/>
          <w:color w:val="1f2937"/>
          <w:sz w:val="21"/>
        </w:rPr>
        <w:t>配置缺失即失败。</w:t>
      </w:r>
      <w:r>
        <w:rPr>
          <w:rFonts w:hint="eastAsia" w:ascii="Songti SC" w:hAnsi="Songti SC" w:eastAsia="Songti SC" w:cs="Songti SC"/>
          <w:color w:val="1f2937"/>
          <w:sz w:val="21"/>
        </w:rPr>
        <w:t>函数超时、加速区域、凭据泄露这三类配置，任何一项不符合预期，构建或部署直接中止，不允许静默降级。静默降级是最危险的一类缺陷：系统看起来在工作，实际运行在错误的参数上，问题要到压力最大的时候才暴露。门禁把这类问题前移到构建阶段，代价是偶尔会因为配置漂移而阻断发布，这个代价是值得付的。</w:t>
      </w:r>
    </w:p>
    <w:p w14:paraId="1D54AF93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13" w:name="section-3-2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3.2 系统架构</w:t>
      </w:r>
      <w:bookmarkEnd w:id="13"/>
    </w:p>
    <w:p w14:paraId="46AB0DE0">
      <w:pPr>
        <w:spacing w:before="210" w:after="210" w:line="432"/>
        <w:ind w:left="210" w:right="210"/>
        <w:jc w:val="center"/>
        <w:rPr>
          <w:color w:val="1f2937"/>
        </w:rPr>
      </w:pPr>
      <w:r>
        <w:rPr>
          <w:rFonts w:ascii="Songti SC" w:hAnsi="Songti SC" w:eastAsia="Songti SC" w:cs="Songti SC"/>
        </w:rPr>
        <w:drawing>
          <wp:inline>
            <wp:extent cx="5274310" cy="2788588"/>
            <wp:docPr id="2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PingFang SC" w:hAnsi="PingFang SC" w:eastAsia="PingFang SC" w:cs="PingFang SC"/>
          <w:color w:val="64748b"/>
          <w:sz w:val="17"/>
        </w:rPr>
        <w:t>图 1　系统架构：浏览器本地优先，边缘函数承担渲染与模型转发</w:t>
      </w:r>
    </w:p>
    <w:p w14:paraId="08A21CB4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系统分四层，层与层之间只通过明确的契约通信。浏览器层是 React 客户端，负责交互与本地存储，持有全部业务状态；边缘层是 EdgeOne Pages，提供静态资源分发与云函数执行，不持有状态；应用层是 Next.js 的路由与接口，负责页面渲染、请求校验与模型调用编排；模型层是 Makers 网关，只接一个模型，通过 OpenAI 兼容协议对外。</w:t>
      </w:r>
    </w:p>
    <w:p w14:paraId="0EC99A88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这条链路的关键特征是"状态在最外层，计算在最内层"。业务数据只在浏览器里，云函数每次请求都是无状态的冷启动友好的执行单元，因此不存在会话粘滞、缓存一致性这类分布式问题。代价是每次请求都要把必要的上下文随请求带上，所以接口的入参设计得比较厚——宁可多传几十字节，也不在服务端维护隐式状态。</w:t>
      </w:r>
    </w:p>
    <w:p w14:paraId="4378D700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交付侧另有一条独立链路：代码推送到仓库后，由 GitHub Actions 完成构建、裁剪、门禁与上传，与本地部署走同一条流水线。两条链路共用同一份脚本，因此本地验证通过即意味着线上构建通过，不会出现"本地能跑、线上报错"的分叉。这一点在函数包体积接近上限时尤其重要——体积是构建产物属性，只有同一条流水线才能保证两边一致。</w:t>
      </w:r>
    </w:p>
    <w:p w14:paraId="1A74FEBC">
      <w:pPr>
        <w:spacing w:before="210" w:after="210" w:line="432"/>
        <w:ind w:left="210" w:right="210"/>
        <w:jc w:val="center"/>
        <w:rPr>
          <w:color w:val="1f2937"/>
        </w:rPr>
      </w:pPr>
      <w:r>
        <w:rPr>
          <w:rFonts w:ascii="Songti SC" w:hAnsi="Songti SC" w:eastAsia="Songti SC" w:cs="Songti SC"/>
        </w:rPr>
        <w:drawing>
          <wp:inline>
            <wp:extent cx="5274310" cy="3296443"/>
            <wp:docPr id="5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PingFang SC" w:hAnsi="PingFang SC" w:eastAsia="PingFang SC" w:cs="PingFang SC"/>
          <w:color w:val="64748b"/>
          <w:sz w:val="17"/>
        </w:rPr>
        <w:t>图 2　系统首页：需求输入与六个预置课堂包</w:t>
      </w:r>
    </w:p>
    <w:p w14:paraId="0A03A937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14" w:name="section-3-3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3.3 技术选型</w:t>
      </w:r>
      <w:bookmarkEnd w:id="14"/>
    </w:p>
    <w:p w14:paraId="13A21417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选型的约束条件是"单站点、可静态化、可在边缘运行"，在此前提下优先选择生态成熟、迁移成本低的方案。每一项选择都记录了放弃的替代方案。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2"/>
        <w:gridCol w:w="1993"/>
        <w:gridCol w:w="5151"/>
      </w:tblGrid>
      <w:tr>
        <w:trPr>
          <w:tblHeader w:val="1"/>
        </w:trPr>
        <w:tc>
          <w:tcPr>
            <w:tcW w:w="116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4C97A66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层次</w:t>
            </w:r>
          </w:p>
        </w:tc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DED1824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选型</w:t>
            </w:r>
          </w:p>
        </w:tc>
        <w:tc>
          <w:tcPr>
            <w:tcW w:w="515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C03A05F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理由与替代方案</w:t>
            </w:r>
          </w:p>
        </w:tc>
      </w:tr>
      <w:tr>
        <w:trPr/>
        <w:tc>
          <w:tcPr>
            <w:tcW w:w="116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4FB294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框架</w:t>
            </w:r>
          </w:p>
        </w:tc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03987A2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Next.js 16（App Router）</w:t>
            </w:r>
          </w:p>
        </w:tc>
        <w:tc>
          <w:tcPr>
            <w:tcW w:w="515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8FBCB56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路由级静态化与接口同仓，十三个视图可预渲染；服务端组件减少首屏依赖。替代方案是纯 SPA，但首屏白屏时间不可接受</w:t>
            </w:r>
          </w:p>
        </w:tc>
      </w:tr>
      <w:tr>
        <w:trPr/>
        <w:tc>
          <w:tcPr>
            <w:tcW w:w="116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1CB83C2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视图</w:t>
            </w:r>
          </w:p>
        </w:tc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1FEA967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React 19 + Tailwind CSS 4</w:t>
            </w:r>
          </w:p>
        </w:tc>
        <w:tc>
          <w:tcPr>
            <w:tcW w:w="515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7E21E5D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组件复用度高，样式集中在类名，改版成本低。替代方案是组件库，但定制主题的改造成本高于自建</w:t>
            </w:r>
          </w:p>
        </w:tc>
      </w:tr>
      <w:tr>
        <w:trPr/>
        <w:tc>
          <w:tcPr>
            <w:tcW w:w="116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C90644F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托管</w:t>
            </w:r>
          </w:p>
        </w:tc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A68C057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EdgeOne Pages</w:t>
            </w:r>
          </w:p>
        </w:tc>
        <w:tc>
          <w:tcPr>
            <w:tcW w:w="515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19D3B2F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静态资源与云函数同域，支持自定义域名；可配置函数执行时长。替代方案是纯静态托管，但无法承载模型转发</w:t>
            </w:r>
          </w:p>
        </w:tc>
      </w:tr>
      <w:tr>
        <w:trPr/>
        <w:tc>
          <w:tcPr>
            <w:tcW w:w="116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EB9C4E1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模型</w:t>
            </w:r>
          </w:p>
        </w:tc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5FC794D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Makers 网关 · minimax-m3</w:t>
            </w:r>
          </w:p>
        </w:tc>
        <w:tc>
          <w:tcPr>
            <w:tcW w:w="515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5B45DBB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统一 OpenAI 兼容协议，无需分别对接厂商；单一模型保证输出格式稳定。替代方案是直连厂商 SDK，但会失去统一错误映射</w:t>
            </w:r>
          </w:p>
        </w:tc>
      </w:tr>
      <w:tr>
        <w:trPr/>
        <w:tc>
          <w:tcPr>
            <w:tcW w:w="116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2E2296D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存储</w:t>
            </w:r>
          </w:p>
        </w:tc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BE3D842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localStorage</w:t>
            </w:r>
          </w:p>
        </w:tc>
        <w:tc>
          <w:tcPr>
            <w:tcW w:w="515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821F722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零运维、断网可用；按账号分区即可满足单机演示与课堂使用。替代方案是 IndexedDB，容量更大但读写为异步，会污染调用链</w:t>
            </w:r>
          </w:p>
        </w:tc>
      </w:tr>
      <w:tr>
        <w:trPr/>
        <w:tc>
          <w:tcPr>
            <w:tcW w:w="116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1107F6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图表</w:t>
            </w:r>
          </w:p>
        </w:tc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358BFF6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原生 SVG</w:t>
            </w:r>
          </w:p>
        </w:tc>
        <w:tc>
          <w:tcPr>
            <w:tcW w:w="515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068DB96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雷达图、矩阵、时序条都是固定结构，手写 SVG 体积远小于图表库，且可控到像素。替代方案是图表库，但会引入数百 KB 依赖</w:t>
            </w:r>
          </w:p>
        </w:tc>
      </w:tr>
    </w:tbl>
    <w:p w14:paraId="46C9A26B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15" w:name="section-3-4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3.4 分层职责</w:t>
      </w:r>
      <w:bookmarkEnd w:id="15"/>
    </w:p>
    <w:p w14:paraId="61D9A134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分层设计最容易出问题的地方不是"谁做什么"，而是"谁不做什么"。下表把每层的否定式职责写清楚，作为代码评审时的判据：一旦某段逻辑出现在错误的层，即使功能正确也应退回重写。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2"/>
        <w:gridCol w:w="2325"/>
        <w:gridCol w:w="2491"/>
        <w:gridCol w:w="2328"/>
      </w:tblGrid>
      <w:tr>
        <w:trPr>
          <w:tblHeader w:val="1"/>
        </w:trPr>
        <w:tc>
          <w:tcPr>
            <w:tcW w:w="116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47411F0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层</w:t>
            </w:r>
          </w:p>
        </w:tc>
        <w:tc>
          <w:tcPr>
            <w:tcW w:w="23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D68E1B6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承担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8EB6043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明确不承担</w:t>
            </w:r>
          </w:p>
        </w:tc>
        <w:tc>
          <w:tcPr>
            <w:tcW w:w="232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5B38AFE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判定依据</w:t>
            </w:r>
          </w:p>
        </w:tc>
      </w:tr>
      <w:tr>
        <w:trPr/>
        <w:tc>
          <w:tcPr>
            <w:tcW w:w="116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F4ABA5D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浏览器</w:t>
            </w:r>
          </w:p>
        </w:tc>
        <w:tc>
          <w:tcPr>
            <w:tcW w:w="23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826C288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交互状态、业务数据读写、图像与文档的本地解析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AF0B9F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不持有模型密钥，不做需要保密的计算</w:t>
            </w:r>
          </w:p>
        </w:tc>
        <w:tc>
          <w:tcPr>
            <w:tcW w:w="232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961BEED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逻辑是否涉及密钥或跨用户数据</w:t>
            </w:r>
          </w:p>
        </w:tc>
      </w:tr>
      <w:tr>
        <w:trPr/>
        <w:tc>
          <w:tcPr>
            <w:tcW w:w="116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5E2C658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边缘函数</w:t>
            </w:r>
          </w:p>
        </w:tc>
        <w:tc>
          <w:tcPr>
            <w:tcW w:w="23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CD40EBB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页面渲染、请求校验、模型调用编排、错误归一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24C040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不保存业务数据，不做跨请求的缓存与计数</w:t>
            </w:r>
          </w:p>
        </w:tc>
        <w:tc>
          <w:tcPr>
            <w:tcW w:w="232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B77229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是否需要跨请求保持状态</w:t>
            </w:r>
          </w:p>
        </w:tc>
      </w:tr>
      <w:tr>
        <w:trPr/>
        <w:tc>
          <w:tcPr>
            <w:tcW w:w="116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5A6CAA8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应用层</w:t>
            </w:r>
          </w:p>
        </w:tc>
        <w:tc>
          <w:tcPr>
            <w:tcW w:w="23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7F0935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路由分发、提示词组装、结果结构校验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CDBCAD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不直接拼装厂商协议报文</w:t>
            </w:r>
          </w:p>
        </w:tc>
        <w:tc>
          <w:tcPr>
            <w:tcW w:w="232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402FDE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是否出现厂商专有字段名</w:t>
            </w:r>
          </w:p>
        </w:tc>
      </w:tr>
      <w:tr>
        <w:trPr/>
        <w:tc>
          <w:tcPr>
            <w:tcW w:w="116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EF401A6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适配层</w:t>
            </w:r>
          </w:p>
        </w:tc>
        <w:tc>
          <w:tcPr>
            <w:tcW w:w="23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297687C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模型串解析、思考开关注入、错误码映射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0DEC766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不包含任何业务提示词与业务判断</w:t>
            </w:r>
          </w:p>
        </w:tc>
        <w:tc>
          <w:tcPr>
            <w:tcW w:w="232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F59757F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是否出现课程、场景等业务概念</w:t>
            </w:r>
          </w:p>
        </w:tc>
      </w:tr>
    </w:tbl>
    <w:p w14:paraId="20CC09DA">
      <w:pPr>
        <w:pStyle w:val="000004"/>
        <w:keepNext w:val="1"/>
        <w:keepLines w:val="1"/>
        <w:pageBreakBefore/>
        <w:pBdr>
          <w:bottom w:val="single" w:color="12386e" w:sz="12"/>
        </w:pBdr>
        <w:spacing w:before="510" w:beforeAutospacing="1" w:after="510" w:afterAutospacing="1" w:line="432"/>
        <w:ind w:left="510" w:right="510"/>
        <w:outlineLvl w:val="0"/>
        <w:rPr>
          <w:color w:val="0b2545"/>
          <w:kern w:val="44"/>
          <w:sz w:val="44"/>
          <w:szCs w:val="44"/>
        </w:rPr>
      </w:pPr>
      <w:bookmarkStart w:id="16" w:name="section-4"/>
      <w:r>
        <w:rPr>
          <w:rFonts w:hint="eastAsia" w:ascii="PingFang SC" w:hAnsi="PingFang SC" w:eastAsia="PingFang SC" w:cs="PingFang SC"/>
          <w:b w:val="1"/>
          <w:color w:val="0b2545"/>
          <w:spacing w:val="7"/>
          <w:sz w:val="40"/>
        </w:rPr>
        <w:t>四、功能设计</w:t>
      </w:r>
      <w:bookmarkEnd w:id="16"/>
    </w:p>
    <w:p w14:paraId="3E832256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17" w:name="section-4-1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4.1 学生端</w:t>
      </w:r>
      <w:bookmarkEnd w:id="17"/>
    </w:p>
    <w:p w14:paraId="795B87D9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学生端八个视图按学习顺序排列，左侧导航即是推荐路径。这一排列不是为了整齐，而是为了让"下一步做什么"这个问题在界面上有唯一答案：从上到下就是时间顺序，从左到右就是依赖顺序。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5"/>
        <w:gridCol w:w="1993"/>
        <w:gridCol w:w="4818"/>
      </w:tblGrid>
      <w:tr>
        <w:trPr>
          <w:tblHeader w:val="1"/>
        </w:trPr>
        <w:tc>
          <w:tcPr>
            <w:tcW w:w="149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00337E3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视图</w:t>
            </w:r>
          </w:p>
        </w:tc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D8D1E67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解决的问题</w:t>
            </w:r>
          </w:p>
        </w:tc>
        <w:tc>
          <w:tcPr>
            <w:tcW w:w="481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75C0F11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关键设计</w:t>
            </w:r>
          </w:p>
        </w:tc>
      </w:tr>
      <w:tr>
        <w:trPr/>
        <w:tc>
          <w:tcPr>
            <w:tcW w:w="149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4D4108D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学习总览</w:t>
            </w:r>
          </w:p>
        </w:tc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4DE491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这一周该做什么</w:t>
            </w:r>
          </w:p>
        </w:tc>
        <w:tc>
          <w:tcPr>
            <w:tcW w:w="481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B5C134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五步流程条给进度，四张指标卡给现状，知识维度与任务进度并列，底部四个快捷入口</w:t>
            </w:r>
          </w:p>
        </w:tc>
      </w:tr>
      <w:tr>
        <w:trPr/>
        <w:tc>
          <w:tcPr>
            <w:tcW w:w="149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8D42C3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学情诊断</w:t>
            </w:r>
          </w:p>
        </w:tc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43474DB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薄弱点在哪</w:t>
            </w:r>
          </w:p>
        </w:tc>
        <w:tc>
          <w:tcPr>
            <w:tcW w:w="481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35C3F3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八题覆盖七个知识维度，每题标注所属维度；提交后给出各维度得分与等级</w:t>
            </w:r>
          </w:p>
        </w:tc>
      </w:tr>
      <w:tr>
        <w:trPr/>
        <w:tc>
          <w:tcPr>
            <w:tcW w:w="149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490AE20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章节与知识图谱</w:t>
            </w:r>
          </w:p>
        </w:tc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3288E5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课程如何组织</w:t>
            </w:r>
          </w:p>
        </w:tc>
        <w:tc>
          <w:tcPr>
            <w:tcW w:w="481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322AC6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左侧十八章矩阵标出与学情的匹配度，右侧展开章节详情与六大模块知识图谱</w:t>
            </w:r>
          </w:p>
        </w:tc>
      </w:tr>
      <w:tr>
        <w:trPr/>
        <w:tc>
          <w:tcPr>
            <w:tcW w:w="149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FA264F6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项目匹配</w:t>
            </w:r>
          </w:p>
        </w:tc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E7DC30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该做哪个项目</w:t>
            </w:r>
          </w:p>
        </w:tc>
        <w:tc>
          <w:tcPr>
            <w:tcW w:w="481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C954451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按诊断结果、学习方式、能力目标算匹配分，卡片给出能力路径与匹配理由</w:t>
            </w:r>
          </w:p>
        </w:tc>
      </w:tr>
      <w:tr>
        <w:trPr/>
        <w:tc>
          <w:tcPr>
            <w:tcW w:w="149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92DDDFE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任务闯关</w:t>
            </w:r>
          </w:p>
        </w:tc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5BAC54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今天练什么</w:t>
            </w:r>
          </w:p>
        </w:tc>
        <w:tc>
          <w:tcPr>
            <w:tcW w:w="481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EA69C8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项目拆为五阶关卡（情境认知、原理建模、方案设计、实验验证、协同创生），逐题判分</w:t>
            </w:r>
          </w:p>
        </w:tc>
      </w:tr>
      <w:tr>
        <w:trPr/>
        <w:tc>
          <w:tcPr>
            <w:tcW w:w="149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CF7589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AI 助教</w:t>
            </w:r>
          </w:p>
        </w:tc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B37DD9F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概念怎么理解</w:t>
            </w:r>
          </w:p>
        </w:tc>
        <w:tc>
          <w:tcPr>
            <w:tcW w:w="481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49D5B7B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本地规则引擎驱动，用追问与提示引导，不直接给出答案</w:t>
            </w:r>
          </w:p>
        </w:tc>
      </w:tr>
      <w:tr>
        <w:trPr/>
        <w:tc>
          <w:tcPr>
            <w:tcW w:w="149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82B4BCF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虚拟实验</w:t>
            </w:r>
          </w:p>
        </w:tc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803036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参数变化的影响</w:t>
            </w:r>
          </w:p>
        </w:tc>
        <w:tc>
          <w:tcPr>
            <w:tcW w:w="481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6053D88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参数滑块驱动仿真，输出回波波形与误差；测量可按组保存</w:t>
            </w:r>
          </w:p>
        </w:tc>
      </w:tr>
      <w:tr>
        <w:trPr/>
        <w:tc>
          <w:tcPr>
            <w:tcW w:w="149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98F0612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学习报告</w:t>
            </w:r>
          </w:p>
        </w:tc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D070EE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阶段性结论</w:t>
            </w:r>
          </w:p>
        </w:tc>
        <w:tc>
          <w:tcPr>
            <w:tcW w:w="481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D3C574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综合评定、四阶能力与过程证据清单，支持三种格式导出</w:t>
            </w:r>
          </w:p>
        </w:tc>
      </w:tr>
    </w:tbl>
    <w:p w14:paraId="7671567D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八个视图共享同一份画像数据，但呈现粒度不同。总览用进度，诊断用维度，匹配用权重，报告用评定。这样做的好处是同一份数据可以被反复使用而不需要重复计算，坏处是任何一处数据的写入错误都会在四个视图同时显现，因此写入路径被收敛到单一入口，读侧才允许多处展开。</w:t>
      </w:r>
    </w:p>
    <w:p w14:paraId="2D745A4C">
      <w:pPr>
        <w:spacing w:before="210" w:after="210" w:line="432"/>
        <w:ind w:left="210" w:right="210"/>
        <w:jc w:val="center"/>
        <w:rPr>
          <w:color w:val="1f2937"/>
        </w:rPr>
      </w:pPr>
      <w:r>
        <w:rPr>
          <w:rFonts w:ascii="Songti SC" w:hAnsi="Songti SC" w:eastAsia="Songti SC" w:cs="Songti SC"/>
        </w:rPr>
        <w:drawing>
          <wp:inline>
            <wp:extent cx="5274310" cy="3296443"/>
            <wp:docPr id="8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PingFang SC" w:hAnsi="PingFang SC" w:eastAsia="PingFang SC" w:cs="PingFang SC"/>
          <w:color w:val="64748b"/>
          <w:sz w:val="17"/>
        </w:rPr>
        <w:t>图 3　学生端学习总览：五步流程条、四张指标卡与两个并列面板</w:t>
      </w:r>
    </w:p>
    <w:p w14:paraId="6DE17156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总览页的骨架是一条五步流程：学情诊断、项目匹配、任务闯关、虚拟实验、学习报告。流程条把五个视图串成一条线，当前停在哪一步用实心圆点标出，学生不必自己记住顺序。流程条下方是四张指标卡（诊断总分、任务完成、实验记录、综合评定），再往下是知识维度与任务进度两个面板并列，底部是四个快捷入口。这套布局的用意是"先看状态、再看缺口、最后看入口"，三层信息自上而下收敛。</w:t>
      </w:r>
    </w:p>
    <w:p w14:paraId="70BA1F1E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诊断是整条链路的起点，其输出质量决定了后续所有推荐的可信度。八道题覆盖七个知识维度，每道题下方标注所属维度，学生作答时就能意识到"这题考的是哪一块"。题目设计上刻意避免记忆型考点，全部落在需要建立方程或判断方向的场景，因此作答结果反映的是建模能力而不是背诵程度。提交后右侧给出各维度得分与等级，等级比分数更常用于判断——分数会因为题目难度浮动，等级则是按同一标尺划分的。</w:t>
      </w:r>
    </w:p>
    <w:p w14:paraId="1A3782FD">
      <w:pPr>
        <w:spacing w:before="210" w:after="210" w:line="432"/>
        <w:ind w:left="210" w:right="210"/>
        <w:jc w:val="center"/>
        <w:rPr>
          <w:color w:val="1f2937"/>
        </w:rPr>
      </w:pPr>
      <w:r>
        <w:rPr>
          <w:rFonts w:ascii="Songti SC" w:hAnsi="Songti SC" w:eastAsia="Songti SC" w:cs="Songti SC"/>
        </w:rPr>
        <w:drawing>
          <wp:inline>
            <wp:extent cx="5274310" cy="3296443"/>
            <wp:docPr id="11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PingFang SC" w:hAnsi="PingFang SC" w:eastAsia="PingFang SC" w:cs="PingFang SC"/>
          <w:color w:val="64748b"/>
          <w:sz w:val="17"/>
        </w:rPr>
        <w:t>图 4　学情诊断：八题覆盖七个维度，每题标注所属维度，提交后给出得分与等级</w:t>
      </w:r>
    </w:p>
    <w:p w14:paraId="720FC235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虚拟实验承担的是"把公式变成可感知的量"这一职责。左侧是四个参数滑块（目标距离、声速、反射率、噪声），右侧是实验台；调整参数后点「运行实验」，实验台给出回波波形与测量误差，点「保存记录」把当前一组参数与结果存入测量表。四个参数中「噪声」这一项是刻意加入的：真实测量的难点不在读数而在误差来源，让学生亲手把噪声调大、看误差如何变化，比讲解误差传递更直接。</w:t>
      </w:r>
    </w:p>
    <w:p w14:paraId="3DCA6F96">
      <w:pPr>
        <w:spacing w:before="210" w:after="210" w:line="432"/>
        <w:ind w:left="210" w:right="210"/>
        <w:jc w:val="center"/>
        <w:rPr>
          <w:color w:val="1f2937"/>
        </w:rPr>
      </w:pPr>
      <w:r>
        <w:rPr>
          <w:rFonts w:ascii="Songti SC" w:hAnsi="Songti SC" w:eastAsia="Songti SC" w:cs="Songti SC"/>
        </w:rPr>
        <w:drawing>
          <wp:inline>
            <wp:extent cx="5274310" cy="3296443"/>
            <wp:docPr id="14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PingFang SC" w:hAnsi="PingFang SC" w:eastAsia="PingFang SC" w:cs="PingFang SC"/>
          <w:color w:val="64748b"/>
          <w:sz w:val="17"/>
        </w:rPr>
        <w:t>图 5　虚拟实验：四参数驱动仿真，输出回波波形与误差，测量可按组保存</w:t>
      </w:r>
    </w:p>
    <w:p w14:paraId="03B30F9A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18" w:name="section-4-2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4.2 教师端</w:t>
      </w:r>
      <w:bookmarkEnd w:id="18"/>
    </w:p>
    <w:p w14:paraId="76E34AAE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教师端五个视图对应一次完整的治理动作：定位、观察、对照、复核、调整。五个动作之间存在严格的先后关系，导航顺序即是建议顺序，因为后一步的输入来自前一步的结论。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5"/>
        <w:gridCol w:w="1993"/>
        <w:gridCol w:w="4818"/>
      </w:tblGrid>
      <w:tr>
        <w:trPr>
          <w:tblHeader w:val="1"/>
        </w:trPr>
        <w:tc>
          <w:tcPr>
            <w:tcW w:w="149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FDBE88C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视图</w:t>
            </w:r>
          </w:p>
        </w:tc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34A5801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解决的问题</w:t>
            </w:r>
          </w:p>
        </w:tc>
        <w:tc>
          <w:tcPr>
            <w:tcW w:w="481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43CD508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关键设计</w:t>
            </w:r>
          </w:p>
        </w:tc>
      </w:tr>
      <w:tr>
        <w:trPr/>
        <w:tc>
          <w:tcPr>
            <w:tcW w:w="149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A7DE92C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教学驾驶舱</w:t>
            </w:r>
          </w:p>
        </w:tc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9C66E9F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今天关注谁</w:t>
            </w:r>
          </w:p>
        </w:tc>
        <w:tc>
          <w:tcPr>
            <w:tcW w:w="481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F4DD4BC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四张指标卡 + 风险分布与模块进度两张图 + 按风险排序的关注名单</w:t>
            </w:r>
          </w:p>
        </w:tc>
      </w:tr>
      <w:tr>
        <w:trPr/>
        <w:tc>
          <w:tcPr>
            <w:tcW w:w="149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23A7D2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班级画像</w:t>
            </w:r>
          </w:p>
        </w:tc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0F3391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班级整体状态</w:t>
            </w:r>
          </w:p>
        </w:tc>
        <w:tc>
          <w:tcPr>
            <w:tcW w:w="481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BFDBBE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按状态筛选的名单，每行给出薄弱维度、在做的项目与进度、诊断分</w:t>
            </w:r>
          </w:p>
        </w:tc>
      </w:tr>
      <w:tr>
        <w:trPr/>
        <w:tc>
          <w:tcPr>
            <w:tcW w:w="149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BC6D35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课程项目矩阵</w:t>
            </w:r>
          </w:p>
        </w:tc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71FE14F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目标与项目是否对齐</w:t>
            </w:r>
          </w:p>
        </w:tc>
        <w:tc>
          <w:tcPr>
            <w:tcW w:w="481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CCAFC2E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十八章逐行列出成熟度、学时、产出与主备选项目，可按模块筛选</w:t>
            </w:r>
          </w:p>
        </w:tc>
      </w:tr>
      <w:tr>
        <w:trPr/>
        <w:tc>
          <w:tcPr>
            <w:tcW w:w="149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34A579D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评价复核</w:t>
            </w:r>
          </w:p>
        </w:tc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3287C06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建议分是否采纳</w:t>
            </w:r>
          </w:p>
        </w:tc>
        <w:tc>
          <w:tcPr>
            <w:tcW w:w="481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CE6C9D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学生卡片给出建议分与复核分，复核须填理由，支持整表导出</w:t>
            </w:r>
          </w:p>
        </w:tc>
      </w:tr>
      <w:tr>
        <w:trPr/>
        <w:tc>
          <w:tcPr>
            <w:tcW w:w="149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36FDA4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教学洞察</w:t>
            </w:r>
          </w:p>
        </w:tc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1AE5ACB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下一步怎么调</w:t>
            </w:r>
          </w:p>
        </w:tc>
        <w:tc>
          <w:tcPr>
            <w:tcW w:w="481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1A2D37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按模块给出优势、改进、风险三条基线与一句可执行结论</w:t>
            </w:r>
          </w:p>
        </w:tc>
      </w:tr>
    </w:tbl>
    <w:p w14:paraId="3DE3277C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风险排序只用两个信号：连续未完成任务的次数，与诊断掌握度的环比下滑幅度。选择这两个而不是更复杂的模型，理由是它们可以被教师直接验证——点开任何一行，都能看到具体是哪几次任务没交、哪两个维度的分数掉了。如果排序依据本身不可解释，教师就不会信任列表，整个驾驶舱也就失去意义。名单上每一行还带出薄弱维度、所属项目与当前进度，教师不必跳转就能判断该用什么方式介入。</w:t>
      </w:r>
    </w:p>
    <w:p w14:paraId="76DED54D">
      <w:pPr>
        <w:spacing w:before="210" w:after="210" w:line="432"/>
        <w:ind w:left="210" w:right="210"/>
        <w:jc w:val="center"/>
        <w:rPr>
          <w:color w:val="1f2937"/>
        </w:rPr>
      </w:pPr>
      <w:r>
        <w:rPr>
          <w:rFonts w:ascii="Songti SC" w:hAnsi="Songti SC" w:eastAsia="Songti SC" w:cs="Songti SC"/>
        </w:rPr>
        <w:drawing>
          <wp:inline>
            <wp:extent cx="5274310" cy="3296443"/>
            <wp:docPr id="17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PingFang SC" w:hAnsi="PingFang SC" w:eastAsia="PingFang SC" w:cs="PingFang SC"/>
          <w:color w:val="64748b"/>
          <w:sz w:val="17"/>
        </w:rPr>
        <w:t>图 6　教学驾驶舱：指标卡、两张分布图与按风险排序的关注名单</w:t>
      </w:r>
    </w:p>
    <w:p w14:paraId="71213D7C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课程项目矩阵承担的是课程设计层面的检查。它以章节为单位逐行列出十八章，每行给出案例成熟度（成熟案例、重点建设、拓展案例）、上课学期与学时、该章产出物、覆盖的能力标签与核心素养，右侧是对应的主项目与备选项目。用途是发现两类结构性问题：某一章的主项目为空，说明该章知识缺少实践出口；某章长期停留在「重点建设」，说明配套案例还没做完。这两类问题在逐条查看项目时几乎不可能发现，只有按章节铺开才显现出来。</w:t>
      </w:r>
    </w:p>
    <w:p w14:paraId="1062F79A">
      <w:pPr>
        <w:spacing w:before="210" w:after="210" w:line="432"/>
        <w:ind w:left="210" w:right="210"/>
        <w:jc w:val="center"/>
        <w:rPr>
          <w:color w:val="1f2937"/>
        </w:rPr>
      </w:pPr>
      <w:r>
        <w:rPr>
          <w:rFonts w:ascii="Songti SC" w:hAnsi="Songti SC" w:eastAsia="Songti SC" w:cs="Songti SC"/>
        </w:rPr>
        <w:drawing>
          <wp:inline>
            <wp:extent cx="5274310" cy="3296443"/>
            <wp:docPr id="20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PingFang SC" w:hAnsi="PingFang SC" w:eastAsia="PingFang SC" w:cs="PingFang SC"/>
          <w:color w:val="64748b"/>
          <w:sz w:val="17"/>
        </w:rPr>
        <w:t>图 7　课程项目矩阵：十八章逐行铺开，标出成熟度、产出与主备选项目</w:t>
      </w:r>
    </w:p>
    <w:p w14:paraId="67BF93AF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评价复核是教师端唯一带强制校验的视图。每名学生一张卡片，卡片上并排列出建议分与复核分，未复核时复核分为占位符。进入复核后必须填写理由，理由为空时保存不生效，保存后该卡标记为已复核并记录时间。复核分始终覆盖建议分，学习报告中以复核分为准——这条规则写在页脚提示里，也在数据层强制。整表可导出为 Markdown，包含复核分、理由与两者差值，差值为正说明教师上调，为负说明下调，这一列是后续分析建议分偏差的原始数据。</w:t>
      </w:r>
    </w:p>
    <w:p w14:paraId="7B12D501">
      <w:pPr>
        <w:spacing w:before="210" w:after="210" w:line="432"/>
        <w:ind w:left="210" w:right="210"/>
        <w:jc w:val="center"/>
        <w:rPr>
          <w:color w:val="1f2937"/>
        </w:rPr>
      </w:pPr>
      <w:r>
        <w:rPr>
          <w:rFonts w:ascii="Songti SC" w:hAnsi="Songti SC" w:eastAsia="Songti SC" w:cs="Songti SC"/>
        </w:rPr>
        <w:drawing>
          <wp:inline>
            <wp:extent cx="5274310" cy="3296443"/>
            <wp:docPr id="23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PingFang SC" w:hAnsi="PingFang SC" w:eastAsia="PingFang SC" w:cs="PingFang SC"/>
          <w:color w:val="64748b"/>
          <w:sz w:val="17"/>
        </w:rPr>
        <w:t>图 8　评价复核：卡片并列建议分与复核分，复核须填理由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2f6fb3" w:sz="18"/>
              <w:bottom w:val="none" w:sz="8"/>
              <w:right w:val="none" w:sz="8"/>
            </w:tcBorders>
            <w:shd w:val="clear" w:fill="f4f8fd"/>
            <w:vAlign w:val="center"/>
          </w:tcPr>
          <w:p w14:paraId="08117F34">
            <w:pPr>
              <w:rPr>
                <w:color w:val="334155"/>
              </w:rPr>
            </w:pPr>
            <w:r>
              <w:rPr>
                <w:rFonts w:hint="eastAsia" w:ascii="Songti SC" w:hAnsi="Songti SC" w:eastAsia="Songti SC" w:cs="Songti SC"/>
                <w:color w:val="334155"/>
                <w:sz w:val="19"/>
              </w:rPr>
              <w:t xml:space="preserve"> 建议分不是模型推理的产物，而是由本地规则引擎按薄弱维度、项目进度与任务完成情况加权算出。这一选择牺牲了"看起来更智能"的印象，换来的是可复现与可解释：同一份学情数据必然得到同一个分数，教师追问"为什么是这个分"时能直接拆解到每一项权重。模型能力集中在课堂生成与讲稿撰写，那里才是它真正不可替代的地方。 </w:t>
            </w:r>
          </w:p>
        </w:tc>
      </w:tr>
    </w:tbl>
    <w:p w14:paraId="63845F02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19" w:name="section-4-3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4.3 教学闭环</w:t>
      </w:r>
      <w:bookmarkEnd w:id="19"/>
    </w:p>
    <w:p w14:paraId="7416A474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两侧不是各自独立的模块，而是同一条闭环的两端。学生完成诊断后，画像驱动项目排序；项目拆成关卡，闯关与实验产生的记录汇入学习报告；教师复核评价时看到的就是这条证据链；复核分与教师新增的项目案例再回到下一轮。闭环的关键在于最后一步：如果没有它，系统只是一套记录工具，有了它，教师的一次判断才会改变下一轮的系统行为。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2"/>
        <w:gridCol w:w="1993"/>
        <w:gridCol w:w="2159"/>
        <w:gridCol w:w="2992"/>
      </w:tblGrid>
      <w:tr>
        <w:trPr>
          <w:tblHeader w:val="1"/>
        </w:trPr>
        <w:tc>
          <w:tcPr>
            <w:tcW w:w="116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F755636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环节</w:t>
            </w:r>
          </w:p>
        </w:tc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669C008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输入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E845202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输出</w:t>
            </w:r>
          </w:p>
        </w:tc>
        <w:tc>
          <w:tcPr>
            <w:tcW w:w="299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454D508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触发条件</w:t>
            </w:r>
          </w:p>
        </w:tc>
      </w:tr>
      <w:tr>
        <w:trPr/>
        <w:tc>
          <w:tcPr>
            <w:tcW w:w="116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D231C91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诊断</w:t>
            </w:r>
          </w:p>
        </w:tc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8FBC2B8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八题作答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D5A8BF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七维掌握度画像与等级</w:t>
            </w:r>
          </w:p>
        </w:tc>
        <w:tc>
          <w:tcPr>
            <w:tcW w:w="299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1EE0A5F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首次进入或主动重做</w:t>
            </w:r>
          </w:p>
        </w:tc>
      </w:tr>
      <w:tr>
        <w:trPr/>
        <w:tc>
          <w:tcPr>
            <w:tcW w:w="116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ED844CD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匹配</w:t>
            </w:r>
          </w:p>
        </w:tc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E07B5E1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画像 + 学习方式 + 能力目标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704741C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带匹配分与理由的项目排序</w:t>
            </w:r>
          </w:p>
        </w:tc>
        <w:tc>
          <w:tcPr>
            <w:tcW w:w="299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B616F8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画像存在且未选项目</w:t>
            </w:r>
          </w:p>
        </w:tc>
      </w:tr>
      <w:tr>
        <w:trPr/>
        <w:tc>
          <w:tcPr>
            <w:tcW w:w="116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392F41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实践</w:t>
            </w:r>
          </w:p>
        </w:tc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3A3DF9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项目 + 章节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CD55C52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闯关记录、实验测量、问答记录</w:t>
            </w:r>
          </w:p>
        </w:tc>
        <w:tc>
          <w:tcPr>
            <w:tcW w:w="299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94DE5C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项目加入后</w:t>
            </w:r>
          </w:p>
        </w:tc>
      </w:tr>
      <w:tr>
        <w:trPr/>
        <w:tc>
          <w:tcPr>
            <w:tcW w:w="116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1A17DC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汇总</w:t>
            </w:r>
          </w:p>
        </w:tc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0760251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四类过程证据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B5F689B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学习报告与四阶能力评定</w:t>
            </w:r>
          </w:p>
        </w:tc>
        <w:tc>
          <w:tcPr>
            <w:tcW w:w="299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CF1938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任意证据产生即可查看</w:t>
            </w:r>
          </w:p>
        </w:tc>
      </w:tr>
      <w:tr>
        <w:trPr/>
        <w:tc>
          <w:tcPr>
            <w:tcW w:w="116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585CB0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复核</w:t>
            </w:r>
          </w:p>
        </w:tc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BA8F2FE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报告 + 建议分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05BB12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复核分与理由，覆盖建议分</w:t>
            </w:r>
          </w:p>
        </w:tc>
        <w:tc>
          <w:tcPr>
            <w:tcW w:w="299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2E0F55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教师打开待办</w:t>
            </w:r>
          </w:p>
        </w:tc>
      </w:tr>
      <w:tr>
        <w:trPr/>
        <w:tc>
          <w:tcPr>
            <w:tcW w:w="116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BB17D5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反哺</w:t>
            </w:r>
          </w:p>
        </w:tc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0B68E7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复核分 + 新增本地项目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D272E6B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报告以复核分为准；案例库扩容</w:t>
            </w:r>
          </w:p>
        </w:tc>
        <w:tc>
          <w:tcPr>
            <w:tcW w:w="299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696880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复核保存或项目新增后</w:t>
            </w:r>
          </w:p>
        </w:tc>
      </w:tr>
    </w:tbl>
    <w:p w14:paraId="76E8A22B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闭环的每一环都可独立失败而不阻断整体。诊断未做时，匹配仍列出案例库并给出默认匹配分，卡片上明确提示"等待完成学情诊断后生成个性化匹配"；项目未选时，闯关页给出引导而不是空白；实验未做时，报告只汇总其余三类证据；复核未做时，报告标注"待复核"而不阻塞学生查看。这种"降级而非中断"的设计是刻意的：教学场景中任何一个环节的缺失都是常态，系统必须能在不完整的数据上给出可用结论。</w:t>
      </w:r>
    </w:p>
    <w:p w14:paraId="45E0FEEA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反哺有两条通道，一条是数值的，一条是内容的。数值通道是复核分覆盖建议分，写回学习报告，学生看到的是教师确认过的结果；内容通道是教师在班级画像页新增本地项目，新项目进入案例库（当前内置二十个案例，本地新增单独计数），下一轮项目匹配就会把它纳入候选。内容通道的意义更大：它让课程结构具备生长能力，教师不必等版本更新就能把本班的新案例加进来。</w:t>
      </w:r>
    </w:p>
    <w:p w14:paraId="1783EE6E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20" w:name="section-4-4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4.4 视图与路由</w:t>
      </w:r>
      <w:bookmarkEnd w:id="20"/>
    </w:p>
    <w:p w14:paraId="283A5367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十三个视图各自对应一条路由，路由前缀区分角色，二级路径区分视图。全部路由在构建期静态化，因此首屏不依赖运行时渲染。下表是完整的映射关系，也是端到端自检的用例来源。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"/>
        <w:gridCol w:w="1827"/>
        <w:gridCol w:w="2159"/>
        <w:gridCol w:w="3490"/>
      </w:tblGrid>
      <w:tr>
        <w:trPr>
          <w:tblHeader w:val="1"/>
        </w:trPr>
        <w:tc>
          <w:tcPr>
            <w:tcW w:w="83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F13FB35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角色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7F31AF3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视图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ED8B939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路由</w:t>
            </w:r>
          </w:p>
        </w:tc>
        <w:tc>
          <w:tcPr>
            <w:tcW w:w="349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812A45E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核心动作</w:t>
            </w:r>
          </w:p>
        </w:tc>
      </w:tr>
      <w:tr>
        <w:trPr/>
        <w:tc>
          <w:tcPr>
            <w:tcW w:w="83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1043DC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学生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C550D3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学习总览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EBFD770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/physics/overview</w:t>
            </w:r>
          </w:p>
        </w:tc>
        <w:tc>
          <w:tcPr>
            <w:tcW w:w="349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31EA782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查看待办并进入下一步</w:t>
            </w:r>
          </w:p>
        </w:tc>
      </w:tr>
      <w:tr>
        <w:trPr/>
        <w:tc>
          <w:tcPr>
            <w:tcW w:w="83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C042F76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学生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7B53E1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学情诊断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BABDDF3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/physics/diagnosis</w:t>
            </w:r>
          </w:p>
        </w:tc>
        <w:tc>
          <w:tcPr>
            <w:tcW w:w="349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E12A546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作答八题，生成画像</w:t>
            </w:r>
          </w:p>
        </w:tc>
      </w:tr>
      <w:tr>
        <w:trPr/>
        <w:tc>
          <w:tcPr>
            <w:tcW w:w="83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70C1CF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学生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716646F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章节与知识图谱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DBE6A89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/physics/curriculum</w:t>
            </w:r>
          </w:p>
        </w:tc>
        <w:tc>
          <w:tcPr>
            <w:tcW w:w="349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0556C78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三视角浏览课程结构</w:t>
            </w:r>
          </w:p>
        </w:tc>
      </w:tr>
      <w:tr>
        <w:trPr/>
        <w:tc>
          <w:tcPr>
            <w:tcW w:w="83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921E5B0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学生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4E985AB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项目匹配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63B3F4A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/physics/projects</w:t>
            </w:r>
          </w:p>
        </w:tc>
        <w:tc>
          <w:tcPr>
            <w:tcW w:w="349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62887DC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挑选项目并加入</w:t>
            </w:r>
          </w:p>
        </w:tc>
      </w:tr>
      <w:tr>
        <w:trPr/>
        <w:tc>
          <w:tcPr>
            <w:tcW w:w="83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F4D4FCB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学生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99C1F7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任务闯关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61E5D7D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/physics/tasks</w:t>
            </w:r>
          </w:p>
        </w:tc>
        <w:tc>
          <w:tcPr>
            <w:tcW w:w="349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6E7650D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逐题作答与判分</w:t>
            </w:r>
          </w:p>
        </w:tc>
      </w:tr>
      <w:tr>
        <w:trPr/>
        <w:tc>
          <w:tcPr>
            <w:tcW w:w="83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F0EED82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学生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BB6553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AI 助教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FDB73FD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/physics/assistant</w:t>
            </w:r>
          </w:p>
        </w:tc>
        <w:tc>
          <w:tcPr>
            <w:tcW w:w="349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37A424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围绕章节追问与提示</w:t>
            </w:r>
          </w:p>
        </w:tc>
      </w:tr>
      <w:tr>
        <w:trPr/>
        <w:tc>
          <w:tcPr>
            <w:tcW w:w="83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C588CC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学生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692705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虚拟实验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FFED1A2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/physics/lab</w:t>
            </w:r>
          </w:p>
        </w:tc>
        <w:tc>
          <w:tcPr>
            <w:tcW w:w="349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51C0C9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调参、观察、记录测量</w:t>
            </w:r>
          </w:p>
        </w:tc>
      </w:tr>
      <w:tr>
        <w:trPr/>
        <w:tc>
          <w:tcPr>
            <w:tcW w:w="83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E36470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学生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8E0F60D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学习报告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73C0E61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/physics/report</w:t>
            </w:r>
          </w:p>
        </w:tc>
        <w:tc>
          <w:tcPr>
            <w:tcW w:w="349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73256D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查看并导出报告</w:t>
            </w:r>
          </w:p>
        </w:tc>
      </w:tr>
      <w:tr>
        <w:trPr/>
        <w:tc>
          <w:tcPr>
            <w:tcW w:w="83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00C014B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教师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C9C01DF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教学驾驶舱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03D5AE6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/teacher/dashboard</w:t>
            </w:r>
          </w:p>
        </w:tc>
        <w:tc>
          <w:tcPr>
            <w:tcW w:w="349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A5F7390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定位风险学生与待复核</w:t>
            </w:r>
          </w:p>
        </w:tc>
      </w:tr>
      <w:tr>
        <w:trPr/>
        <w:tc>
          <w:tcPr>
            <w:tcW w:w="83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177FB18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教师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6C7620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班级画像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A29EA6B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/teacher/class</w:t>
            </w:r>
          </w:p>
        </w:tc>
        <w:tc>
          <w:tcPr>
            <w:tcW w:w="349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BE0B5EF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查看班级明细</w:t>
            </w:r>
          </w:p>
        </w:tc>
      </w:tr>
      <w:tr>
        <w:trPr/>
        <w:tc>
          <w:tcPr>
            <w:tcW w:w="83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312BDBD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教师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4DBF8B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课程项目矩阵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F79E7FF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/teacher/curriculum</w:t>
            </w:r>
          </w:p>
        </w:tc>
        <w:tc>
          <w:tcPr>
            <w:tcW w:w="349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B84F82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核对目标与项目覆盖</w:t>
            </w:r>
          </w:p>
        </w:tc>
      </w:tr>
      <w:tr>
        <w:trPr/>
        <w:tc>
          <w:tcPr>
            <w:tcW w:w="83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2FE76F6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教师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82FF68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评价复核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2E1F81B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/teacher/evaluation</w:t>
            </w:r>
          </w:p>
        </w:tc>
        <w:tc>
          <w:tcPr>
            <w:tcW w:w="349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F4AFAB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改分、写理由、导出</w:t>
            </w:r>
          </w:p>
        </w:tc>
      </w:tr>
      <w:tr>
        <w:trPr/>
        <w:tc>
          <w:tcPr>
            <w:tcW w:w="83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653705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教师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B3BEBCC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教学洞察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9D9A0E7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/teacher/insights</w:t>
            </w:r>
          </w:p>
        </w:tc>
        <w:tc>
          <w:tcPr>
            <w:tcW w:w="349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91EA99B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查看建议与依据</w:t>
            </w:r>
          </w:p>
        </w:tc>
      </w:tr>
    </w:tbl>
    <w:p w14:paraId="560E3FED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路由守卫由纯函数实现，输入是"当前角色 + 目标路径"，输出是"是否放行 + 重定向目标"。它不依赖路由表是否命中，因此访问一个不存在的视图时也能正确回到本角色首页。这一点在早期版本中出过问题：守卫基于路由表匹配，未知视图匹配不到任何规则，于是被当作放行处理，学生可以直接看到教师端的空壳页面。改成纯函数判定之后，未知视图一律视为越权。</w:t>
      </w:r>
    </w:p>
    <w:p w14:paraId="2667961D">
      <w:pPr>
        <w:pStyle w:val="000004"/>
        <w:keepNext w:val="1"/>
        <w:keepLines w:val="1"/>
        <w:pageBreakBefore/>
        <w:pBdr>
          <w:bottom w:val="single" w:color="12386e" w:sz="12"/>
        </w:pBdr>
        <w:spacing w:before="510" w:beforeAutospacing="1" w:after="510" w:afterAutospacing="1" w:line="432"/>
        <w:ind w:left="510" w:right="510"/>
        <w:outlineLvl w:val="0"/>
        <w:rPr>
          <w:color w:val="0b2545"/>
          <w:kern w:val="44"/>
          <w:sz w:val="44"/>
          <w:szCs w:val="44"/>
        </w:rPr>
      </w:pPr>
      <w:bookmarkStart w:id="21" w:name="section-5"/>
      <w:r>
        <w:rPr>
          <w:rFonts w:hint="eastAsia" w:ascii="PingFang SC" w:hAnsi="PingFang SC" w:eastAsia="PingFang SC" w:cs="PingFang SC"/>
          <w:b w:val="1"/>
          <w:color w:val="0b2545"/>
          <w:spacing w:val="7"/>
          <w:sz w:val="40"/>
        </w:rPr>
        <w:t>五、关键技术实现</w:t>
      </w:r>
      <w:bookmarkEnd w:id="21"/>
    </w:p>
    <w:p w14:paraId="73CF18B4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22" w:name="section-5-1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5.1 课堂生成链路</w:t>
      </w:r>
      <w:bookmarkEnd w:id="22"/>
    </w:p>
    <w:p w14:paraId="6852DC35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一句需求要变成可播放的课堂，中间有四步：生成大纲、确定角色、逐场景写内容、写讲稿与动作。四步串行，只有逐场景内容这一步内部并行。之所以不做全并行，是因为后一步的输入依赖前一步的输出——角色口吻要依据大纲的场景类型确定，讲稿要依据场景内容撰写，依赖关系无法绕过。</w:t>
      </w:r>
    </w:p>
    <w:p w14:paraId="4A4FD299">
      <w:pPr>
        <w:spacing w:before="210" w:after="210" w:line="432"/>
        <w:ind w:left="210" w:right="210"/>
        <w:jc w:val="center"/>
        <w:rPr>
          <w:color w:val="1f2937"/>
        </w:rPr>
      </w:pPr>
      <w:r>
        <w:rPr>
          <w:rFonts w:ascii="Songti SC" w:hAnsi="Songti SC" w:eastAsia="Songti SC" w:cs="Songti SC"/>
        </w:rPr>
        <w:drawing>
          <wp:inline>
            <wp:extent cx="5274310" cy="4704837"/>
            <wp:docPr id="26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0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PingFang SC" w:hAnsi="PingFang SC" w:eastAsia="PingFang SC" w:cs="PingFang SC"/>
          <w:color w:val="64748b"/>
          <w:sz w:val="17"/>
        </w:rPr>
        <w:t>图 9　一次生成请求的时序：大纲流式返回，角色与内容随后，最后落盘</w:t>
      </w:r>
    </w:p>
    <w:p w14:paraId="00978079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拆成四步的原因是可恢复性。大纲先出，学生十几秒内能看到课程骨架，即使后面失败也知道方向对不对；角色决定讲稿口吻，必须在大纲之后确定，但它本身是一次轻量调用，失败重试的成本很低；逐场景内容是最重的一步，拆成独立请求后，某个场景配音有问题时只重做那一场，不必整堂课重来；讲稿与动作放在最后，是因为它需要拿到全部场景内容才能保持前后一致。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2657"/>
        <w:gridCol w:w="3988"/>
      </w:tblGrid>
      <w:tr>
        <w:trPr>
          <w:tblHeader w:val="1"/>
        </w:trPr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BB61237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阶段</w:t>
            </w:r>
          </w:p>
        </w:tc>
        <w:tc>
          <w:tcPr>
            <w:tcW w:w="265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3577DF4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接口</w:t>
            </w:r>
          </w:p>
        </w:tc>
        <w:tc>
          <w:tcPr>
            <w:tcW w:w="398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9F68123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实测表现</w:t>
            </w:r>
          </w:p>
        </w:tc>
      </w:tr>
      <w:tr>
        <w:trPr/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A7986BF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课堂大纲</w:t>
            </w:r>
          </w:p>
        </w:tc>
        <w:tc>
          <w:tcPr>
            <w:tcW w:w="265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81CCCE0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/api/generate/scene-outlines-stream</w:t>
            </w:r>
          </w:p>
        </w:tc>
        <w:tc>
          <w:tcPr>
            <w:tcW w:w="398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AAF9A8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200，78.5 秒，15 个场景，收到完成事件</w:t>
            </w:r>
          </w:p>
        </w:tc>
      </w:tr>
      <w:tr>
        <w:trPr/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CCFA2EC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智能体角色</w:t>
            </w:r>
          </w:p>
        </w:tc>
        <w:tc>
          <w:tcPr>
            <w:tcW w:w="265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65B24DF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/api/generate/agent-profiles</w:t>
            </w:r>
          </w:p>
        </w:tc>
        <w:tc>
          <w:tcPr>
            <w:tcW w:w="398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3B3AA5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200，约 29 秒</w:t>
            </w:r>
          </w:p>
        </w:tc>
      </w:tr>
      <w:tr>
        <w:trPr/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604C1E0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逐场景内容</w:t>
            </w:r>
          </w:p>
        </w:tc>
        <w:tc>
          <w:tcPr>
            <w:tcW w:w="265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25F3F94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/api/generate/scene-content</w:t>
            </w:r>
          </w:p>
        </w:tc>
        <w:tc>
          <w:tcPr>
            <w:tcW w:w="398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3E054DE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200，单场景 60–82 秒</w:t>
            </w:r>
          </w:p>
        </w:tc>
      </w:tr>
      <w:tr>
        <w:trPr/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1999152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讲稿与动作</w:t>
            </w:r>
          </w:p>
        </w:tc>
        <w:tc>
          <w:tcPr>
            <w:tcW w:w="265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232ACDE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/api/generate/scene-actions</w:t>
            </w:r>
          </w:p>
        </w:tc>
        <w:tc>
          <w:tcPr>
            <w:tcW w:w="398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8A1CB11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200，约 10 秒</w:t>
            </w:r>
          </w:p>
        </w:tc>
      </w:tr>
    </w:tbl>
    <w:p w14:paraId="06E92906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四个阶段的耗时分布极不均匀，内容生成占了九成以上，这决定了优化的重心。如果按比例分配工程投入，绝大部分精力应该放在内容阶段；如果按"用户感知"分配，大纲阶段的优先级反而更高，因为它是第一个可见产物，78.5 秒的等待如果没有任何中间反馈，体验会远比实际耗时更差。系统因此在大纲阶段采用流式返回，每解析出一个场景就推一条事件，前端边收边渲染。</w:t>
      </w:r>
    </w:p>
    <w:p w14:paraId="17475FE2">
      <w:pPr>
        <w:spacing w:before="210" w:after="210" w:line="432"/>
        <w:ind w:left="210" w:right="210"/>
        <w:jc w:val="center"/>
        <w:rPr>
          <w:color w:val="1f2937"/>
        </w:rPr>
      </w:pPr>
      <w:r>
        <w:rPr>
          <w:rFonts w:ascii="Songti SC" w:hAnsi="Songti SC" w:eastAsia="Songti SC" w:cs="Songti SC"/>
        </w:rPr>
        <w:drawing>
          <wp:inline>
            <wp:extent cx="5274310" cy="3296443"/>
            <wp:docPr id="29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PingFang SC" w:hAnsi="PingFang SC" w:eastAsia="PingFang SC" w:cs="PingFang SC"/>
          <w:color w:val="64748b"/>
          <w:sz w:val="17"/>
        </w:rPr>
        <w:t>图 10　生成结果在播放器中呈现，讲稿随进度高亮</w:t>
      </w:r>
    </w:p>
    <w:p w14:paraId="67597471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23" w:name="section-5-2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5.2 并行调度</w:t>
      </w:r>
      <w:bookmarkEnd w:id="23"/>
    </w:p>
    <w:p w14:paraId="540BAE60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内容生成是耗时大头，因此做成两阶段流水线：内容按并发预取，按顺序消费。预取与消费之间没有栅栏，第一个场景画出来的时间与串行一致，后续场景的内容在后台已经备好。这样既拿到了并行的总时长收益，又没有牺牲"首场景尽快可见"这一体验目标。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9"/>
        <w:gridCol w:w="3322"/>
        <w:gridCol w:w="2825"/>
      </w:tblGrid>
      <w:tr>
        <w:trPr>
          <w:tblHeader w:val="1"/>
        </w:trPr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CE02FAA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方式</w:t>
            </w:r>
          </w:p>
        </w:tc>
        <w:tc>
          <w:tcPr>
            <w:tcW w:w="332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CD27814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四个场景的耗时</w:t>
            </w:r>
          </w:p>
        </w:tc>
        <w:tc>
          <w:tcPr>
            <w:tcW w:w="28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5E1FE84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总墙钟</w:t>
            </w:r>
          </w:p>
        </w:tc>
      </w:tr>
      <w:tr>
        <w:trPr/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D16670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串行</w:t>
            </w:r>
          </w:p>
        </w:tc>
        <w:tc>
          <w:tcPr>
            <w:tcW w:w="332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5D7782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66 / 165 / 54 / 32 秒</w:t>
            </w:r>
          </w:p>
        </w:tc>
        <w:tc>
          <w:tcPr>
            <w:tcW w:w="28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96908B1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317 秒</w:t>
            </w:r>
          </w:p>
        </w:tc>
      </w:tr>
      <w:tr>
        <w:trPr/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EF90AD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四路并行</w:t>
            </w:r>
          </w:p>
        </w:tc>
        <w:tc>
          <w:tcPr>
            <w:tcW w:w="332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B6B0B66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69 / 71 / 76 / 83 秒</w:t>
            </w:r>
          </w:p>
        </w:tc>
        <w:tc>
          <w:tcPr>
            <w:tcW w:w="28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E92202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f2937"/>
                <w:sz w:val="18"/>
              </w:rPr>
              <w:t>83 秒</w:t>
            </w:r>
          </w:p>
        </w:tc>
      </w:tr>
    </w:tbl>
    <w:p w14:paraId="21A0E471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并行时单个请求没有被拖慢，仍在串行单场的区间内，说明瓶颈在模型输出长度而非排队。这一点很重要：如果瓶颈是排队，提高并发只会把队列从一个地方挪到另一个地方，总时长不变；既然瓶颈在生成本身，提高并发就能实打实地压缩墙钟。串行时第二场耗时 165 秒，明显高于其他三场，说明个别场景的内容长度差异很大，这也解释了为什么并行后的墙钟不是平均值而是最大值。</w:t>
      </w:r>
    </w:p>
    <w:p w14:paraId="40BB1EA5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并发度可配置，默认四路，上限十路；设为零即退回串行，便于在低配额环境下降级。上限设为十而不是更高，是因为再往上收益递减而失败面扩大：单场景已接近函数执行上限，同时开十个请求会让任何一次的抖动都演变成整体超时。调度器只保证"最多 N 个在飞"，不保证顺序，顺序由消费侧按索引取用，因此单个场景失败不会打乱其他场景的位置。</w:t>
      </w:r>
    </w:p>
    <w:p w14:paraId="2FA9298E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24" w:name="section-5-3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5.3 流式输出与断点保留</w:t>
      </w:r>
      <w:bookmarkEnd w:id="24"/>
    </w:p>
    <w:p w14:paraId="066AD8E6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大纲接口以事件流返回，每解析出一个完整场景就推一条事件，前端边收边渲染。事件按 SSE 格式分帧，每帧带事件类型与负载，前端按类型分发：场景帧追加到列表，进度帧更新计数，完成帧关闭连接。这种分帧方式的好处是前端可以在任何一帧之后中断而不破坏状态——已经渲染的场景保持可见，未到达的部分显示为占位。</w:t>
      </w:r>
    </w:p>
    <w:p w14:paraId="45DBF1F0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流在中途断开时，已经解析出的场景会被保留并直接收尾，不整批重来。这一行为是整条链路里最容易被忽略但影响最大的设计。早期版本在这里做全量重试，理由是"重试一次总能拿到完整结果"；实际情况是两次生成叠加会撞上函数执行上限，第二次还没跑完就被截断，最后连可用的十二个场景都拿不到。现在的策略是"能拿多少用多少"，把不完整但可用的结果交给用户，由用户决定是否补生成。</w:t>
      </w:r>
    </w:p>
    <w:p w14:paraId="399E60D1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判断"可收尾"的条件是已解析场景数大于零。这个条件看似宽松，实际上经过了权衡：如果要求解析出全部场景才收尾，那么在模型侧网络抖动时用户会得到零结果；如果只要求解析出一个，那么在模型返回明显跑偏时用户会得到一个残缺的课堂。选择前者会导致空手而归，选择后者至少还有骨架可以判断方向，因此取后者。</w:t>
      </w:r>
    </w:p>
    <w:p w14:paraId="227CB667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25" w:name="section-5-4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5.4 结构校验与修复</w:t>
      </w:r>
      <w:bookmarkEnd w:id="25"/>
    </w:p>
    <w:p w14:paraId="34202184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模型返回的内容不是可信数据，必须经过校验才能进入渲染。校验分五级，逐级递进，任何一级通过即停止，全部失败才向上抛错。这套分级的意义在于把"重试"这个昂贵的动作推迟到最后，大多数问题在前两级就能就地修好。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6"/>
        <w:gridCol w:w="2491"/>
        <w:gridCol w:w="2159"/>
        <w:gridCol w:w="2660"/>
      </w:tblGrid>
      <w:tr>
        <w:trPr>
          <w:tblHeader w:val="1"/>
        </w:trPr>
        <w:tc>
          <w:tcPr>
            <w:tcW w:w="99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FBC9D82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级别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69AFDBB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处理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DE0609E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适用情形</w:t>
            </w:r>
          </w:p>
        </w:tc>
        <w:tc>
          <w:tcPr>
            <w:tcW w:w="266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4CD8E98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成本</w:t>
            </w:r>
          </w:p>
        </w:tc>
      </w:tr>
      <w:tr>
        <w:trPr/>
        <w:tc>
          <w:tcPr>
            <w:tcW w:w="99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DD6682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一级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4877741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剥离思考段，提取首个完整 JSON 对象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8207CD2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正文前混入思考内容</w:t>
            </w:r>
          </w:p>
        </w:tc>
        <w:tc>
          <w:tcPr>
            <w:tcW w:w="266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C4475A6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字符串处理，微秒级</w:t>
            </w:r>
          </w:p>
        </w:tc>
      </w:tr>
      <w:tr>
        <w:trPr/>
        <w:tc>
          <w:tcPr>
            <w:tcW w:w="99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552FC1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二级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C7B028E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补齐未闭合的括号与引号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C04CB7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输出被长度截断</w:t>
            </w:r>
          </w:p>
        </w:tc>
        <w:tc>
          <w:tcPr>
            <w:tcW w:w="266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3A1EBA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字符串处理，微秒级</w:t>
            </w:r>
          </w:p>
        </w:tc>
      </w:tr>
      <w:tr>
        <w:trPr/>
        <w:tc>
          <w:tcPr>
            <w:tcW w:w="99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8F6736C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三级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1F7924B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按字段契约校验并补默认值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54EE1F6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字段缺失或类型不符</w:t>
            </w:r>
          </w:p>
        </w:tc>
        <w:tc>
          <w:tcPr>
            <w:tcW w:w="266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B1D8C6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内存校验，毫秒级</w:t>
            </w:r>
          </w:p>
        </w:tc>
      </w:tr>
      <w:tr>
        <w:trPr/>
        <w:tc>
          <w:tcPr>
            <w:tcW w:w="99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005469F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四级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EFBAE08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仅重试缺失字段所在的子结构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9338E0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局部内容为空</w:t>
            </w:r>
          </w:p>
        </w:tc>
        <w:tc>
          <w:tcPr>
            <w:tcW w:w="266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B7AAE30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一次轻量调用</w:t>
            </w:r>
          </w:p>
        </w:tc>
      </w:tr>
      <w:tr>
        <w:trPr/>
        <w:tc>
          <w:tcPr>
            <w:tcW w:w="99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05DA4E8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五级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F1689F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整段重试，失败则抛错给前端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F17FD42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结构完全不可解析</w:t>
            </w:r>
          </w:p>
        </w:tc>
        <w:tc>
          <w:tcPr>
            <w:tcW w:w="266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CD638CE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一次完整调用</w:t>
            </w:r>
          </w:p>
        </w:tc>
      </w:tr>
    </w:tbl>
    <w:p w14:paraId="076F18CF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四级"只重试子结构"是收益最高的一级。模型在长输出时经常出现"主体完整、结尾字段为空"的情况，此时整段重试等于把已经正确的九成内容再生成一遍，既慢又不保证更好。把缺失部分单独抽出来补一次，通常十几秒就能补上，而且不影响其余字段。代价是需要为每个子结构写一份独立的提示词，维护成本略高，但换来的是失败恢复时间从分钟级降到十秒级。</w:t>
      </w:r>
    </w:p>
    <w:p w14:paraId="14E960DE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校验的失败不会向上冒泡成整堂课的失败。单个场景校验失败只影响那一场，播放器会在该场景位置显示占位并允许单独重生成，其余场景照常播放。这一设计让"部分成功"成为一种合法状态，而不是必须归零的异常。</w:t>
      </w:r>
    </w:p>
    <w:p w14:paraId="46C473B3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26" w:name="section-5-5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5.5 模型适配层</w:t>
      </w:r>
      <w:bookmarkEnd w:id="26"/>
    </w:p>
    <w:p w14:paraId="43E9EAA9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模型统一走 Makers 网关的 OpenAI 兼容协议，适配层只做三件事：解析模型串、注入思考开关、统一错误映射。三件事都收敛在一个文件里，业务代码不允许直接构造厂商请求。这条约束由构建期检查守住——源码中出现厂商专有的请求字段名即判定违规。</w:t>
      </w:r>
    </w:p>
    <w:p w14:paraId="7496AFBF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 xml:space="preserve">思考开关是必须的。当前模型默认把思考过程写进正文，形如 </w:t>
      </w:r>
      <w:r>
        <w:rPr>
          <w:rFonts w:ascii="SF Mono" w:hAnsi="SF Mono" w:eastAsia="SF Mono" w:cs="SF Mono"/>
          <w:color w:val="1f2937"/>
          <w:sz w:val="18"/>
          <w:shd w:val="clear" w:fill="eef2f7"/>
        </w:rPr>
        <w:t>&lt;think&gt;…</w:t>
      </w:r>
      <w:r>
        <w:rPr>
          <w:rFonts w:hint="eastAsia" w:ascii="Songti SC" w:hAnsi="Songti SC" w:eastAsia="Songti SC" w:cs="Songti SC"/>
          <w:color w:val="1f2937"/>
          <w:sz w:val="21"/>
        </w:rPr>
        <w:t xml:space="preserve">，会让大纲的 JSON 解析失败。实测只有 </w:t>
      </w:r>
      <w:r>
        <w:rPr>
          <w:rFonts w:ascii="SF Mono" w:hAnsi="SF Mono" w:eastAsia="SF Mono" w:cs="SF Mono"/>
          <w:color w:val="1f2937"/>
          <w:sz w:val="18"/>
          <w:shd w:val="clear" w:fill="eef2f7"/>
        </w:rPr>
        <w:t>thinking: { type: "disabled" }</w:t>
      </w:r>
      <w:r>
        <w:rPr>
          <w:rFonts w:hint="eastAsia" w:ascii="Songti SC" w:hAnsi="Songti SC" w:eastAsia="Songti SC" w:cs="Songti SC"/>
          <w:color w:val="1f2937"/>
          <w:sz w:val="21"/>
        </w:rPr>
        <w:t xml:space="preserve"> 能真正关闭，</w:t>
      </w:r>
      <w:r>
        <w:rPr>
          <w:rFonts w:ascii="SF Mono" w:hAnsi="SF Mono" w:eastAsia="SF Mono" w:cs="SF Mono"/>
          <w:color w:val="1f2937"/>
          <w:sz w:val="18"/>
          <w:shd w:val="clear" w:fill="eef2f7"/>
        </w:rPr>
        <w:t>reasoning_effort</w:t>
      </w:r>
      <w:r>
        <w:rPr>
          <w:rFonts w:hint="eastAsia" w:ascii="Songti SC" w:hAnsi="Songti SC" w:eastAsia="Songti SC" w:cs="Songti SC"/>
          <w:color w:val="1f2937"/>
          <w:sz w:val="21"/>
        </w:rPr>
        <w:t xml:space="preserve"> 与 </w:t>
      </w:r>
      <w:r>
        <w:rPr>
          <w:rFonts w:ascii="SF Mono" w:hAnsi="SF Mono" w:eastAsia="SF Mono" w:cs="SF Mono"/>
          <w:color w:val="1f2937"/>
          <w:sz w:val="18"/>
          <w:shd w:val="clear" w:fill="eef2f7"/>
        </w:rPr>
        <w:t>chat_template_kwargs</w:t>
      </w:r>
      <w:r>
        <w:rPr>
          <w:rFonts w:hint="eastAsia" w:ascii="Songti SC" w:hAnsi="Songti SC" w:eastAsia="Songti SC" w:cs="Songti SC"/>
          <w:color w:val="1f2937"/>
          <w:sz w:val="21"/>
        </w:rPr>
        <w:t xml:space="preserve"> 均无效——前者被网关忽略，后者不被当前模型识别。适配层在调用前统一注入，用户显式开启时以用户设置为准，这一优先级保证了调试时仍能看到思考过程。</w:t>
      </w:r>
    </w:p>
    <w:p w14:paraId="54D6706D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错误映射解决的是"同一个失败有十种说法"的问题。上游可能返回配额不足、内容被拦截、请求超长、鉴权失败、上游超时等十余种错误码，如果原样透传，前端需要为每种码写一份提示。适配层把它们归为五类：凭据类、配额类、长度类、内容类、超时类，每类对应一条固定文案与一个可操作建议。前端只认这五类，新增上游错误码时只需在映射表里加一行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2f6fb3" w:sz="18"/>
              <w:bottom w:val="none" w:sz="8"/>
              <w:right w:val="none" w:sz="8"/>
            </w:tcBorders>
            <w:shd w:val="clear" w:fill="f4f8fd"/>
            <w:vAlign w:val="center"/>
          </w:tcPr>
          <w:p w14:paraId="04D27560">
            <w:pPr>
              <w:rPr>
                <w:color w:val="334155"/>
              </w:rPr>
            </w:pPr>
            <w:r>
              <w:rPr>
                <w:rFonts w:hint="eastAsia" w:ascii="Songti SC" w:hAnsi="Songti SC" w:eastAsia="Songti SC" w:cs="Songti SC"/>
                <w:color w:val="334155"/>
                <w:sz w:val="19"/>
              </w:rPr>
              <w:t xml:space="preserve"> 适配层同时负责"模型串 → 厂商 + 模型"的解析，换模型只需改一个环境变量，业务代码不用动。这条约定写在了配置模块的注释里，避免后来者绕过适配层直接调厂商 SDK。构建期的检查会扫描源码中的厂商专有字段名，命中即失败，因此这条约定不是靠自觉维持的。 </w:t>
            </w:r>
          </w:p>
        </w:tc>
      </w:tr>
    </w:tbl>
    <w:p w14:paraId="731D41FF">
      <w:pPr>
        <w:pStyle w:val="000004"/>
        <w:keepNext w:val="1"/>
        <w:keepLines w:val="1"/>
        <w:pageBreakBefore/>
        <w:pBdr>
          <w:bottom w:val="single" w:color="12386e" w:sz="12"/>
        </w:pBdr>
        <w:spacing w:before="510" w:beforeAutospacing="1" w:after="510" w:afterAutospacing="1" w:line="432"/>
        <w:ind w:left="510" w:right="510"/>
        <w:outlineLvl w:val="0"/>
        <w:rPr>
          <w:color w:val="0b2545"/>
          <w:kern w:val="44"/>
          <w:sz w:val="44"/>
          <w:szCs w:val="44"/>
        </w:rPr>
      </w:pPr>
      <w:bookmarkStart w:id="27" w:name="section-6"/>
      <w:r>
        <w:rPr>
          <w:rFonts w:hint="eastAsia" w:ascii="PingFang SC" w:hAnsi="PingFang SC" w:eastAsia="PingFang SC" w:cs="PingFang SC"/>
          <w:b w:val="1"/>
          <w:color w:val="0b2545"/>
          <w:spacing w:val="7"/>
          <w:sz w:val="40"/>
        </w:rPr>
        <w:t>六、数据设计</w:t>
      </w:r>
      <w:bookmarkEnd w:id="27"/>
    </w:p>
    <w:p w14:paraId="43218943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28" w:name="section-6-1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6.1 数据模型</w:t>
      </w:r>
      <w:bookmarkEnd w:id="28"/>
    </w:p>
    <w:p w14:paraId="22EEA7FE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业务数据全部在浏览器本地，按账号分区。分区方式是在键名后追加账号标识，读取时先取当前会话的账号标识再拼键名，因此不同账号的数据在物理上互不可见，不需要额外的权限判断。键空间如下。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1827"/>
        <w:gridCol w:w="3655"/>
      </w:tblGrid>
      <w:tr>
        <w:trPr>
          <w:tblHeader w:val="1"/>
        </w:trPr>
        <w:tc>
          <w:tcPr>
            <w:tcW w:w="282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D36FFCF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键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6565F51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内容</w:t>
            </w:r>
          </w:p>
        </w:tc>
        <w:tc>
          <w:tcPr>
            <w:tcW w:w="365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E873EAB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说明</w:t>
            </w:r>
          </w:p>
        </w:tc>
      </w:tr>
      <w:tr>
        <w:trPr/>
        <w:tc>
          <w:tcPr>
            <w:tcW w:w="282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74431F9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physics-ai-accounts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E523800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账号表</w:t>
            </w:r>
          </w:p>
        </w:tc>
        <w:tc>
          <w:tcPr>
            <w:tcW w:w="365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BBBA261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用户名、角色、口令哈希、盐、迭代次数</w:t>
            </w:r>
          </w:p>
        </w:tc>
      </w:tr>
      <w:tr>
        <w:trPr/>
        <w:tc>
          <w:tcPr>
            <w:tcW w:w="282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A567DAA">
            <w:pPr>
              <w:jc w:val="left"/>
              <w:rPr>
                <w:color w:val="1f2937"/>
              </w:rPr>
            </w:pPr>
            <w:r>
              <w:rPr>
                <w:rFonts w:hint="eastAsia" w:ascii="SF Mono" w:hAnsi="SF Mono" w:eastAsia="SF Mono" w:cs="SF Mono"/>
                <w:color w:val="1f2937"/>
                <w:sz w:val="18"/>
                <w:shd w:val="clear" w:fill="eef2f7"/>
              </w:rPr>
              <w:t>physics-ai-accounts:corrupt-&lt;时间戳&gt;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0F7E1E1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损坏备份</w:t>
            </w:r>
          </w:p>
        </w:tc>
        <w:tc>
          <w:tcPr>
            <w:tcW w:w="365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3056E8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账号表解析失败时先备份再报错</w:t>
            </w:r>
          </w:p>
        </w:tc>
      </w:tr>
      <w:tr>
        <w:trPr/>
        <w:tc>
          <w:tcPr>
            <w:tcW w:w="282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E8B672F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physics-ai-session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7E3976D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会话</w:t>
            </w:r>
          </w:p>
        </w:tc>
        <w:tc>
          <w:tcPr>
            <w:tcW w:w="365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CB8AE7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当前账号 id 与登录时间</w:t>
            </w:r>
          </w:p>
        </w:tc>
      </w:tr>
      <w:tr>
        <w:trPr/>
        <w:tc>
          <w:tcPr>
            <w:tcW w:w="282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CA794E5">
            <w:pPr>
              <w:jc w:val="left"/>
              <w:rPr>
                <w:color w:val="1f2937"/>
              </w:rPr>
            </w:pPr>
            <w:r>
              <w:rPr>
                <w:rFonts w:hint="eastAsia" w:ascii="SF Mono" w:hAnsi="SF Mono" w:eastAsia="SF Mono" w:cs="SF Mono"/>
                <w:color w:val="1f2937"/>
                <w:sz w:val="18"/>
                <w:shd w:val="clear" w:fill="eef2f7"/>
              </w:rPr>
              <w:t>physics-ai-stage:&lt;账号 id&gt;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1765366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课堂数据</w:t>
            </w:r>
          </w:p>
        </w:tc>
        <w:tc>
          <w:tcPr>
            <w:tcW w:w="365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3B1FB00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生成结果与播放进度，按账号隔离</w:t>
            </w:r>
          </w:p>
        </w:tc>
      </w:tr>
      <w:tr>
        <w:trPr/>
        <w:tc>
          <w:tcPr>
            <w:tcW w:w="282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CC4062E">
            <w:pPr>
              <w:jc w:val="left"/>
              <w:rPr>
                <w:color w:val="1f2937"/>
              </w:rPr>
            </w:pPr>
            <w:r>
              <w:rPr>
                <w:rFonts w:hint="eastAsia" w:ascii="SF Mono" w:hAnsi="SF Mono" w:eastAsia="SF Mono" w:cs="SF Mono"/>
                <w:color w:val="1f2937"/>
                <w:sz w:val="18"/>
                <w:shd w:val="clear" w:fill="eef2f7"/>
              </w:rPr>
              <w:t>physics-ai-evidence:&lt;账号 id&gt;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205254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过程证据</w:t>
            </w:r>
          </w:p>
        </w:tc>
        <w:tc>
          <w:tcPr>
            <w:tcW w:w="365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95C0056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诊断、闯关、实验、问答记录</w:t>
            </w:r>
          </w:p>
        </w:tc>
      </w:tr>
      <w:tr>
        <w:trPr/>
        <w:tc>
          <w:tcPr>
            <w:tcW w:w="282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3EE4904">
            <w:pPr>
              <w:jc w:val="left"/>
              <w:rPr>
                <w:color w:val="1f2937"/>
              </w:rPr>
            </w:pPr>
            <w:r>
              <w:rPr>
                <w:rFonts w:hint="eastAsia" w:ascii="SF Mono" w:hAnsi="SF Mono" w:eastAsia="SF Mono" w:cs="SF Mono"/>
                <w:color w:val="1f2937"/>
                <w:sz w:val="18"/>
                <w:shd w:val="clear" w:fill="eef2f7"/>
              </w:rPr>
              <w:t>physics-ai-snapshot:&lt;账号 id&gt;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A8DE906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快照</w:t>
            </w:r>
          </w:p>
        </w:tc>
        <w:tc>
          <w:tcPr>
            <w:tcW w:w="365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933CD20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破坏性操作前的 24 小时可恢复副本</w:t>
            </w:r>
          </w:p>
        </w:tc>
      </w:tr>
    </w:tbl>
    <w:p w14:paraId="2620A1F5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键的设计遵循两条规则：账号表与会话不带分区后缀，因为它们在登录之前就要读取；其余键一律带分区后缀，因为它们的读写都发生在登录之后。这两类键的读写入口也不同，前者由一个独立的账号模块负责，后者统一走存储模块，模块边界即权限边界。</w:t>
      </w:r>
    </w:p>
    <w:p w14:paraId="6C6E53D1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每条证据记录包含五个字段：类型、知识点、时间戳、结果、来源视图。类型区分诊断、闯关、实验、问答；知识点指向课程结构中的一个节点；来源视图记录这条证据是在哪个视图产生的，用于回溯。五个字段的组合使得任意一条证据都能被定位到"谁、在什么时候、通过什么方式、在哪个知识点上、得到了什么结果"，这也是学习报告能够按时间轴还原学习路径的前提。</w:t>
      </w:r>
    </w:p>
    <w:p w14:paraId="5A5EA421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29" w:name="section-6-2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6.2 账号与凭证</w:t>
      </w:r>
      <w:bookmarkEnd w:id="29"/>
    </w:p>
    <w:p w14:paraId="503392CE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用户名三到三十二字符，允许字母、数字、下划线、连字符与中文。口令至少八位，使用 PBKDF2 迭代 21 万次，配十六字节随机盐，只存哈希与参数，不存明文。迭代次数与盐随每条记录一同保存，因此后续调整迭代次数不会让旧账号失效——校验时按记录里的参数重算，新注册的账号才用新参数。</w:t>
      </w:r>
    </w:p>
    <w:p w14:paraId="50528CEC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 xml:space="preserve">选择 PBKDF2 而不是更现代的算法，原因在于运行环境：浏览器原生提供 </w:t>
      </w:r>
      <w:r>
        <w:rPr>
          <w:rFonts w:ascii="SF Mono" w:hAnsi="SF Mono" w:eastAsia="SF Mono" w:cs="SF Mono"/>
          <w:color w:val="1f2937"/>
          <w:sz w:val="18"/>
          <w:shd w:val="clear" w:fill="eef2f7"/>
        </w:rPr>
        <w:t>crypto.subtle</w:t>
      </w:r>
      <w:r>
        <w:rPr>
          <w:rFonts w:hint="eastAsia" w:ascii="Songti SC" w:hAnsi="Songti SC" w:eastAsia="Songti SC" w:cs="Songti SC"/>
          <w:color w:val="1f2937"/>
          <w:sz w:val="21"/>
        </w:rPr>
        <w:t>，PBKDF2 是其中支持最广、行为最一致的一种，不需要引入第三方库。21 万次迭代是当前硬件下"单次校验在一百毫秒量级"的经验值，既能挡住离线爆破，又不会让登录等待变得明显。盐按账号独立生成，避免相同口令产生相同哈希。</w:t>
      </w:r>
    </w:p>
    <w:p w14:paraId="69C43DA4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 xml:space="preserve">演示账号 </w:t>
      </w:r>
      <w:r>
        <w:rPr>
          <w:rFonts w:ascii="SF Mono" w:hAnsi="SF Mono" w:eastAsia="SF Mono" w:cs="SF Mono"/>
          <w:color w:val="1f2937"/>
          <w:sz w:val="18"/>
          <w:shd w:val="clear" w:fill="eef2f7"/>
        </w:rPr>
        <w:t>student</w:t>
      </w:r>
      <w:r>
        <w:rPr>
          <w:rFonts w:hint="eastAsia" w:ascii="Songti SC" w:hAnsi="Songti SC" w:eastAsia="Songti SC" w:cs="Songti SC"/>
          <w:color w:val="1f2937"/>
          <w:sz w:val="21"/>
        </w:rPr>
        <w:t xml:space="preserve"> 与 </w:t>
      </w:r>
      <w:r>
        <w:rPr>
          <w:rFonts w:ascii="SF Mono" w:hAnsi="SF Mono" w:eastAsia="SF Mono" w:cs="SF Mono"/>
          <w:color w:val="1f2937"/>
          <w:sz w:val="18"/>
          <w:shd w:val="clear" w:fill="eef2f7"/>
        </w:rPr>
        <w:t>teacher</w:t>
      </w:r>
      <w:r>
        <w:rPr>
          <w:rFonts w:hint="eastAsia" w:ascii="Songti SC" w:hAnsi="Songti SC" w:eastAsia="Songti SC" w:cs="Songti SC"/>
          <w:color w:val="1f2937"/>
          <w:sz w:val="21"/>
        </w:rPr>
        <w:t xml:space="preserve"> 在注册时保留，避免同名账号与演示身份落到两套数据分区。角色在注册时确定，登录后按角色进入对应工作台。这条保留规则在注册表单里前置校验，用户输入这两个名字时会直接得到提示，而不是等到提交后才失败。</w:t>
      </w:r>
    </w:p>
    <w:p w14:paraId="5BA74E93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30" w:name="section-6-3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6.3 快照与恢复</w:t>
      </w:r>
      <w:bookmarkEnd w:id="30"/>
    </w:p>
    <w:p w14:paraId="192A1D76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重置诊断、切换项目、清空测量记录这类破坏性操作，执行前都会写一份快照，保留 24 小时。界面上的"恢复上次结果"读取的就是这份快照。快照按账号隔离，退出登录不影响。写入时机是"确认之后、执行之前"，因此即使用户在执行过程中关闭页面，快照也已经落盘。</w:t>
      </w:r>
    </w:p>
    <w:p w14:paraId="28E7E686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快照只保留最近一份，不叠加历史版本。这是一个刻意的限制：多版本快照会让"恢复"变成一个需要选择的操作，而用户在误操作后的诉求是"回到刚才"，不是"回到某个历史时点"。单份快照的语义明确，交互也简单。代价是连续两次破坏性操作后，第一份快照会被覆盖，无法回到更早的状态。</w:t>
      </w:r>
    </w:p>
    <w:p w14:paraId="644CEF33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31" w:name="section-6-4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6.4 数据生命周期</w:t>
      </w:r>
      <w:bookmarkEnd w:id="31"/>
    </w:p>
    <w:p w14:paraId="2F7733FE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本地数据没有服务端回收机制，因此生命周期完全由客户端规则决定。四类数据的时间尺度不同，清理策略也不同，混在一起处理会导致"该留的被清掉、该清的一直留着"。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993"/>
        <w:gridCol w:w="1827"/>
        <w:gridCol w:w="2825"/>
      </w:tblGrid>
      <w:tr>
        <w:trPr>
          <w:tblHeader w:val="1"/>
        </w:trPr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65763BC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数据</w:t>
            </w:r>
          </w:p>
        </w:tc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938CA95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写入时机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3E13AE6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保留策略</w:t>
            </w:r>
          </w:p>
        </w:tc>
        <w:tc>
          <w:tcPr>
            <w:tcW w:w="28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65A30AB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清理方式</w:t>
            </w:r>
          </w:p>
        </w:tc>
      </w:tr>
      <w:tr>
        <w:trPr/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914D5B0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账号表</w:t>
            </w:r>
          </w:p>
        </w:tc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DB37DDD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注册时追加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043EE4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长期保留</w:t>
            </w:r>
          </w:p>
        </w:tc>
        <w:tc>
          <w:tcPr>
            <w:tcW w:w="28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3E8D8D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仅随浏览器存储清除</w:t>
            </w:r>
          </w:p>
        </w:tc>
      </w:tr>
      <w:tr>
        <w:trPr/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4FA6E6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会话</w:t>
            </w:r>
          </w:p>
        </w:tc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96E371F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登录时写入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DD61FB2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至退出登录</w:t>
            </w:r>
          </w:p>
        </w:tc>
        <w:tc>
          <w:tcPr>
            <w:tcW w:w="28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25E740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退出即清除</w:t>
            </w:r>
          </w:p>
        </w:tc>
      </w:tr>
      <w:tr>
        <w:trPr/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6D62C9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过程证据</w:t>
            </w:r>
          </w:p>
        </w:tc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BC4A19E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每次作答、记录、提问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C9A845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长期保留，按时间轴累积</w:t>
            </w:r>
          </w:p>
        </w:tc>
        <w:tc>
          <w:tcPr>
            <w:tcW w:w="28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573BA4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仅随账号删除或存储清除</w:t>
            </w:r>
          </w:p>
        </w:tc>
      </w:tr>
      <w:tr>
        <w:trPr/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C6333B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快照</w:t>
            </w:r>
          </w:p>
        </w:tc>
        <w:tc>
          <w:tcPr>
            <w:tcW w:w="199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E28F3BD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破坏性操作前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9985020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24 小时</w:t>
            </w:r>
          </w:p>
        </w:tc>
        <w:tc>
          <w:tcPr>
            <w:tcW w:w="28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B44AD8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过期后读取返回空，下次写入覆盖</w:t>
            </w:r>
          </w:p>
        </w:tc>
      </w:tr>
    </w:tbl>
    <w:p w14:paraId="082E6F12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 xml:space="preserve">损坏处理是这套设计里唯一的兜底路径。账号表解析失败时，系统不会直接覆盖，而是先以 </w:t>
      </w:r>
      <w:r>
        <w:rPr>
          <w:rFonts w:hint="eastAsia" w:ascii="SF Mono" w:hAnsi="SF Mono" w:eastAsia="SF Mono" w:cs="SF Mono"/>
          <w:color w:val="1f2937"/>
          <w:sz w:val="18"/>
          <w:shd w:val="clear" w:fill="eef2f7"/>
        </w:rPr>
        <w:t>corrupt-&lt;时间戳&gt;</w:t>
      </w:r>
      <w:r>
        <w:rPr>
          <w:rFonts w:hint="eastAsia" w:ascii="Songti SC" w:hAnsi="Songti SC" w:eastAsia="Songti SC" w:cs="Songti SC"/>
          <w:color w:val="1f2937"/>
          <w:sz w:val="21"/>
        </w:rPr>
        <w:t xml:space="preserve"> 为键备份原始内容，再抛出错误提示用户。这样即使数据格式因为版本升级而不再兼容，原始内容仍然留在本地，可以被人工恢复。这条规则来自一次真实的数据格式变更：早期版本直接覆盖，导致升级后所有本地账号失效且无法找回。</w:t>
      </w:r>
    </w:p>
    <w:p w14:paraId="54D6E7FD">
      <w:pPr>
        <w:pStyle w:val="000004"/>
        <w:keepNext w:val="1"/>
        <w:keepLines w:val="1"/>
        <w:pageBreakBefore/>
        <w:pBdr>
          <w:bottom w:val="single" w:color="12386e" w:sz="12"/>
        </w:pBdr>
        <w:spacing w:before="510" w:beforeAutospacing="1" w:after="510" w:afterAutospacing="1" w:line="432"/>
        <w:ind w:left="510" w:right="510"/>
        <w:outlineLvl w:val="0"/>
        <w:rPr>
          <w:color w:val="0b2545"/>
          <w:kern w:val="44"/>
          <w:sz w:val="44"/>
          <w:szCs w:val="44"/>
        </w:rPr>
      </w:pPr>
      <w:bookmarkStart w:id="32" w:name="section-7"/>
      <w:r>
        <w:rPr>
          <w:rFonts w:hint="eastAsia" w:ascii="PingFang SC" w:hAnsi="PingFang SC" w:eastAsia="PingFang SC" w:cs="PingFang SC"/>
          <w:b w:val="1"/>
          <w:color w:val="0b2545"/>
          <w:spacing w:val="7"/>
          <w:sz w:val="40"/>
        </w:rPr>
        <w:t>七、接口设计</w:t>
      </w:r>
      <w:bookmarkEnd w:id="32"/>
    </w:p>
    <w:p w14:paraId="24AFEF0D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33" w:name="section-7-1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7.1 接口清单</w:t>
      </w:r>
      <w:bookmarkEnd w:id="33"/>
    </w:p>
    <w:p w14:paraId="4797D593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接口按用途分为四组：自检、配置、生成、业务。自检与配置接口无副作用，可随时调用；生成接口是重资源调用，全部受会话门禁保护；业务接口处理本地数据的辅助操作，多数不消耗模型额度。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90"/>
        <w:gridCol w:w="830"/>
        <w:gridCol w:w="4486"/>
      </w:tblGrid>
      <w:tr>
        <w:trPr>
          <w:tblHeader w:val="1"/>
        </w:trPr>
        <w:tc>
          <w:tcPr>
            <w:tcW w:w="299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8F74199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路径</w:t>
            </w:r>
          </w:p>
        </w:tc>
        <w:tc>
          <w:tcPr>
            <w:tcW w:w="83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1D6D19F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方法</w:t>
            </w:r>
          </w:p>
        </w:tc>
        <w:tc>
          <w:tcPr>
            <w:tcW w:w="448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906A65D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用途</w:t>
            </w:r>
          </w:p>
        </w:tc>
      </w:tr>
      <w:tr>
        <w:trPr/>
        <w:tc>
          <w:tcPr>
            <w:tcW w:w="299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00A6748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/api/health</w:t>
            </w:r>
          </w:p>
        </w:tc>
        <w:tc>
          <w:tcPr>
            <w:tcW w:w="83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F18EFC0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GET</w:t>
            </w:r>
          </w:p>
        </w:tc>
        <w:tc>
          <w:tcPr>
            <w:tcW w:w="448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95C842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健康检查，用于部署后预热与自检</w:t>
            </w:r>
          </w:p>
        </w:tc>
      </w:tr>
      <w:tr>
        <w:trPr/>
        <w:tc>
          <w:tcPr>
            <w:tcW w:w="299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6211001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/api/server-providers</w:t>
            </w:r>
          </w:p>
        </w:tc>
        <w:tc>
          <w:tcPr>
            <w:tcW w:w="83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CF75A8E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GET</w:t>
            </w:r>
          </w:p>
        </w:tc>
        <w:tc>
          <w:tcPr>
            <w:tcW w:w="448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EA8F360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返回服务端已配置的模型与并发度</w:t>
            </w:r>
          </w:p>
        </w:tc>
      </w:tr>
      <w:tr>
        <w:trPr/>
        <w:tc>
          <w:tcPr>
            <w:tcW w:w="299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2C37DDA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/api/generate/scene-outlines-stream</w:t>
            </w:r>
          </w:p>
        </w:tc>
        <w:tc>
          <w:tcPr>
            <w:tcW w:w="83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80AE9BD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POST</w:t>
            </w:r>
          </w:p>
        </w:tc>
        <w:tc>
          <w:tcPr>
            <w:tcW w:w="448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E75FE92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流式生成课堂大纲</w:t>
            </w:r>
          </w:p>
        </w:tc>
      </w:tr>
      <w:tr>
        <w:trPr/>
        <w:tc>
          <w:tcPr>
            <w:tcW w:w="299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14ED73E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/api/generate/agent-profiles</w:t>
            </w:r>
          </w:p>
        </w:tc>
        <w:tc>
          <w:tcPr>
            <w:tcW w:w="83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C1874DB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POST</w:t>
            </w:r>
          </w:p>
        </w:tc>
        <w:tc>
          <w:tcPr>
            <w:tcW w:w="448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2CD9946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生成授课角色设定</w:t>
            </w:r>
          </w:p>
        </w:tc>
      </w:tr>
      <w:tr>
        <w:trPr/>
        <w:tc>
          <w:tcPr>
            <w:tcW w:w="299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75AC068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/api/generate/scene-content</w:t>
            </w:r>
          </w:p>
        </w:tc>
        <w:tc>
          <w:tcPr>
            <w:tcW w:w="83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235BB91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POST</w:t>
            </w:r>
          </w:p>
        </w:tc>
        <w:tc>
          <w:tcPr>
            <w:tcW w:w="448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54CFB0F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生成单个场景的画面内容</w:t>
            </w:r>
          </w:p>
        </w:tc>
      </w:tr>
      <w:tr>
        <w:trPr/>
        <w:tc>
          <w:tcPr>
            <w:tcW w:w="299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FDDC47E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/api/generate/scene-actions</w:t>
            </w:r>
          </w:p>
        </w:tc>
        <w:tc>
          <w:tcPr>
            <w:tcW w:w="83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A8D96DC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POST</w:t>
            </w:r>
          </w:p>
        </w:tc>
        <w:tc>
          <w:tcPr>
            <w:tcW w:w="448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9D3587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生成讲稿与画面动作</w:t>
            </w:r>
          </w:p>
        </w:tc>
      </w:tr>
      <w:tr>
        <w:trPr/>
        <w:tc>
          <w:tcPr>
            <w:tcW w:w="299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3637E23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/api/chat</w:t>
            </w:r>
          </w:p>
        </w:tc>
        <w:tc>
          <w:tcPr>
            <w:tcW w:w="83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9AACF18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POST</w:t>
            </w:r>
          </w:p>
        </w:tc>
        <w:tc>
          <w:tcPr>
            <w:tcW w:w="448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9BEBE0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对话接口，服务课堂内多智能体交互</w:t>
            </w:r>
          </w:p>
        </w:tc>
      </w:tr>
      <w:tr>
        <w:trPr/>
        <w:tc>
          <w:tcPr>
            <w:tcW w:w="299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6B492DA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/api/pbl/v2/evaluate</w:t>
            </w:r>
          </w:p>
        </w:tc>
        <w:tc>
          <w:tcPr>
            <w:tcW w:w="83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DC57471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POST</w:t>
            </w:r>
          </w:p>
        </w:tc>
        <w:tc>
          <w:tcPr>
            <w:tcW w:w="448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DEA4BC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项目式学习评价</w:t>
            </w:r>
          </w:p>
        </w:tc>
      </w:tr>
      <w:tr>
        <w:trPr/>
        <w:tc>
          <w:tcPr>
            <w:tcW w:w="299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8536162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/api/extract-document</w:t>
            </w:r>
          </w:p>
        </w:tc>
        <w:tc>
          <w:tcPr>
            <w:tcW w:w="83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7180597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POST</w:t>
            </w:r>
          </w:p>
        </w:tc>
        <w:tc>
          <w:tcPr>
            <w:tcW w:w="448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52ED0F8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材料解析，本地处理，不消耗模型额度</w:t>
            </w:r>
          </w:p>
        </w:tc>
      </w:tr>
      <w:tr>
        <w:trPr/>
        <w:tc>
          <w:tcPr>
            <w:tcW w:w="299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77767E6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/api/materials</w:t>
            </w:r>
          </w:p>
        </w:tc>
        <w:tc>
          <w:tcPr>
            <w:tcW w:w="830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8A154BC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GET / POST</w:t>
            </w:r>
          </w:p>
        </w:tc>
        <w:tc>
          <w:tcPr>
            <w:tcW w:w="448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8D16C42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材料列表与上传</w:t>
            </w:r>
          </w:p>
        </w:tc>
      </w:tr>
    </w:tbl>
    <w:p w14:paraId="278BC129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34" w:name="section-7-2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7.2 请求与响应契约</w:t>
      </w:r>
      <w:bookmarkEnd w:id="34"/>
    </w:p>
    <w:p w14:paraId="059D800C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四个生成接口的契约在设计上保持一致：入参用扁平结构，避免嵌套带来的校验复杂度；出参统一包裹一层状态字段，成功时携带数据，失败时携带错误类别与可读文案。这样前端可以写一份通用的响应处理逻辑，不必为每个接口单独判断。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9"/>
        <w:gridCol w:w="2491"/>
        <w:gridCol w:w="1827"/>
        <w:gridCol w:w="1829"/>
      </w:tblGrid>
      <w:tr>
        <w:trPr>
          <w:tblHeader w:val="1"/>
        </w:trPr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AB1360E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接口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7E8350D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关键入参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11F4814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成功出参</w:t>
            </w:r>
          </w:p>
        </w:tc>
        <w:tc>
          <w:tcPr>
            <w:tcW w:w="182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CE7F9E7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主要失败码</w:t>
            </w:r>
          </w:p>
        </w:tc>
      </w:tr>
      <w:tr>
        <w:trPr/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CDF105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大纲（流式）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7F11342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需求文本、场景数量、语言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85AA3D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场景数组，逐条推送</w:t>
            </w:r>
          </w:p>
        </w:tc>
        <w:tc>
          <w:tcPr>
            <w:tcW w:w="182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718281F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401 未登录、504 超时</w:t>
            </w:r>
          </w:p>
        </w:tc>
      </w:tr>
      <w:tr>
        <w:trPr/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EEAA28D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角色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29DD00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场景类型分布、学科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0DCD410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角色设定对象</w:t>
            </w:r>
          </w:p>
        </w:tc>
        <w:tc>
          <w:tcPr>
            <w:tcW w:w="182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BCFB76D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401、422 结构不符</w:t>
            </w:r>
          </w:p>
        </w:tc>
      </w:tr>
      <w:tr>
        <w:trPr/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744DFD0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场景内容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2359EC8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场景标题、类型、知识点、角色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0E2DE2C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画面元素数组</w:t>
            </w:r>
          </w:p>
        </w:tc>
        <w:tc>
          <w:tcPr>
            <w:tcW w:w="182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9ABA998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401、422、504</w:t>
            </w:r>
          </w:p>
        </w:tc>
      </w:tr>
      <w:tr>
        <w:trPr/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45AF87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讲稿动作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985FA8C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全部场景内容、角色</w:t>
            </w:r>
          </w:p>
        </w:tc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D2ECB1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讲稿分段与动作序列</w:t>
            </w:r>
          </w:p>
        </w:tc>
        <w:tc>
          <w:tcPr>
            <w:tcW w:w="182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DD70366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401、422</w:t>
            </w:r>
          </w:p>
        </w:tc>
      </w:tr>
    </w:tbl>
    <w:p w14:paraId="2FF49A91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失败码的划分与适配层的五类错误一一对应，因此前端只需要一套提示逻辑。401 走登录引导，422 走"重试本场景"，504 走"减少场景数量后重试"，其余归入通用错误。这种"错误码即处置动作"的映射让错误处理从文案问题变成了流程问题，也避免了用户看到一长串技术术语。</w:t>
      </w:r>
    </w:p>
    <w:p w14:paraId="3FE17101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35" w:name="section-7-3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7.3 访问控制</w:t>
      </w:r>
      <w:bookmarkEnd w:id="35"/>
    </w:p>
    <w:p w14:paraId="33FF6A55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门禁按前缀生效，覆盖六类会消耗外部资源的接口：生成、对话、智能体、项目评价、转写、联网搜索。其余接口放行，保证断网演示与本地解析不受影响。前缀表集中定义在一个模块里，新增接口时只需判断路径是否落入这些前缀，不需要在每个路由里重复写判断。</w:t>
      </w:r>
    </w:p>
    <w:p w14:paraId="4B731BBF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未登录访问被拦时返回 401，并在响应头回带门禁判定依据（只含请求头名称，不含取值），便于现场排障。回执里不含任何凭据内容，因此即使被中间层记录也不会泄露信息，但它足以回答"这次请求到底带没带会话"这个问题——这正是排障时最需要确认的一点。</w:t>
      </w:r>
    </w:p>
    <w:p w14:paraId="3137CB52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门禁的判断顺序是"先看请求头，再看 Cookie"，两者任一有效即放行。这个顺序不是随意的：请求头由前端统一拦截器注入，可靠性高于 Cookie，因为 Cookie 可能被浏览器策略、隐私插件或跨站限制剥离。把更可靠的一条放在前面，可以减少无谓的失败路径。</w:t>
      </w:r>
    </w:p>
    <w:p w14:paraId="5D8C5BFC">
      <w:pPr>
        <w:pStyle w:val="000004"/>
        <w:keepNext w:val="1"/>
        <w:keepLines w:val="1"/>
        <w:pageBreakBefore/>
        <w:pBdr>
          <w:bottom w:val="single" w:color="12386e" w:sz="12"/>
        </w:pBdr>
        <w:spacing w:before="510" w:beforeAutospacing="1" w:after="510" w:afterAutospacing="1" w:line="432"/>
        <w:ind w:left="510" w:right="510"/>
        <w:outlineLvl w:val="0"/>
        <w:rPr>
          <w:color w:val="0b2545"/>
          <w:kern w:val="44"/>
          <w:sz w:val="44"/>
          <w:szCs w:val="44"/>
        </w:rPr>
      </w:pPr>
      <w:bookmarkStart w:id="36" w:name="section-8"/>
      <w:r>
        <w:rPr>
          <w:rFonts w:hint="eastAsia" w:ascii="PingFang SC" w:hAnsi="PingFang SC" w:eastAsia="PingFang SC" w:cs="PingFang SC"/>
          <w:b w:val="1"/>
          <w:color w:val="0b2545"/>
          <w:spacing w:val="7"/>
          <w:sz w:val="40"/>
        </w:rPr>
        <w:t>八、安全设计</w:t>
      </w:r>
      <w:bookmarkEnd w:id="36"/>
    </w:p>
    <w:p w14:paraId="2DA1734A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37" w:name="section-8-1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8.1 会话机制</w:t>
      </w:r>
      <w:bookmarkEnd w:id="37"/>
    </w:p>
    <w:p w14:paraId="66E6843A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登录成功后，客户端写入会话 Cookie，同时所有发往本站接口的请求附带同名请求头。服务端两条通道任一有效即放行，避免单一通道被中间层剥离时整体失效。双通道的代价是需要维护两处写入逻辑，收益是在不同浏览器策略下都有退路——某些环境下第三方 Cookie 被禁用，但请求头不受影响；某些环境下脚本注入被拦截，但 Cookie 仍然有效。</w:t>
      </w:r>
    </w:p>
    <w:p w14:paraId="070E6764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令牌形如「账号标识.时间戳」，服务端校验形状与长度：账号标识限字母、数字、点、下划线、连字符，长度一到一百二十八；时间戳为十到十六位数字。这个格式既能挡住明显的伪造串，又不依赖任何服务端存储。校验逻辑写成纯函数并有独立用例，因为它同时被页面路由与接口门禁复用，一处出错会同时影响两侧。</w:t>
      </w:r>
    </w:p>
    <w:p w14:paraId="7D50D817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账号体系在本地完成，服务端不持有账号数据，这是"断网可用"这一目标的直接结果。因此服务端的校验只能确认"这个请求来自一个已登录的浏览器"，无法确认"这个账号是否真实存在"。这一边界是明确的，也决定了系统的定位：它保护的是模型额度不被匿名消耗，而不是保护账号本身。</w:t>
      </w:r>
    </w:p>
    <w:p w14:paraId="6D43078B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38" w:name="section-8-2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8.2 凭据管理</w:t>
      </w:r>
      <w:bookmarkEnd w:id="38"/>
    </w:p>
    <w:p w14:paraId="73EE9F55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模型密钥只存在于平台环境变量，不进入仓库，也不写入本地配置文件。构建阶段有一道产物泄露门禁：扫描函数包，发现白名单外的环境变量名或凭据取值即中止部署。白名单是显式枚举的，新增变量必须同时更新白名单，因此不存在"某个变量被无意打进产物"的可能。</w:t>
      </w:r>
    </w:p>
    <w:p w14:paraId="56EB8F94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这道门禁拦下过一次真实问题：平台命令行工具在设置变量时会把值同时写入本地环境文件，下一次构建就把密钥内联进了函数产物。现在报错信息会直接指出变量来自哪个文件，把定位时间从"翻遍构建日志"压缩到"看一眼报错"。同时部署脚本在写入前会检查本地环境文件是否存在同名变量，存在即拒绝执行。</w:t>
      </w:r>
    </w:p>
    <w:p w14:paraId="6BA25DA0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密钥的使用范围也被收窄。只有适配层能读取密钥，业务代码通过适配层间接调用模型，因此密钥不会随着日志、错误堆栈或调试输出扩散。日志中出现的模型串只到"厂商 + 模型名"这一级，不含任何鉴权信息。</w:t>
      </w:r>
    </w:p>
    <w:p w14:paraId="39864153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39" w:name="section-8-3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8.3 内容与边界</w:t>
      </w:r>
      <w:bookmarkEnd w:id="39"/>
    </w:p>
    <w:p w14:paraId="6B3D2684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系统只处理本校课程内容，校名与课程名以配置形式集中管理，并由构建期字面量检查守住，避免出现其他院校或上游项目的名称。上传材料在浏览器本地解析，不上传第三方服务。这两条边界共同保证了系统的内容面是封闭的：进入系统的文字只有两类，一类是本校课程数据，一类是用户当次输入。</w:t>
      </w:r>
    </w:p>
    <w:p w14:paraId="6D4FCEF1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生成内容不落服务端，因此不存在"生成记录被他人读取"的风险。这一点在架构上是自然结果，而不是额外的安全措施——数据本来就没有离开浏览器。它也带来一个副作用：无法在服务端对生成内容做审核，因此内容边界的把控只能依靠提示词约束与前端展示，这也是系统定位为教学辅助而非内容平台的原因。</w:t>
      </w:r>
    </w:p>
    <w:p w14:paraId="5D573761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40" w:name="section-8-4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8.4 威胁模型</w:t>
      </w:r>
      <w:bookmarkEnd w:id="40"/>
    </w:p>
    <w:p w14:paraId="3F5783F2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把威胁逐条列出，比笼统地说"系统是安全的"更有意义。下表只覆盖本系统真实存在的攻击面，超出范围的部分明确标注为不在防护目标内，避免产生错误预期。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7"/>
        <w:gridCol w:w="2325"/>
        <w:gridCol w:w="2325"/>
        <w:gridCol w:w="1829"/>
      </w:tblGrid>
      <w:tr>
        <w:trPr>
          <w:tblHeader w:val="1"/>
        </w:trPr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4B7F334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威胁</w:t>
            </w:r>
          </w:p>
        </w:tc>
        <w:tc>
          <w:tcPr>
            <w:tcW w:w="23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D87A366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场景</w:t>
            </w:r>
          </w:p>
        </w:tc>
        <w:tc>
          <w:tcPr>
            <w:tcW w:w="23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6708223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现有对策</w:t>
            </w:r>
          </w:p>
        </w:tc>
        <w:tc>
          <w:tcPr>
            <w:tcW w:w="182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B29792C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残留风险</w:t>
            </w:r>
          </w:p>
        </w:tc>
      </w:tr>
      <w:tr>
        <w:trPr/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FA9D99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额度盗用</w:t>
            </w:r>
          </w:p>
        </w:tc>
        <w:tc>
          <w:tcPr>
            <w:tcW w:w="23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69B697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匿名脚本批量调用生成接口</w:t>
            </w:r>
          </w:p>
        </w:tc>
        <w:tc>
          <w:tcPr>
            <w:tcW w:w="23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B454FD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六类前缀门禁，双通道校验，未登录返回 401</w:t>
            </w:r>
          </w:p>
        </w:tc>
        <w:tc>
          <w:tcPr>
            <w:tcW w:w="182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4C7415C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令牌格式公开，伪造成本低；定位是挡匿名而非挡定向攻击</w:t>
            </w:r>
          </w:p>
        </w:tc>
      </w:tr>
      <w:tr>
        <w:trPr/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84EC1E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凭据泄露</w:t>
            </w:r>
          </w:p>
        </w:tc>
        <w:tc>
          <w:tcPr>
            <w:tcW w:w="23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FE27300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密钥被打进函数产物或提交进仓库</w:t>
            </w:r>
          </w:p>
        </w:tc>
        <w:tc>
          <w:tcPr>
            <w:tcW w:w="23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342C366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产物泄露门禁 + 白名单 + 本地环境文件检查</w:t>
            </w:r>
          </w:p>
        </w:tc>
        <w:tc>
          <w:tcPr>
            <w:tcW w:w="182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F86B9CD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平台控制台侧的手工配置不在门禁覆盖内</w:t>
            </w:r>
          </w:p>
        </w:tc>
      </w:tr>
      <w:tr>
        <w:trPr/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D477D31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跨角色访问</w:t>
            </w:r>
          </w:p>
        </w:tc>
        <w:tc>
          <w:tcPr>
            <w:tcW w:w="23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A309EE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学生直接访问教师路径</w:t>
            </w:r>
          </w:p>
        </w:tc>
        <w:tc>
          <w:tcPr>
            <w:tcW w:w="23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6297F02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纯函数路由守卫，未知视图一律视为越权</w:t>
            </w:r>
          </w:p>
        </w:tc>
        <w:tc>
          <w:tcPr>
            <w:tcW w:w="182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D706E6F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数据本身按账号分区，越权也只能看到空页面</w:t>
            </w:r>
          </w:p>
        </w:tc>
      </w:tr>
      <w:tr>
        <w:trPr/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D4559D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本地数据损坏</w:t>
            </w:r>
          </w:p>
        </w:tc>
        <w:tc>
          <w:tcPr>
            <w:tcW w:w="23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CAEE2DB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格式升级或写入中断导致解析失败</w:t>
            </w:r>
          </w:p>
        </w:tc>
        <w:tc>
          <w:tcPr>
            <w:tcW w:w="23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CDF53BB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损坏时先备份再报错，保留原始内容</w:t>
            </w:r>
          </w:p>
        </w:tc>
        <w:tc>
          <w:tcPr>
            <w:tcW w:w="182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5CDF28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需要人工恢复，无自动修复</w:t>
            </w:r>
          </w:p>
        </w:tc>
      </w:tr>
      <w:tr>
        <w:trPr/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5D50D1E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误操作丢数据</w:t>
            </w:r>
          </w:p>
        </w:tc>
        <w:tc>
          <w:tcPr>
            <w:tcW w:w="23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CFBF56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重置诊断、清空测量记录</w:t>
            </w:r>
          </w:p>
        </w:tc>
        <w:tc>
          <w:tcPr>
            <w:tcW w:w="23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CF1A67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操作前写快照，24 小时内可恢复</w:t>
            </w:r>
          </w:p>
        </w:tc>
        <w:tc>
          <w:tcPr>
            <w:tcW w:w="182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E1E7C56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连续两次破坏性操作会覆盖前一份快照</w:t>
            </w:r>
          </w:p>
        </w:tc>
      </w:tr>
      <w:tr>
        <w:trPr/>
        <w:tc>
          <w:tcPr>
            <w:tcW w:w="182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C9FC0A2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提示词注入</w:t>
            </w:r>
          </w:p>
        </w:tc>
        <w:tc>
          <w:tcPr>
            <w:tcW w:w="23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C8DD18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用户输入中夹带指令，改变生成行为</w:t>
            </w:r>
          </w:p>
        </w:tc>
        <w:tc>
          <w:tcPr>
            <w:tcW w:w="2325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EFB8A1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提示词分层，用户输入只进入内容槽位</w:t>
            </w:r>
          </w:p>
        </w:tc>
        <w:tc>
          <w:tcPr>
            <w:tcW w:w="182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361EAC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不在防护目标内；输出不落服务端，影响面限于本人</w:t>
            </w:r>
          </w:p>
        </w:tc>
      </w:tr>
    </w:tbl>
    <w:p w14:paraId="0D068570">
      <w:pPr>
        <w:pStyle w:val="000004"/>
        <w:keepNext w:val="1"/>
        <w:keepLines w:val="1"/>
        <w:pageBreakBefore/>
        <w:pBdr>
          <w:bottom w:val="single" w:color="12386e" w:sz="12"/>
        </w:pBdr>
        <w:spacing w:before="510" w:beforeAutospacing="1" w:after="510" w:afterAutospacing="1" w:line="432"/>
        <w:ind w:left="510" w:right="510"/>
        <w:outlineLvl w:val="0"/>
        <w:rPr>
          <w:color w:val="0b2545"/>
          <w:kern w:val="44"/>
          <w:sz w:val="44"/>
          <w:szCs w:val="44"/>
        </w:rPr>
      </w:pPr>
      <w:bookmarkStart w:id="41" w:name="section-9"/>
      <w:r>
        <w:rPr>
          <w:rFonts w:hint="eastAsia" w:ascii="PingFang SC" w:hAnsi="PingFang SC" w:eastAsia="PingFang SC" w:cs="PingFang SC"/>
          <w:b w:val="1"/>
          <w:color w:val="0b2545"/>
          <w:spacing w:val="7"/>
          <w:sz w:val="40"/>
        </w:rPr>
        <w:t>九、性能设计</w:t>
      </w:r>
      <w:bookmarkEnd w:id="41"/>
    </w:p>
    <w:p w14:paraId="7D1FCDED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42" w:name="section-9-1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9.1 实测指标</w:t>
      </w:r>
      <w:bookmarkEnd w:id="42"/>
    </w:p>
    <w:p w14:paraId="388C4B68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下列指标取自当前线上版本，测量方式为部署后自检脚本与人工计时，均为单次实测而非压测均值。给出单次值而不是平均值，是因为系统的性能瓶颈在模型输出长度，方差很大，平均值会掩盖最坏情况。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2159"/>
        <w:gridCol w:w="3323"/>
      </w:tblGrid>
      <w:tr>
        <w:trPr>
          <w:tblHeader w:val="1"/>
        </w:trPr>
        <w:tc>
          <w:tcPr>
            <w:tcW w:w="282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170ABAE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指标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866131E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实测值</w:t>
            </w:r>
          </w:p>
        </w:tc>
        <w:tc>
          <w:tcPr>
            <w:tcW w:w="332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145631C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说明</w:t>
            </w:r>
          </w:p>
        </w:tc>
      </w:tr>
      <w:tr>
        <w:trPr/>
        <w:tc>
          <w:tcPr>
            <w:tcW w:w="282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76274F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关键路由可达性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EA23521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15 条路由全部 200</w:t>
            </w:r>
          </w:p>
        </w:tc>
        <w:tc>
          <w:tcPr>
            <w:tcW w:w="332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10CC17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首帧含校名与水合标记</w:t>
            </w:r>
          </w:p>
        </w:tc>
      </w:tr>
      <w:tr>
        <w:trPr/>
        <w:tc>
          <w:tcPr>
            <w:tcW w:w="282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2ED24C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客户端资源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9DCE7DC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41 个产物全部 200</w:t>
            </w:r>
          </w:p>
        </w:tc>
        <w:tc>
          <w:tcPr>
            <w:tcW w:w="332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84FD77C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脚本、样式、字体</w:t>
            </w:r>
          </w:p>
        </w:tc>
      </w:tr>
      <w:tr>
        <w:trPr/>
        <w:tc>
          <w:tcPr>
            <w:tcW w:w="282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C34EE1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函数最大执行时长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FBD618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120 秒</w:t>
            </w:r>
          </w:p>
        </w:tc>
        <w:tc>
          <w:tcPr>
            <w:tcW w:w="332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50DC588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平台上限</w:t>
            </w:r>
          </w:p>
        </w:tc>
      </w:tr>
      <w:tr>
        <w:trPr/>
        <w:tc>
          <w:tcPr>
            <w:tcW w:w="282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6ACE06C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函数包体积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B3B92E7">
            <w:pPr>
              <w:jc w:val="left"/>
              <w:rPr>
                <w:color w:val="1f2937"/>
              </w:rPr>
            </w:pPr>
            <w:r>
              <w:rPr>
                <w:rFonts w:ascii="PingFang SC" w:hAnsi="PingFang SC" w:eastAsia="PingFang SC" w:cs="PingFang SC"/>
                <w:color w:val="1f2937"/>
                <w:sz w:val="18"/>
              </w:rPr>
              <w:t>119.8 MiB</w:t>
            </w:r>
          </w:p>
        </w:tc>
        <w:tc>
          <w:tcPr>
            <w:tcW w:w="332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20AB3CD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平台上限 128 MiB</w:t>
            </w:r>
          </w:p>
        </w:tc>
      </w:tr>
      <w:tr>
        <w:trPr/>
        <w:tc>
          <w:tcPr>
            <w:tcW w:w="282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C4DFB4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运行期路由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91970B0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65 条</w:t>
            </w:r>
          </w:p>
        </w:tc>
        <w:tc>
          <w:tcPr>
            <w:tcW w:w="332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C7F2A62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页面、接口与资源合计</w:t>
            </w:r>
          </w:p>
        </w:tc>
      </w:tr>
      <w:tr>
        <w:trPr/>
        <w:tc>
          <w:tcPr>
            <w:tcW w:w="282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24E959F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单场景内容生成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2556D0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60–82 秒</w:t>
            </w:r>
          </w:p>
        </w:tc>
        <w:tc>
          <w:tcPr>
            <w:tcW w:w="332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9B53E7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随场景类型与元素数量波动</w:t>
            </w:r>
          </w:p>
        </w:tc>
      </w:tr>
      <w:tr>
        <w:trPr/>
        <w:tc>
          <w:tcPr>
            <w:tcW w:w="282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A627FE1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四场景并行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0ABEF5E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83 秒</w:t>
            </w:r>
          </w:p>
        </w:tc>
        <w:tc>
          <w:tcPr>
            <w:tcW w:w="332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FDD58C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串行同批次为 317 秒</w:t>
            </w:r>
          </w:p>
        </w:tc>
      </w:tr>
      <w:tr>
        <w:trPr/>
        <w:tc>
          <w:tcPr>
            <w:tcW w:w="282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0B455FD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整堂课（15 场景）</w:t>
            </w:r>
          </w:p>
        </w:tc>
        <w:tc>
          <w:tcPr>
            <w:tcW w:w="21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1772A61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约 8 分钟</w:t>
            </w:r>
          </w:p>
        </w:tc>
        <w:tc>
          <w:tcPr>
            <w:tcW w:w="3323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330C37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含大纲、角色、内容、讲稿四阶段</w:t>
            </w:r>
          </w:p>
        </w:tc>
      </w:tr>
    </w:tbl>
    <w:p w14:paraId="36A20BBF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43" w:name="section-9-2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9.2 性能模型</w:t>
      </w:r>
      <w:bookmarkEnd w:id="43"/>
    </w:p>
    <w:p w14:paraId="76353BCA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把生成耗时写成式子，可以看清优化的着力点在哪里。总时长由两部分构成：三个串行阶段（大纲、角色、讲稿）逐个累加，场景内容则取「单场最慢」与「内容总量除以并发度」两者中的较大值。前者代表并发的下限，后者代表并发的上限，实际耗时由两者中更不利的一侧决定。</w:t>
      </w:r>
    </w:p>
    <w:p w14:paraId="4199107F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F Mono" w:hAnsi="SF Mono" w:eastAsia="SF Mono" w:cs="SF Mono"/>
          <w:color w:val="1f2937"/>
          <w:sz w:val="18"/>
          <w:shd w:val="clear" w:fill="eef2f7"/>
        </w:rPr>
        <w:t>总耗时 ≈ 大纲 + 角色 + 讲稿 + max( 单场最慢 , 内容总量 ÷ k )</w:t>
      </w:r>
    </w:p>
    <w:p w14:paraId="16D74C00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式中 k 为并发度。取最大值这一项说明了两类极端情形：当 k 足够大时，总时长由最慢的单个场景决定，再提高并发没有收益；当 k 很小时，总时长由总工作量除以并发度决定，此时提高并发线性有效。实测四场景时「内容总量 ÷ k」约为 79 秒，「单场最慢」为 83 秒，两者接近，说明当前正处在两种机制的交接点上。这也解释了为什么四路并行能拿到 3.8 倍加速（317 ÷ 83）——它刚好把总时长从受总量约束的一侧推到了受单场约束的一侧；按同一模型推算，继续提高到八路只能再压缩一成左右。</w:t>
      </w:r>
    </w:p>
    <w:p w14:paraId="64506F84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代入整堂课的实测值可以验证这个模型：大纲 78.5 秒、角色 29 秒、讲稿 10 秒，十五个场景的内容在四路并发下约 370 秒，合计约 490 秒，与实测的八分钟量级吻合。模型的用途不是精确预测，而是判断"改哪个参数最有效"——在当前参数下，压缩单场景耗时比提高并发度收益更大，因此优化重心应该放在提示词长度与输出结构上，而不是调度器。</w:t>
      </w:r>
    </w:p>
    <w:p w14:paraId="54466716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44" w:name="section-9-3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9.3 容量估算</w:t>
      </w:r>
      <w:bookmarkEnd w:id="44"/>
    </w:p>
    <w:p w14:paraId="6EB017E6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单个课堂的数据量在百 KB 量级，浏览器本地存储足以容纳数十个课堂。按单堂课 150 KB、可用配额 5 MB 估算，可容纳三十余堂课，加上过程证据与快照，实际可用数量在二十堂左右。超出后写入会失败，系统在写入前做容量检查并给出提示，而不是等到浏览器抛出异常。</w:t>
      </w:r>
    </w:p>
    <w:p w14:paraId="7ECDB7A8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函数侧无状态，容量取决于平台并发能力与模型服务规格，与本地存储无关。一个班三十人同时生成时，建议分批提交，以保证每堂课的输出质量。这里的限制不在函数——函数可以水平扩展——而在模型侧的并发配额：三十个请求同时打到网关，排队时间会远超生成时间，反而让每个人的等待都变长。</w:t>
      </w:r>
    </w:p>
    <w:p w14:paraId="7C0BAD49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更实际的做法是按小组分批，每批五到八人，批间隔约两分钟。这样既能保持网关的并发在合理区间，又能让先提交的学生先看到结果，形成示范效应。这个建议写进了操作手册的"生成一堂课"一节，因为它属于使用方式而非技术参数。</w:t>
      </w:r>
    </w:p>
    <w:p w14:paraId="2994A4DC">
      <w:pPr>
        <w:pStyle w:val="000004"/>
        <w:keepNext w:val="1"/>
        <w:keepLines w:val="1"/>
        <w:pageBreakBefore/>
        <w:pBdr>
          <w:bottom w:val="single" w:color="12386e" w:sz="12"/>
        </w:pBdr>
        <w:spacing w:before="510" w:beforeAutospacing="1" w:after="510" w:afterAutospacing="1" w:line="432"/>
        <w:ind w:left="510" w:right="510"/>
        <w:outlineLvl w:val="0"/>
        <w:rPr>
          <w:color w:val="0b2545"/>
          <w:kern w:val="44"/>
          <w:sz w:val="44"/>
          <w:szCs w:val="44"/>
        </w:rPr>
      </w:pPr>
      <w:bookmarkStart w:id="45" w:name="section-10"/>
      <w:r>
        <w:rPr>
          <w:rFonts w:hint="eastAsia" w:ascii="PingFang SC" w:hAnsi="PingFang SC" w:eastAsia="PingFang SC" w:cs="PingFang SC"/>
          <w:b w:val="1"/>
          <w:color w:val="0b2545"/>
          <w:spacing w:val="7"/>
          <w:sz w:val="40"/>
        </w:rPr>
        <w:t>十、工程质量</w:t>
      </w:r>
      <w:bookmarkEnd w:id="45"/>
    </w:p>
    <w:p w14:paraId="5DF01FAD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46" w:name="section-10-1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10.1 构建与裁剪</w:t>
      </w:r>
      <w:bookmarkEnd w:id="46"/>
    </w:p>
    <w:p w14:paraId="73B01E47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未裁剪的函数产物约 180 MiB，超过平台上限。构建后执行裁剪：去掉仅用于构建的依赖、类型声明、源码映射与示例资源，保留运行期真正读取的模板与静态资源。裁剪发生在打包完成、上传之前，因此不能使用控制台的仓库导入，只能走脚本或持续集成——控制台导入会在平台侧重新构建，绕过裁剪，产物必然超限。</w:t>
      </w:r>
    </w:p>
    <w:p w14:paraId="194229D2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裁剪的放行规则由两部分取并集决定：包清单里声明要发布的文件，加上构建产物目录。这个规则的好处是"该带的都带、不该带的不带"，不需要逐项枚举；风险是包清单写错时会漏掉运行期资源。为此脚本带自检：模板目录为空即判定构建失败，避免带着缺失资源上线。这个问题曾经导致生成接口返回"模板未找到"，现在被前移到了构建阶段。</w:t>
      </w:r>
    </w:p>
    <w:p w14:paraId="6266F103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裁剪后体积 119.8 MiB，距上限留出约 8 MiB 余量。余量的用途是容纳依赖的小幅升级，一旦某次升级让体积跳增超过余量，构建会直接失败并提示当前体积，而不是等到上传时才报错。这种"提前失败"的设计让体积成为一个持续可见的指标，而不是一个只在发布时才会被想起的约束。</w:t>
      </w:r>
    </w:p>
    <w:p w14:paraId="1E8FC094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47" w:name="section-10-2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10.2 自动化门禁</w:t>
      </w:r>
      <w:bookmarkEnd w:id="47"/>
    </w:p>
    <w:p w14:paraId="6E7CAED7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六道门禁分布在构建与部署两个阶段，每道都对应一类曾经发生过或极可能发生的问题。门禁的设计原则是"能自动判断的绝不留给人看"，因此每道门禁都有明确的通过条件与失败动作，不存在"警告但继续"的中间态。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162"/>
        <w:gridCol w:w="2824"/>
        <w:gridCol w:w="2659"/>
      </w:tblGrid>
      <w:tr>
        <w:trPr>
          <w:tblHeader w:val="1"/>
        </w:trPr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6991151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门禁</w:t>
            </w:r>
          </w:p>
        </w:tc>
        <w:tc>
          <w:tcPr>
            <w:tcW w:w="116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FBD815B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阶段</w:t>
            </w:r>
          </w:p>
        </w:tc>
        <w:tc>
          <w:tcPr>
            <w:tcW w:w="282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32281CE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拦截的问题</w:t>
            </w:r>
          </w:p>
        </w:tc>
        <w:tc>
          <w:tcPr>
            <w:tcW w:w="26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8D4A44D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失败动作</w:t>
            </w:r>
          </w:p>
        </w:tc>
      </w:tr>
      <w:tr>
        <w:trPr/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8EBDCF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函数超时校验</w:t>
            </w:r>
          </w:p>
        </w:tc>
        <w:tc>
          <w:tcPr>
            <w:tcW w:w="116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10B7A2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构建</w:t>
            </w:r>
          </w:p>
        </w:tc>
        <w:tc>
          <w:tcPr>
            <w:tcW w:w="282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F193B9C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配置缺失或低于阈值，静默退回默认值</w:t>
            </w:r>
          </w:p>
        </w:tc>
        <w:tc>
          <w:tcPr>
            <w:tcW w:w="26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450CABB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中止部署</w:t>
            </w:r>
          </w:p>
        </w:tc>
      </w:tr>
      <w:tr>
        <w:trPr/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8F07A10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产物泄露</w:t>
            </w:r>
          </w:p>
        </w:tc>
        <w:tc>
          <w:tcPr>
            <w:tcW w:w="116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1D7D816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构建</w:t>
            </w:r>
          </w:p>
        </w:tc>
        <w:tc>
          <w:tcPr>
            <w:tcW w:w="282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FFE1D4D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函数包中出现白名单外变量或凭据取值</w:t>
            </w:r>
          </w:p>
        </w:tc>
        <w:tc>
          <w:tcPr>
            <w:tcW w:w="26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9503F4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中止部署并指出变量名</w:t>
            </w:r>
          </w:p>
        </w:tc>
      </w:tr>
      <w:tr>
        <w:trPr/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DD047B0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加速区域</w:t>
            </w:r>
          </w:p>
        </w:tc>
        <w:tc>
          <w:tcPr>
            <w:tcW w:w="116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6EBB7E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部署</w:t>
            </w:r>
          </w:p>
        </w:tc>
        <w:tc>
          <w:tcPr>
            <w:tcW w:w="282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20D569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项目区域与预期不符，把大陆节点带上线</w:t>
            </w:r>
          </w:p>
        </w:tc>
        <w:tc>
          <w:tcPr>
            <w:tcW w:w="26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73E098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中止部署</w:t>
            </w:r>
          </w:p>
        </w:tc>
      </w:tr>
      <w:tr>
        <w:trPr/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97CF5F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校名字面量</w:t>
            </w:r>
          </w:p>
        </w:tc>
        <w:tc>
          <w:tcPr>
            <w:tcW w:w="116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25041B0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构建</w:t>
            </w:r>
          </w:p>
        </w:tc>
        <w:tc>
          <w:tcPr>
            <w:tcW w:w="282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6DE08B8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界面出现硬编码的其他院校名称</w:t>
            </w:r>
          </w:p>
        </w:tc>
        <w:tc>
          <w:tcPr>
            <w:tcW w:w="26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B896251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中止构建</w:t>
            </w:r>
          </w:p>
        </w:tc>
      </w:tr>
      <w:tr>
        <w:trPr/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E39E3FC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上游品牌</w:t>
            </w:r>
          </w:p>
        </w:tc>
        <w:tc>
          <w:tcPr>
            <w:tcW w:w="116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76593BE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构建</w:t>
            </w:r>
          </w:p>
        </w:tc>
        <w:tc>
          <w:tcPr>
            <w:tcW w:w="282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E23B2D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出站内容出现上游项目标识</w:t>
            </w:r>
          </w:p>
        </w:tc>
        <w:tc>
          <w:tcPr>
            <w:tcW w:w="26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4FBB26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中止构建</w:t>
            </w:r>
          </w:p>
        </w:tc>
      </w:tr>
      <w:tr>
        <w:trPr/>
        <w:tc>
          <w:tcPr>
            <w:tcW w:w="166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774CD1B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文档数字</w:t>
            </w:r>
          </w:p>
        </w:tc>
        <w:tc>
          <w:tcPr>
            <w:tcW w:w="1162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0992111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构建</w:t>
            </w:r>
          </w:p>
        </w:tc>
        <w:tc>
          <w:tcPr>
            <w:tcW w:w="282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9C61E77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参赛材料中的行数、体积、项数与实测不一致</w:t>
            </w:r>
          </w:p>
        </w:tc>
        <w:tc>
          <w:tcPr>
            <w:tcW w:w="2659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F87EF2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中止构建</w:t>
            </w:r>
          </w:p>
        </w:tc>
      </w:tr>
    </w:tbl>
    <w:p w14:paraId="458D1E81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最后一道门禁值得单独说明。它扫描文档与仓库中出现的规模数字，与实测值比对，不一致即失败。这道门禁的存在理由不是吹毛求疵，而是防止文档随着代码演进逐渐失真——一份写着"一百二十例测试"而实际只有九十八例的文档，会让评审对全部数字产生怀疑。把一致性交给机器检查，是维持文档可信度成本最低的方式。</w:t>
      </w:r>
    </w:p>
    <w:p w14:paraId="139E8976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48" w:name="section-10-3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10.3 测试体系</w:t>
      </w:r>
      <w:bookmarkEnd w:id="48"/>
    </w:p>
    <w:p w14:paraId="33FA86D2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单元测试一百六十余例，集中在三块：物理域的计算与路由、账号与会话、部署脚本的门禁逻辑。三块的共同特点是"纯函数、无副作用、边界条件多"，因此适合用单元测试覆盖；而界面交互与生成链路依赖真实网络与模型，用单元测试覆盖成本高、收益低，改由端到端自检负责。</w:t>
      </w:r>
    </w:p>
    <w:p w14:paraId="1FF94F1E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端到端自检脚本覆盖二十五项，包含关键路由、客户端资源、构建号一致性、门禁三态与模型供给。其中"门禁三态"指每道门禁都要验证三种情况：条件满足时通过、条件不满足时失败、条件缺失时失败。只验证前两种是常见的疏漏，而"配置缺失"恰恰是最容易在生产中出现的一态。</w:t>
      </w:r>
    </w:p>
    <w:p w14:paraId="3F195772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角色门禁有专门的回归用例：学生访问教师路径、访问不存在的视图、教师访问学生路径，三种情况都必须回到本角色首页。这条规则曾经被"未知视图"绕过，现在由纯函数判定，不依赖路由表是否命中。用例写成参数化形式，新增角色或视图时只需加一行参数，不必复制测试体。</w:t>
      </w:r>
    </w:p>
    <w:p w14:paraId="2F1B0CEF">
      <w:pPr>
        <w:pStyle w:val="000004"/>
        <w:keepNext w:val="1"/>
        <w:keepLines w:val="1"/>
        <w:pageBreakBefore/>
        <w:pBdr>
          <w:bottom w:val="single" w:color="12386e" w:sz="12"/>
        </w:pBdr>
        <w:spacing w:before="510" w:beforeAutospacing="1" w:after="510" w:afterAutospacing="1" w:line="432"/>
        <w:ind w:left="510" w:right="510"/>
        <w:outlineLvl w:val="0"/>
        <w:rPr>
          <w:color w:val="0b2545"/>
          <w:kern w:val="44"/>
          <w:sz w:val="44"/>
          <w:szCs w:val="44"/>
        </w:rPr>
      </w:pPr>
      <w:bookmarkStart w:id="49" w:name="section-11"/>
      <w:r>
        <w:rPr>
          <w:rFonts w:hint="eastAsia" w:ascii="PingFang SC" w:hAnsi="PingFang SC" w:eastAsia="PingFang SC" w:cs="PingFang SC"/>
          <w:b w:val="1"/>
          <w:color w:val="0b2545"/>
          <w:spacing w:val="7"/>
          <w:sz w:val="40"/>
        </w:rPr>
        <w:t>十一、部署与运维</w:t>
      </w:r>
      <w:bookmarkEnd w:id="49"/>
    </w:p>
    <w:p w14:paraId="5BF3B530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50" w:name="section-11-1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11.1 环境与配置</w:t>
      </w:r>
      <w:bookmarkEnd w:id="50"/>
    </w:p>
    <w:p w14:paraId="7E2C688E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运行期配置只有四项，全部通过环境变量注入，没有配置文件。这样做的原因是容器化部署下配置文件容易与镜像版本脱节，而环境变量随实例走，不会出现"配置是新的、代码是旧的"这种错位。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57"/>
        <w:gridCol w:w="2491"/>
        <w:gridCol w:w="3158"/>
      </w:tblGrid>
      <w:tr>
        <w:trPr>
          <w:tblHeader w:val="1"/>
        </w:trPr>
        <w:tc>
          <w:tcPr>
            <w:tcW w:w="265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708AE8C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变量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CE2CF8D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用途</w:t>
            </w:r>
          </w:p>
        </w:tc>
        <w:tc>
          <w:tcPr>
            <w:tcW w:w="315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15C3F94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缺省行为</w:t>
            </w:r>
          </w:p>
        </w:tc>
      </w:tr>
      <w:tr>
        <w:trPr/>
        <w:tc>
          <w:tcPr>
            <w:tcW w:w="265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2BF1EDE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MAKERS_MODELS_KEY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37C1D5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模型网关鉴权</w:t>
            </w:r>
          </w:p>
        </w:tc>
        <w:tc>
          <w:tcPr>
            <w:tcW w:w="315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1318250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缺失时生成接口直接报错，不降级</w:t>
            </w:r>
          </w:p>
        </w:tc>
      </w:tr>
      <w:tr>
        <w:trPr/>
        <w:tc>
          <w:tcPr>
            <w:tcW w:w="265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4424B99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MAKERS_MODELS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843DBF5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模型白名单</w:t>
            </w:r>
          </w:p>
        </w:tc>
        <w:tc>
          <w:tcPr>
            <w:tcW w:w="315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7D0833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缺失时使用内置默认值</w:t>
            </w:r>
          </w:p>
        </w:tc>
      </w:tr>
      <w:tr>
        <w:trPr/>
        <w:tc>
          <w:tcPr>
            <w:tcW w:w="265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A463922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DEFAULT_MODEL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3BFE176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默认模型串，含厂商前缀</w:t>
            </w:r>
          </w:p>
        </w:tc>
        <w:tc>
          <w:tcPr>
            <w:tcW w:w="315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91EEF3C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缺失时使用内置默认值</w:t>
            </w:r>
          </w:p>
        </w:tc>
      </w:tr>
      <w:tr>
        <w:trPr/>
        <w:tc>
          <w:tcPr>
            <w:tcW w:w="2657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AB386F0">
            <w:pPr>
              <w:jc w:val="left"/>
              <w:rPr>
                <w:color w:val="1f2937"/>
              </w:rPr>
            </w:pPr>
            <w:r>
              <w:rPr>
                <w:rFonts w:ascii="SF Mono" w:hAnsi="SF Mono" w:eastAsia="SF Mono" w:cs="SF Mono"/>
                <w:color w:val="1f2937"/>
                <w:sz w:val="18"/>
                <w:shd w:val="clear" w:fill="eef2f7"/>
              </w:rPr>
              <w:t>PARALLEL_SCENE_CONCURRENCY</w:t>
            </w:r>
          </w:p>
        </w:tc>
        <w:tc>
          <w:tcPr>
            <w:tcW w:w="2491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933890F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生成并发度</w:t>
            </w:r>
          </w:p>
        </w:tc>
        <w:tc>
          <w:tcPr>
            <w:tcW w:w="3158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C3C3AE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未设置时按部署形态取默认值；设为 0 退回串行</w:t>
            </w:r>
          </w:p>
        </w:tc>
      </w:tr>
    </w:tbl>
    <w:p w14:paraId="6D2A5813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四项之中只有第一项是硬依赖。密钥缺失时系统不会静默退化为"不可用但看起来正常"，而是让生成接口返回明确的配置错误，其余功能（工作台、预置课堂、本地解析）照常工作。这种"局部失败"的处理方式比整体不可用更合适：现场演示时即使模型侧出问题，工作台仍然可以完整走一遍。</w:t>
      </w:r>
    </w:p>
    <w:p w14:paraId="3FC24B3E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51" w:name="section-11-2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11.2 发布流程</w:t>
      </w:r>
      <w:bookmarkEnd w:id="51"/>
    </w:p>
    <w:p w14:paraId="05271B4D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本地发布执行一条命令，脚本按构建、裁剪、门禁、区域核对、上传的顺序推进，任一步失败即中止。五个阶段的顺序不可调换：裁剪必须在构建之后，因为要基于产物判断；门禁必须在裁剪之后，因为泄露检查针对的是最终产物；区域核对在上传之前，因为区域配错会导致整次上传白费。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6"/>
        <w:gridCol w:w="2824"/>
        <w:gridCol w:w="4486"/>
      </w:tblGrid>
      <w:tr>
        <w:trPr>
          <w:tblHeader w:val="1"/>
        </w:trPr>
        <w:tc>
          <w:tcPr>
            <w:tcW w:w="99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CC6BBCF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阶段</w:t>
            </w:r>
          </w:p>
        </w:tc>
        <w:tc>
          <w:tcPr>
            <w:tcW w:w="282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BE6C3F1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动作</w:t>
            </w:r>
          </w:p>
        </w:tc>
        <w:tc>
          <w:tcPr>
            <w:tcW w:w="448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shd w:val="clear" w:fill="eaf1fa"/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E252868">
            <w:pPr>
              <w:jc w:val="left"/>
              <w:rPr>
                <w:b w:val="1"/>
                <w:bCs w:val="1"/>
                <w:color w:val="0b2545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b2545"/>
                <w:sz w:val="18"/>
              </w:rPr>
              <w:t>失败后果</w:t>
            </w:r>
          </w:p>
        </w:tc>
      </w:tr>
      <w:tr>
        <w:trPr/>
        <w:tc>
          <w:tcPr>
            <w:tcW w:w="99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70DD220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构建</w:t>
            </w:r>
          </w:p>
        </w:tc>
        <w:tc>
          <w:tcPr>
            <w:tcW w:w="282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A341199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编译页面与接口，生成函数包</w:t>
            </w:r>
          </w:p>
        </w:tc>
        <w:tc>
          <w:tcPr>
            <w:tcW w:w="448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742A99B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无副作用，可直接重跑</w:t>
            </w:r>
          </w:p>
        </w:tc>
      </w:tr>
      <w:tr>
        <w:trPr/>
        <w:tc>
          <w:tcPr>
            <w:tcW w:w="99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870A611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裁剪</w:t>
            </w:r>
          </w:p>
        </w:tc>
        <w:tc>
          <w:tcPr>
            <w:tcW w:w="282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5854173C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按放行规则精简产物，自检模板目录</w:t>
            </w:r>
          </w:p>
        </w:tc>
        <w:tc>
          <w:tcPr>
            <w:tcW w:w="448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233757DD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无副作用</w:t>
            </w:r>
          </w:p>
        </w:tc>
      </w:tr>
      <w:tr>
        <w:trPr/>
        <w:tc>
          <w:tcPr>
            <w:tcW w:w="99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140F8043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门禁</w:t>
            </w:r>
          </w:p>
        </w:tc>
        <w:tc>
          <w:tcPr>
            <w:tcW w:w="282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743D7178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体积、泄露、超时、字面量四项检查</w:t>
            </w:r>
          </w:p>
        </w:tc>
        <w:tc>
          <w:tcPr>
            <w:tcW w:w="448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EEC1C1F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无副作用</w:t>
            </w:r>
          </w:p>
        </w:tc>
      </w:tr>
      <w:tr>
        <w:trPr/>
        <w:tc>
          <w:tcPr>
            <w:tcW w:w="99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35435AC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区域核对</w:t>
            </w:r>
          </w:p>
        </w:tc>
        <w:tc>
          <w:tcPr>
            <w:tcW w:w="282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001A3484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查询项目加速区域，与预期比对</w:t>
            </w:r>
          </w:p>
        </w:tc>
        <w:tc>
          <w:tcPr>
            <w:tcW w:w="448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4D631392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无副作用</w:t>
            </w:r>
          </w:p>
        </w:tc>
      </w:tr>
      <w:tr>
        <w:trPr/>
        <w:tc>
          <w:tcPr>
            <w:tcW w:w="99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34754BEF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上传</w:t>
            </w:r>
          </w:p>
        </w:tc>
        <w:tc>
          <w:tcPr>
            <w:tcW w:w="2824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8D1AA5A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推送产物并切换版本</w:t>
            </w:r>
          </w:p>
        </w:tc>
        <w:tc>
          <w:tcPr>
            <w:tcW w:w="4486" w:type="dxa"/>
            <w:tcBorders>
              <w:top w:val="single" w:color="cfd8e3" w:sz="6"/>
              <w:left w:val="single" w:color="cfd8e3" w:sz="6"/>
              <w:bottom w:val="single" w:color="cfd8e3" w:sz="6"/>
              <w:right w:val="single" w:color="cfd8e3" w:sz="6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top"/>
          </w:tcPr>
          <w:p w14:paraId="6A97C540">
            <w:pPr>
              <w:jc w:val="left"/>
              <w:rPr>
                <w:color w:val="1f2937"/>
              </w:rPr>
            </w:pPr>
            <w:r>
              <w:rPr>
                <w:rFonts w:hint="eastAsia" w:ascii="PingFang SC" w:hAnsi="PingFang SC" w:eastAsia="PingFang SC" w:cs="PingFang SC"/>
                <w:color w:val="1f2937"/>
                <w:sz w:val="18"/>
              </w:rPr>
              <w:t>平台侧原子切换，失败保持旧版本</w:t>
            </w:r>
          </w:p>
        </w:tc>
      </w:tr>
    </w:tbl>
    <w:p w14:paraId="4F88766D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持续集成侧由仓库推送触发，在托管 runner 上执行同一条流水线，产物与本地一致。发布完成后脚本会预热函数，确认健康检查返回预期状态，再结束流程。预热的意义不只是"叫醒"实例，还包括验证新版本确实加载了正确的配置——如果环境变量没生效，健康检查会返回缺失项，发布脚本据此判定失败。</w:t>
      </w:r>
    </w:p>
    <w:p w14:paraId="1E5C64F4">
      <w:pPr>
        <w:pStyle w:val="000005"/>
        <w:keepNext w:val="1"/>
        <w:keepLines w:val="1"/>
        <w:pBdr>
          <w:left w:val="single" w:color="2f6fb3" w:sz="24" w:space="7"/>
        </w:pBdr>
        <w:spacing w:before="390" w:beforeAutospacing="1" w:after="390" w:afterAutospacing="1" w:line="432"/>
        <w:ind w:left="390" w:right="390"/>
        <w:outlineLvl w:val="1"/>
        <w:rPr>
          <w:color w:val="12386e"/>
          <w:sz w:val="32"/>
          <w:szCs w:val="32"/>
        </w:rPr>
      </w:pPr>
      <w:bookmarkStart w:id="52" w:name="section-11-3"/>
      <w:r>
        <w:rPr>
          <w:rFonts w:hint="eastAsia" w:ascii="PingFang SC" w:hAnsi="PingFang SC" w:eastAsia="PingFang SC" w:cs="PingFang SC"/>
          <w:b w:val="1"/>
          <w:color w:val="12386e"/>
          <w:sz w:val="27"/>
        </w:rPr>
        <w:t>11.3 排障要点</w:t>
      </w:r>
      <w:bookmarkEnd w:id="52"/>
    </w:p>
    <w:p w14:paraId="6F3A6133">
      <w:pPr>
        <w:spacing w:before="105" w:after="105" w:line="432"/>
        <w:ind w:left="105" w:right="105"/>
        <w:jc w:val="both"/>
        <w:rPr>
          <w:color w:val="1f2937"/>
        </w:rPr>
      </w:pPr>
      <w:r>
        <w:rPr>
          <w:rFonts w:hint="eastAsia" w:ascii="Songti SC" w:hAnsi="Songti SC" w:eastAsia="Songti SC" w:cs="Songti SC"/>
          <w:color w:val="1f2937"/>
          <w:sz w:val="21"/>
        </w:rPr>
        <w:t>三类问题在现场最容易遇到。每类都给出了判定顺序，按顺序查可以避免在无关方向上浪费时间。</w:t>
      </w:r>
    </w:p>
    <w:p w14:paraId="2DAAE606">
      <w:pPr>
        <w:numPr>
          <w:ilvl w:val="0"/>
          <w:numId w:val="1"/>
        </w:numPr>
        <w:spacing w:before="60" w:after="60" w:line="432"/>
        <w:ind w:left="60" w:right="60"/>
        <w:rPr>
          <w:color w:val="1f2937"/>
        </w:rPr>
      </w:pPr>
      <w:r>
        <w:rPr>
          <w:rFonts w:hint="eastAsia" w:ascii="Songti SC" w:hAnsi="Songti SC" w:eastAsia="Songti SC" w:cs="Songti SC"/>
          <w:b w:val="1"/>
          <w:color w:val="1f2937"/>
          <w:sz w:val="21"/>
        </w:rPr>
        <w:t>接口超时。</w:t>
      </w:r>
      <w:r>
        <w:rPr>
          <w:rFonts w:hint="eastAsia" w:ascii="Songti SC" w:hAnsi="Songti SC" w:eastAsia="Songti SC" w:cs="Songti SC"/>
          <w:color w:val="1f2937"/>
          <w:sz w:val="21"/>
        </w:rPr>
        <w:t>先看函数执行时长配置是否生效，再看单次生成的场景数量。场景越多，单请求越接近上限。若配置正确仍超时，检查是否有个别场景的内容长度异常——并行调度下最慢的那一场决定总时长。</w:t>
      </w:r>
    </w:p>
    <w:p w14:paraId="1C0D5A1A">
      <w:pPr>
        <w:numPr>
          <w:ilvl w:val="0"/>
          <w:numId w:val="1"/>
        </w:numPr>
        <w:spacing w:before="60" w:after="60" w:line="432"/>
        <w:ind w:left="60" w:right="60"/>
        <w:rPr>
          <w:color w:val="1f2937"/>
        </w:rPr>
      </w:pPr>
      <w:r>
        <w:rPr>
          <w:rFonts w:hint="eastAsia" w:ascii="Songti SC" w:hAnsi="Songti SC" w:eastAsia="Songti SC" w:cs="Songti SC"/>
          <w:b w:val="1"/>
          <w:color w:val="1f2937"/>
          <w:sz w:val="21"/>
        </w:rPr>
        <w:t>模型无响应。</w:t>
      </w:r>
      <w:r>
        <w:rPr>
          <w:rFonts w:hint="eastAsia" w:ascii="Songti SC" w:hAnsi="Songti SC" w:eastAsia="Songti SC" w:cs="Songti SC"/>
          <w:color w:val="1f2937"/>
          <w:sz w:val="21"/>
        </w:rPr>
        <w:t>检查网关凭据与模型白名单；额度耗尽时接口会返回明确的配额错误，等窗口刷新即可恢复。若返回的是鉴权错误而非配额错误，优先怀疑本地环境文件残留了旧密钥。</w:t>
      </w:r>
    </w:p>
    <w:p w14:paraId="0DB1CEF3">
      <w:pPr>
        <w:numPr>
          <w:ilvl w:val="0"/>
          <w:numId w:val="1"/>
        </w:numPr>
        <w:spacing w:before="60" w:after="60" w:line="432"/>
        <w:ind w:left="60" w:right="60"/>
        <w:rPr>
          <w:color w:val="1f2937"/>
        </w:rPr>
      </w:pPr>
      <w:r>
        <w:rPr>
          <w:rFonts w:hint="eastAsia" w:ascii="Songti SC" w:hAnsi="Songti SC" w:eastAsia="Songti SC" w:cs="Songti SC"/>
          <w:b w:val="1"/>
          <w:color w:val="1f2937"/>
          <w:sz w:val="21"/>
        </w:rPr>
        <w:t>部署失败。</w:t>
      </w:r>
      <w:r>
        <w:rPr>
          <w:rFonts w:hint="eastAsia" w:ascii="Songti SC" w:hAnsi="Songti SC" w:eastAsia="Songti SC" w:cs="Songti SC"/>
          <w:color w:val="1f2937"/>
          <w:sz w:val="21"/>
        </w:rPr>
        <w:t>优先看体积与泄露两道门禁的输出，它们会指出具体是哪个依赖或哪个变量。区域核对失败则先确认网络可达性，DNS 解析顺序导致的连接超时会被误判为区域不符。</w:t>
      </w:r>
    </w:p>
    <w:p w14:paraId="3B88BFE5">
      <w:pPr>
        <w:spacing w:before="105" w:after="105" w:line="432"/>
        <w:ind w:left="105" w:right="105"/>
        <w:jc w:val="both"/>
        <w:rPr>
          <w:color w:val="1f2937"/>
        </w:rPr>
        <w:sectPr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Songti SC" w:hAnsi="Songti SC" w:eastAsia="Songti SC" w:cs="Songti SC"/>
          <w:color w:val="1f2937"/>
          <w:sz w:val="21"/>
        </w:rPr>
        <w:t>三类之外还有一个容易被误判的现象：页面能打开但数据为空。这通常不是接口问题，而是本地存储被清除或账号不匹配。判断方法是查看当前会话的账号标识与数据键的分区后缀是否一致——不一致说明登录态与数据不属于同一个账号，重新登录即可。</w:t>
      </w:r>
    </w:p>
    <w:p w14:paraId="184297E1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true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heading 1" w:uiPriority="9" w:qFormat="1"/>
    <w:lsdException w:name="Signature" w:semiHidden="1" w:unhideWhenUsed="1"/>
    <w:lsdException w:name="toc 1" w:uiPriority="39" w:semiHidden="1" w:unhideWhenUsed="1"/>
    <w:lsdException w:name="endnote reference" w:semiHidden="1" w:unhideWhenUsed="1"/>
    <w:lsdException w:name="Strong" w:uiPriority="22" w:qFormat="1"/>
    <w:lsdException w:name="List 4" w:semiHidden="1" w:unhideWhenUsed="1"/>
    <w:lsdException w:name="List 5" w:semiHidden="1" w:unhideWhenUsed="1"/>
    <w:lsdException w:name="index 6" w:semiHidden="1" w:unhideWhenUsed="1"/>
    <w:lsdException w:name="toc 4" w:uiPriority="39" w:semiHidden="1" w:unhideWhenUsed="1"/>
    <w:lsdException w:name="annotation text" w:semiHidden="1" w:unhideWhenUsed="1"/>
    <w:lsdException w:name="Hyperlink" w:semiHidden="1" w:unhideWhenUsed="1"/>
    <w:lsdException w:name="Body Text 2" w:semiHidden="1" w:unhideWhenUsed="1"/>
    <w:lsdException w:name="Body Text Indent 3" w:semiHidden="1" w:unhideWhenUsed="1"/>
    <w:lsdException w:name="List 2" w:semiHidden="1" w:unhideWhenUsed="1"/>
    <w:lsdException w:name="table of authorities" w:semiHidden="1" w:unhideWhenUsed="1"/>
    <w:lsdException w:name="envelope address" w:semiHidden="1" w:unhideWhenUsed="1"/>
    <w:lsdException w:name="Body Text Indent" w:semiHidden="1" w:unhideWhenUsed="1"/>
    <w:lsdException w:name="toc 8" w:uiPriority="39" w:semiHidden="1" w:unhideWhenUsed="1"/>
    <w:lsdException w:name="heading 5" w:uiPriority="9" w:semiHidden="1" w:unhideWhenUsed="1" w:qFormat="1"/>
    <w:lsdException w:name="FollowedHyperlink" w:semiHidden="1" w:unhideWhenUsed="1"/>
    <w:lsdException w:name="List Bullet 3" w:semiHidden="1" w:unhideWhenUsed="1"/>
    <w:lsdException w:name="toc 5" w:uiPriority="39" w:semiHidden="1" w:unhideWhenUsed="1"/>
    <w:lsdException w:name="heading 6" w:uiPriority="9" w:semiHidden="1" w:unhideWhenUsed="1" w:qFormat="1"/>
    <w:lsdException w:name="footnote text" w:semiHidden="1" w:unhideWhenUsed="1"/>
    <w:lsdException w:name="List Number 3" w:semiHidden="1" w:unhideWhenUsed="1"/>
    <w:lsdException w:name="footnote reference" w:semiHidden="1" w:unhideWhenUsed="1"/>
    <w:lsdException w:name="Body Text 3" w:semiHidden="1" w:unhideWhenUsed="1"/>
    <w:lsdException w:name="Title" w:uiPriority="10" w:qFormat="1"/>
    <w:lsdException w:name="heading 4" w:uiPriority="9" w:semiHidden="1" w:unhideWhenUsed="1" w:qFormat="1"/>
    <w:lsdException w:name="heading 9" w:uiPriority="9" w:semiHidden="1" w:unhideWhenUsed="1" w:qFormat="1"/>
    <w:lsdException w:name="List 3" w:semiHidden="1" w:unhideWhenUsed="1"/>
    <w:lsdException w:name="endnote text" w:semiHidden="1" w:unhideWhenUsed="1"/>
    <w:lsdException w:name="index 9" w:semiHidden="1" w:unhideWhenUsed="1"/>
    <w:lsdException w:name="List Continue" w:semiHidden="1" w:unhideWhenUsed="1"/>
    <w:lsdException w:name="List Bullet 4" w:semiHidden="1" w:unhideWhenUsed="1"/>
    <w:lsdException w:name="Closing" w:semiHidden="1" w:unhideWhenUsed="1"/>
    <w:lsdException w:name="toa heading" w:semiHidden="1" w:unhideWhenUsed="1"/>
    <w:lsdException w:name="index 5" w:semiHidden="1" w:unhideWhenUsed="1"/>
    <w:lsdException w:name="index 7" w:semiHidden="1" w:unhideWhenUsed="1"/>
    <w:lsdException w:name="List Bullet 2" w:semiHidden="1" w:unhideWhenUsed="1"/>
    <w:lsdException w:name="Message Header" w:semiHidden="1" w:unhideWhenUsed="1"/>
    <w:lsdException w:name="Body Text First Indent 2" w:semiHidden="1" w:unhideWhenUsed="1"/>
    <w:lsdException w:name="List Continue 3" w:semiHidden="1" w:unhideWhenUsed="1"/>
    <w:lsdException w:name="heading 8" w:uiPriority="9" w:semiHidden="1" w:unhideWhenUsed="1" w:qFormat="1"/>
    <w:lsdException w:name="toc 9" w:uiPriority="39" w:semiHidden="1" w:unhideWhenUsed="1"/>
    <w:lsdException w:name="List Bullet 5" w:semiHidden="1" w:unhideWhenUsed="1"/>
    <w:lsdException w:name="macro" w:semiHidden="1" w:unhideWhenUsed="1"/>
    <w:lsdException w:name="index 1" w:semiHidden="1" w:unhideWhenUsed="1"/>
    <w:lsdException w:name="heading 7" w:uiPriority="9" w:semiHidden="1" w:unhideWhenUsed="1" w:qFormat="1"/>
    <w:lsdException w:name="List Number 2" w:semiHidden="1" w:unhideWhenUsed="1"/>
    <w:lsdException w:name="annotation reference" w:semiHidden="1" w:unhideWhenUsed="1"/>
    <w:lsdException w:name="Default Paragraph Font" w:uiPriority="1" w:semiHidden="1" w:unhideWhenUsed="1"/>
    <w:lsdException w:name="Body Text Indent 2" w:semiHidden="1" w:unhideWhenUsed="1"/>
    <w:lsdException w:name="index 3" w:semiHidden="1" w:unhideWhenUsed="1"/>
    <w:lsdException w:name="Body Text" w:semiHidden="1" w:unhideWhenUsed="1"/>
    <w:lsdException w:name="Block Text" w:semiHidden="1" w:unhideWhenUsed="1"/>
    <w:lsdException w:name="toc 3" w:uiPriority="39" w:semiHidden="1" w:unhideWhenUsed="1"/>
    <w:lsdException w:name="footer" w:semiHidden="1" w:unhideWhenUsed="1"/>
    <w:lsdException w:name="toc 7" w:uiPriority="39" w:semiHidden="1" w:unhideWhenUsed="1"/>
    <w:lsdException w:name="List Number 4" w:semiHidden="1" w:unhideWhenUsed="1"/>
    <w:lsdException w:name="line number" w:semiHidden="1" w:unhideWhenUsed="1"/>
    <w:lsdException w:name="List" w:semiHidden="1" w:unhideWhenUsed="1"/>
    <w:lsdException w:name="heading 3" w:uiPriority="9" w:semiHidden="1" w:unhideWhenUsed="1" w:qFormat="1"/>
    <w:lsdException w:name="toc 6" w:uiPriority="39" w:semiHidden="1" w:unhideWhenUsed="1"/>
    <w:lsdException w:name="header" w:semiHidden="1" w:unhideWhenUsed="1"/>
    <w:lsdException w:name="Normal" w:uiPriority="0" w:qFormat="1"/>
    <w:lsdException w:name="Body Text First Indent" w:semiHidden="1" w:unhideWhenUsed="1"/>
    <w:lsdException w:name="index 2" w:semiHidden="1" w:unhideWhenUsed="1"/>
    <w:lsdException w:name="Note Heading" w:semiHidden="1" w:unhideWhenUsed="1"/>
    <w:lsdException w:name="List Bullet" w:semiHidden="1" w:unhideWhenUsed="1"/>
    <w:lsdException w:name="Normal Indent" w:semiHidden="1" w:unhideWhenUsed="1"/>
    <w:lsdException w:name="index 4" w:semiHidden="1" w:unhideWhenUsed="1"/>
    <w:lsdException w:name="List Number 5" w:semiHidden="1" w:unhideWhenUsed="1"/>
    <w:lsdException w:name="List Number" w:semiHidden="1" w:unhideWhenUsed="1"/>
    <w:lsdException w:name="List Continue 2" w:semiHidden="1" w:unhideWhenUsed="1"/>
    <w:lsdException w:name="caption" w:uiPriority="35" w:semiHidden="1" w:unhideWhenUsed="1" w:qFormat="1"/>
    <w:lsdException w:name="List Continue 5" w:semiHidden="1" w:unhideWhenUsed="1"/>
    <w:lsdException w:name="envelope return" w:semiHidden="1" w:unhideWhenUsed="1"/>
    <w:lsdException w:name="Date" w:semiHidden="1" w:unhideWhenUsed="1"/>
    <w:lsdException w:name="List Continue 4" w:semiHidden="1" w:unhideWhenUsed="1"/>
    <w:lsdException w:name="toc 2" w:uiPriority="39" w:semiHidden="1" w:unhideWhenUsed="1"/>
    <w:lsdException w:name="heading 2" w:uiPriority="9" w:semiHidden="1" w:unhideWhenUsed="1" w:qFormat="1"/>
    <w:lsdException w:name="Subtitle" w:uiPriority="11" w:qFormat="1"/>
    <w:lsdException w:name="index 8" w:semiHidden="1" w:unhideWhenUsed="1"/>
    <w:lsdException w:name="index heading" w:semiHidden="1" w:unhideWhenUsed="1"/>
    <w:lsdException w:name="page number" w:semiHidden="1" w:unhideWhenUsed="1"/>
    <w:lsdException w:name="table of figures" w:semiHidden="1" w:unhideWhenUsed="1"/>
    <w:lsdException w:name="Salutation" w:semiHidden="1" w:unhideWhenUsed="1"/>
  </w:latentStyles>
  <w:style w:type="paragraph" w:styleId="000003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4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2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5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5" Type="http://schemas.openxmlformats.org/officeDocument/2006/relationships/image" Target="media/image1.png"/><Relationship Id="rId7" Type="http://schemas.openxmlformats.org/officeDocument/2006/relationships/image" Target="media/image3.png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0" Type="http://schemas.openxmlformats.org/officeDocument/2006/relationships/styles" Target="styles.xml"/><Relationship Id="rId10" Type="http://schemas.openxmlformats.org/officeDocument/2006/relationships/image" Target="media/image6.png"/><Relationship Id="rId6" Type="http://schemas.openxmlformats.org/officeDocument/2006/relationships/image" Target="media/image2.png"/><Relationship Id="rId1" Type="http://schemas.openxmlformats.org/officeDocument/2006/relationships/settings" Target="settings.xml"/><Relationship Id="rId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2026-10-25T19:34:55Z</dcterms:created>
  <dcterms:modified xsi:type="dcterms:W3CDTF">2026-10-25T19:34:55Z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"01a172bbaee1747fa20d7749cba0e31f", "ReservedCode1": "", "ContentPropagator": "00119111010856365494821B355", "PropagateID": "01a172bbaee1747fa20d7749cba0e31f", "ReservedCode2": ""}}</vt:lpwstr>
  </property>
</Properties>
</file>