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w="http://schemas.openxmlformats.org/wordprocessingml/2006/main" xmlns:a="http://schemas.openxmlformats.org/drawingml/2006/main" xmlns:mc="http://schemas.openxmlformats.org/markup-compatibility/2006" mc:Ignorable="w14">
  <w:body>
    <w:p w14:paraId="0FF6C872">
      <w:pPr>
        <w:spacing w:line="432"/>
        <w:jc w:val="left"/>
        <w:rPr>
          <w:color w:val="64748b"/>
        </w:rPr>
      </w:pPr>
      <w:r>
        <w:rPr>
          <w:rFonts w:hint="eastAsia" w:ascii="PingFang SC" w:hAnsi="PingFang SC" w:eastAsia="PingFang SC" w:cs="PingFang SC"/>
          <w:color w:val="64748b"/>
          <w:spacing w:val="120"/>
          <w:sz w:val="24"/>
        </w:rPr>
        <w:t>长江大学文理学院</w:t>
      </w:r>
    </w:p>
    <w:p w14:paraId="18C9ED22">
      <w:pPr>
        <w:spacing w:before="300" w:after="300" w:line="300"/>
        <w:ind w:left="300" w:right="300"/>
        <w:jc w:val="left"/>
        <w:rPr>
          <w:color w:val="0b2545"/>
        </w:rPr>
      </w:pPr>
      <w:r>
        <w:rPr>
          <w:rFonts w:hint="eastAsia" w:ascii="PingFang SC" w:hAnsi="PingFang SC" w:eastAsia="PingFang SC" w:cs="PingFang SC"/>
          <w:b w:val="1"/>
          <w:color w:val="0b2545"/>
          <w:sz w:val="68"/>
        </w:rPr>
        <w:t>大学物理 AI 智慧课堂</w:t>
      </w:r>
    </w:p>
    <w:p w14:paraId="2FC9795A">
      <w:pPr>
        <w:spacing w:after="900" w:line="432"/>
        <w:jc w:val="left"/>
        <w:rPr>
          <w:color w:val="2f6fb3"/>
        </w:rPr>
      </w:pPr>
      <w:r>
        <w:rPr>
          <w:rFonts w:hint="eastAsia" w:ascii="PingFang SC" w:hAnsi="PingFang SC" w:eastAsia="PingFang SC" w:cs="PingFang SC"/>
          <w:color w:val="2f6fb3"/>
          <w:sz w:val="34"/>
        </w:rPr>
        <w:t>操作手册</w:t>
      </w:r>
    </w:p>
    <w:p w14:paraId="733EEC1C">
      <w:pPr>
        <w:spacing w:line="528"/>
        <w:jc w:val="left"/>
        <w:rPr>
          <w:color w:val="475569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ongti SC" w:hAnsi="Songti SC" w:eastAsia="Songti SC" w:cs="Songti SC"/>
          <w:color w:val="475569"/>
          <w:sz w:val="20"/>
        </w:rPr>
        <w:t xml:space="preserve"> 文档版本　V1.0</w:t>
      </w:r>
      <w:r>
        <w:rPr>
          <w:rFonts w:ascii="Songti SC" w:hAnsi="Songti SC" w:eastAsia="Songti SC" w:cs="Songti SC"/>
        </w:rPr>
        <w:br w:type="textWrapping"/>
      </w:r>
      <w:r>
        <w:rPr>
          <w:rFonts w:hint="eastAsia" w:ascii="Songti SC" w:hAnsi="Songti SC" w:eastAsia="Songti SC" w:cs="Songti SC"/>
          <w:color w:val="475569"/>
          <w:sz w:val="20"/>
        </w:rPr>
        <w:t xml:space="preserve"> 适用系统　https://dun.xran.uk</w:t>
      </w:r>
      <w:r>
        <w:rPr>
          <w:rFonts w:ascii="Songti SC" w:hAnsi="Songti SC" w:eastAsia="Songti SC" w:cs="Songti SC"/>
        </w:rPr>
        <w:br w:type="textWrapping"/>
      </w:r>
      <w:r>
        <w:rPr>
          <w:rFonts w:hint="eastAsia" w:ascii="Songti SC" w:hAnsi="Songti SC" w:eastAsia="Songti SC" w:cs="Songti SC"/>
          <w:color w:val="475569"/>
          <w:sz w:val="20"/>
        </w:rPr>
        <w:t xml:space="preserve"> 适用角色　学生 / 教师</w:t>
      </w:r>
      <w:r>
        <w:rPr>
          <w:rFonts w:ascii="Songti SC" w:hAnsi="Songti SC" w:eastAsia="Songti SC" w:cs="Songti SC"/>
        </w:rPr>
        <w:br w:type="textWrapping"/>
      </w:r>
      <w:r>
        <w:rPr>
          <w:rFonts w:hint="eastAsia" w:ascii="Songti SC" w:hAnsi="Songti SC" w:eastAsia="Songti SC" w:cs="Songti SC"/>
          <w:color w:val="475569"/>
          <w:sz w:val="20"/>
        </w:rPr>
        <w:t xml:space="preserve"> 编制日期　2026 年 10 月 </w:t>
      </w:r>
    </w:p>
    <w:p w14:paraId="6BDD6E1E">
      <w:pPr>
        <w:spacing w:before="240" w:after="120"/>
      </w:pPr>
      <w:r>
        <w:rPr>
          <w:rFonts w:hint="eastAsia" w:ascii="Songti SC" w:hAnsi="Songti SC" w:eastAsia="Songti SC" w:cs="Songti SC"/>
          <w:b w:val="1"/>
        </w:rPr>
        <w:t>目　录</w:t>
      </w:r>
    </w:p>
    <w:p w14:paraId="4E801361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TOC \o "1-2" \h \z \u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一、系统概览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1280340B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1.1 角色与账号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37D9421B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1.2 运行环境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5CF29FE2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1.3 界面结构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1E139348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"section-1-4"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1.4 一分钟上手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section-1-4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2C5957AA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二、登录与注册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14E7C3B0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"section-2-1"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2.1 登录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section-2-1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7F81CF8A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"section-2-2"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2.2 注册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section-2-2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7C72102C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"section-2-3"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2.3 退出与切换角色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section-2-3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0A7CD04A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三、学生端操作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329E1A31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3.1 学习总览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573F2CE8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3.2 学情诊断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5765608E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3.3 章节与知识图谱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7892FE71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"section-3-4"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3.4 项目匹配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section-3-4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1C3B4DA8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"section-3-5"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3.5 任务闯关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section-3-5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60D9F9C3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"section-3-6"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3.6 AI 助教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section-3-6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04006DD4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"section-3-7"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3.7 虚拟实验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section-3-7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2F5695B5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"section-3-8"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3.8 学习报告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section-3-8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0525E488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"section-3-9"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3.9 课前：诊断与精准配对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section-3-9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6332EC9A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"section-3-10"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3.10 课中：伴随诊断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section-3-10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5ADBF7FE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"section-3-11"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3.11 课后：过程性评价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section-3-11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6511FBDF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"section-4"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四、教师端操作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section-4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2E364FDE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"section-4-1"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4.1 教学驾驶舱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section-4-1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4B48FBAD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"section-4-2"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4.2 班级画像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section-4-2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34124690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"section-4-3"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4.3 课程项目矩阵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section-4-3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51FB908B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"section-4-4"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4.4 评价复核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section-4-4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7E816EE2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"section-4-5"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4.5 教学洞察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section-4-5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1BBEFCD5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"section-4-6"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4.6 三诊审核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section-4-6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058FA577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"section-4-7"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4.7 成绩登记总表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section-4-7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75016A29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"section-5"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五、课堂播放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section-5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7B58768B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"section-6"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六、生成一堂课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section-6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09967AED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"section-7"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七、数据与导出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section-7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7E7690DF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"section-8"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八、效率技巧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section-8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6EB2B4AD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"section-9"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九、常见问题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section-9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55CA6881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"section-10"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附录　视图索引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section-10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fldChar w:fldCharType="end" w:fldLock="0" w:dirty="0"/>
      </w:r>
    </w:p>
    <w:p w14:paraId="7403470E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43834CBD">
      <w:pPr>
        <w:pStyle w:val="000004"/>
        <w:keepNext w:val="1"/>
        <w:keepLines w:val="1"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1" w:name="section-1"/>
      <w:r>
        <w:rPr>
          <w:rFonts w:hint="eastAsia" w:ascii="PingFang SC" w:hAnsi="PingFang SC" w:eastAsia="PingFang SC" w:cs="PingFang SC"/>
          <w:b w:val="1"/>
          <w:color w:val="0b2545"/>
          <w:sz w:val="40"/>
        </w:rPr>
        <w:t>一、系统概览</w:t>
      </w:r>
      <w:bookmarkEnd w:id="1"/>
    </w:p>
    <w:p w14:paraId="0C732901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大学物理 AI 智慧课堂是一个面向课程教学的工作台，学生端与教师端共用一套账号和课程结构。全部功能在浏览器中运行，打开网址即可使用，无需安装客户端，也不需要在本地配置任何环境。系统对网络的要求是分层的：工作台、AI 助教与六个预置课堂包全部离线可用，只有「进入课堂」生成新课时需要联网，第 1.2 节会说明具体边界。</w:t>
      </w:r>
    </w:p>
    <w:p w14:paraId="3EBBDC71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" w:name="section-1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1.1 角色与账号</w:t>
      </w:r>
      <w:bookmarkEnd w:id="2"/>
    </w:p>
    <w:p w14:paraId="73485CF9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账号决定进入哪一侧工作台。系统提供两个演示账号，也支持自行注册。演示账号的数据已经预置好，包括诊断结果、进行中的项目、闯关记录与待复核评价，因此可以直接走完整条链路而不用先造数据。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1827"/>
        <w:gridCol w:w="4652"/>
      </w:tblGrid>
      <w:tr>
        <w:trPr>
          <w:tblHeader w:val="1"/>
        </w:trPr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86CE13F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账号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112917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口令</w:t>
            </w:r>
          </w:p>
        </w:tc>
        <w:tc>
          <w:tcPr>
            <w:tcW w:w="465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80129B3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进入后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A26B444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student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36FF2B0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dunzhongwan</w:t>
            </w:r>
          </w:p>
        </w:tc>
        <w:tc>
          <w:tcPr>
            <w:tcW w:w="465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680DBE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学生端 · 学习总览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85DF276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teacher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1B2BC0E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dunzhongwan</w:t>
            </w:r>
          </w:p>
        </w:tc>
        <w:tc>
          <w:tcPr>
            <w:tcW w:w="465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6C8799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教师端 · 教学驾驶舱</w:t>
            </w:r>
          </w:p>
        </w:tc>
      </w:tr>
    </w:tbl>
    <w:p w14:paraId="25ADBCB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演示账号的用户名在注册时被保留，避免与自建账号重名——如果允许重名，登录时无法判断该进哪一份数据。自建账号在登录页切换到「注册新账号」即可创建，角色在注册时选定，登录后不可切换。这样设计的理由是角色决定了整套导航结构与数据视图，中途切换会让「我刚才在哪一页」这个问题失去意义。</w:t>
      </w:r>
    </w:p>
    <w:p w14:paraId="4CB85CF1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自建账号与演示账号的数据互不影响。演示账号的数据是固定的样本，可以随意试验而不用担心弄脏；自建账号从空数据开始，需要先完成诊断才会有个性化匹配。建议的做法是先用演示账号熟悉流程，再注册自己的账号正式使用。</w:t>
      </w:r>
    </w:p>
    <w:p w14:paraId="5CBB847D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3" w:name="section-1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1.2 运行环境</w:t>
      </w:r>
      <w:bookmarkEnd w:id="3"/>
    </w:p>
    <w:p w14:paraId="2093F165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系统面向桌面浏览器设计，对窗口宽度有明确要求。低于 1280 像素时侧栏会折叠为图标，内容区的多列表格会开始横向滚动，虽然仍可操作，但对比类视图的可读性会明显下降。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7CA1D27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项目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44AE2B4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建议与说明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F15434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浏览器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680FE1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Chrome、Edge 或 Safari 的近两年版本。更早的版本可能不支持所用的 CSS 特性，会出现布局错位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303077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窗口宽度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CB8E53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1280 像素以上；小于该宽度时侧栏会折叠为图标，内容区开始横向滚动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DE79F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网络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C5CB36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工作台、AI 助教与预置课堂包可离线使用；只有「进入课堂」生成新课时需要联网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023932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本地存储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E3654D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需允许本站使用 Cookie 与本地存储，否则登录态与学习记录无法保存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1CFFF6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显示缩放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C5BA61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建议 100%；150% 缩放时等效宽度会降到 853 像素，触发侧栏折叠</w:t>
            </w:r>
          </w:p>
        </w:tc>
      </w:tr>
    </w:tbl>
    <w:p w14:paraId="5E013885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「离线可用」的范围需要说清楚：打开工作台、浏览章节、完成诊断与闯关、做虚拟实验、查看与导出学习报告、播放六个预置课堂包，这些都不需要网络；只有点击「进入课堂」让系统现场生成一节课时才需要联网，因为要调用模型服务。断网时这一处会给出明确提示，其余部分不受影响，也不会因为一次请求失败而整体不可用。</w:t>
      </w:r>
    </w:p>
    <w:p w14:paraId="6E115311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4" w:name="section-1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1.3 界面结构</w:t>
      </w:r>
      <w:bookmarkEnd w:id="4"/>
    </w:p>
    <w:p w14:paraId="30F8089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两侧界面结构一致，分三个区域。这种一致性是刻意的：学生用熟之后再切到教师端，不需要重新学习界面，只需要理解视图含义的差异。</w:t>
      </w:r>
    </w:p>
    <w:p w14:paraId="625DDAF4">
      <w:pPr>
        <w:numPr>
          <w:ilvl w:val="0"/>
          <w:numId w:val="1"/>
        </w:numPr>
        <w:spacing w:before="60" w:after="60" w:line="432"/>
        <w:ind w:left="60" w:right="60"/>
        <w:rPr>
          <w:color w:val="1f2937"/>
        </w:rPr>
      </w:pPr>
      <w:r>
        <w:rPr>
          <w:rFonts w:hint="eastAsia" w:ascii="Songti SC" w:hAnsi="Songti SC" w:eastAsia="Songti SC" w:cs="Songti SC"/>
          <w:b w:val="1"/>
          <w:color w:val="1f2937"/>
          <w:sz w:val="21"/>
        </w:rPr>
        <w:t>左侧导航</w:t>
      </w:r>
      <w:r>
        <w:rPr>
          <w:rFonts w:hint="eastAsia" w:ascii="Songti SC" w:hAnsi="Songti SC" w:eastAsia="Songti SC" w:cs="Songti SC"/>
          <w:color w:val="1f2937"/>
          <w:sz w:val="21"/>
        </w:rPr>
        <w:t>：列出当前角色的全部视图，当前项高亮；底部是账号与退出入口。导航顺序即推荐使用顺序，从上到下走一遍就是完整流程。</w:t>
      </w:r>
    </w:p>
    <w:p w14:paraId="7781DD16">
      <w:pPr>
        <w:numPr>
          <w:ilvl w:val="0"/>
          <w:numId w:val="1"/>
        </w:numPr>
        <w:spacing w:before="60" w:after="60" w:line="432"/>
        <w:ind w:left="60" w:right="60"/>
        <w:rPr>
          <w:color w:val="1f2937"/>
        </w:rPr>
      </w:pPr>
      <w:r>
        <w:rPr>
          <w:rFonts w:hint="eastAsia" w:ascii="Songti SC" w:hAnsi="Songti SC" w:eastAsia="Songti SC" w:cs="Songti SC"/>
          <w:b w:val="1"/>
          <w:color w:val="1f2937"/>
          <w:sz w:val="21"/>
        </w:rPr>
        <w:t>顶部信息条</w:t>
      </w:r>
      <w:r>
        <w:rPr>
          <w:rFonts w:hint="eastAsia" w:ascii="Songti SC" w:hAnsi="Songti SC" w:eastAsia="Songti SC" w:cs="Songti SC"/>
          <w:color w:val="1f2937"/>
          <w:sz w:val="21"/>
        </w:rPr>
        <w:t>：左侧显示当前页面名称与所属模块，右侧是「命令面板」按钮，标出当前快捷键。</w:t>
      </w:r>
    </w:p>
    <w:p w14:paraId="0395767E">
      <w:pPr>
        <w:numPr>
          <w:ilvl w:val="0"/>
          <w:numId w:val="1"/>
        </w:numPr>
        <w:spacing w:before="60" w:after="60" w:line="432"/>
        <w:ind w:left="60" w:right="60"/>
        <w:rPr>
          <w:color w:val="1f2937"/>
        </w:rPr>
      </w:pPr>
      <w:r>
        <w:rPr>
          <w:rFonts w:hint="eastAsia" w:ascii="Songti SC" w:hAnsi="Songti SC" w:eastAsia="Songti SC" w:cs="Songti SC"/>
          <w:b w:val="1"/>
          <w:color w:val="1f2937"/>
          <w:sz w:val="21"/>
        </w:rPr>
        <w:t>内容区</w:t>
      </w:r>
      <w:r>
        <w:rPr>
          <w:rFonts w:hint="eastAsia" w:ascii="Songti SC" w:hAnsi="Songti SC" w:eastAsia="Songti SC" w:cs="Songti SC"/>
          <w:color w:val="1f2937"/>
          <w:sz w:val="21"/>
        </w:rPr>
        <w:t>：视图主体。多数视图采用「左列表 + 右详情」的两栏布局，左侧选择对象，右侧查看细节。</w:t>
      </w:r>
    </w:p>
    <w:p w14:paraId="32711F8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 xml:space="preserve">按 </w:t>
      </w:r>
      <w:r>
        <w:rPr>
          <w:rFonts w:ascii="SF Mono" w:hAnsi="SF Mono" w:eastAsia="SF Mono" w:cs="SF Mono"/>
          <w:color w:val="1f2937"/>
          <w:sz w:val="18"/>
          <w:shd w:val="clear" w:fill="eef2f7"/>
        </w:rPr>
        <w:t>⌘K</w:t>
      </w:r>
      <w:r>
        <w:rPr>
          <w:rFonts w:hint="eastAsia" w:ascii="Songti SC" w:hAnsi="Songti SC" w:eastAsia="Songti SC" w:cs="Songti SC"/>
          <w:color w:val="1f2937"/>
          <w:sz w:val="21"/>
        </w:rPr>
        <w:t xml:space="preserve">（Windows 为 </w:t>
      </w:r>
      <w:r>
        <w:rPr>
          <w:rFonts w:ascii="SF Mono" w:hAnsi="SF Mono" w:eastAsia="SF Mono" w:cs="SF Mono"/>
          <w:color w:val="1f2937"/>
          <w:sz w:val="18"/>
          <w:shd w:val="clear" w:fill="eef2f7"/>
        </w:rPr>
        <w:t>Ctrl+K</w:t>
      </w:r>
      <w:r>
        <w:rPr>
          <w:rFonts w:hint="eastAsia" w:ascii="Songti SC" w:hAnsi="Songti SC" w:eastAsia="Songti SC" w:cs="Songti SC"/>
          <w:color w:val="1f2937"/>
          <w:sz w:val="21"/>
        </w:rPr>
        <w:t>）可唤出命令面板，输入视图名或动作名直接跳转，不必逐级点击。命令面板同时是功能发现入口：不确定某个操作在哪里时，先在面板里输入关键词，有结果说明功能存在，没有结果说明当前角色不具备该能力。</w:t>
      </w:r>
    </w:p>
    <w:p w14:paraId="63AD8F9A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5" w:name="section-1-4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1.4 一分钟上手</w:t>
      </w:r>
      <w:bookmarkEnd w:id="5"/>
    </w:p>
    <w:p w14:paraId="6006C87D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如果只想尽快看到系统能做什么，按下面五步走一遍即可，全程约一分钟，不需要注册。这条路径刻意避开了需要联网的环节，因此在任何网络环境下都能完成。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4"/>
        <w:gridCol w:w="2325"/>
        <w:gridCol w:w="5317"/>
      </w:tblGrid>
      <w:tr>
        <w:trPr>
          <w:tblHeader w:val="1"/>
        </w:trPr>
        <w:tc>
          <w:tcPr>
            <w:tcW w:w="66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B256A3F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步骤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2B834F0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操作</w:t>
            </w:r>
          </w:p>
        </w:tc>
        <w:tc>
          <w:tcPr>
            <w:tcW w:w="531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7386D6A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会看到什么</w:t>
            </w:r>
          </w:p>
        </w:tc>
      </w:tr>
      <w:tr>
        <w:trPr/>
        <w:tc>
          <w:tcPr>
            <w:tcW w:w="66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E1C8DA0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1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7339C7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 xml:space="preserve">用 </w:t>
            </w: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student</w:t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 xml:space="preserve"> 登录</w:t>
            </w:r>
          </w:p>
        </w:tc>
        <w:tc>
          <w:tcPr>
            <w:tcW w:w="531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514BE2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学习总览：五步流程条、四张指标卡、知识维度与任务进度</w:t>
            </w:r>
          </w:p>
        </w:tc>
      </w:tr>
      <w:tr>
        <w:trPr/>
        <w:tc>
          <w:tcPr>
            <w:tcW w:w="66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C371C6A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2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A17890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打开「学情诊断」</w:t>
            </w:r>
          </w:p>
        </w:tc>
        <w:tc>
          <w:tcPr>
            <w:tcW w:w="531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A113A1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八道前测题，每题标注所属知识维度</w:t>
            </w:r>
          </w:p>
        </w:tc>
      </w:tr>
      <w:tr>
        <w:trPr/>
        <w:tc>
          <w:tcPr>
            <w:tcW w:w="66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5359C1B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3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31308F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打开「项目匹配」</w:t>
            </w:r>
          </w:p>
        </w:tc>
        <w:tc>
          <w:tcPr>
            <w:tcW w:w="531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0C8625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按匹配分排序的项目卡片，每张给出能力路径与匹配理由</w:t>
            </w:r>
          </w:p>
        </w:tc>
      </w:tr>
      <w:tr>
        <w:trPr/>
        <w:tc>
          <w:tcPr>
            <w:tcW w:w="66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9B58CDE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4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2FE99B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回到首页，点任一离线课堂包</w:t>
            </w:r>
          </w:p>
        </w:tc>
        <w:tc>
          <w:tcPr>
            <w:tcW w:w="531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F01CE6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播放器：场景缩略图、AI 助教讲解、播放控制，无需联网</w:t>
            </w:r>
          </w:p>
        </w:tc>
      </w:tr>
      <w:tr>
        <w:trPr/>
        <w:tc>
          <w:tcPr>
            <w:tcW w:w="66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4254C21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5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583F8C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 xml:space="preserve">退出，用 </w:t>
            </w: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teacher</w:t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 xml:space="preserve"> 登录</w:t>
            </w:r>
          </w:p>
        </w:tc>
        <w:tc>
          <w:tcPr>
            <w:tcW w:w="531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001F9E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教学驾驶舱：指标卡、风险分布、关注名单</w:t>
            </w:r>
          </w:p>
        </w:tc>
      </w:tr>
    </w:tbl>
    <w:p w14:paraId="726A2178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走完这五步，系统的两条主线就都见过了：学生端从诊断到项目到练习，教师端从定位到复核。后续章节是对每一步的展开，可以按需查阅，不必顺序通读。</w:t>
      </w:r>
    </w:p>
    <w:p w14:paraId="63AD4EFC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6" w:name="section-2"/>
      <w:r>
        <w:rPr>
          <w:rFonts w:hint="eastAsia" w:ascii="PingFang SC" w:hAnsi="PingFang SC" w:eastAsia="PingFang SC" w:cs="PingFang SC"/>
          <w:b w:val="1"/>
          <w:color w:val="0b2545"/>
          <w:sz w:val="40"/>
        </w:rPr>
        <w:t>二、登录与注册</w:t>
      </w:r>
      <w:bookmarkEnd w:id="6"/>
    </w:p>
    <w:p w14:paraId="3725C661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7" w:name="section-2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2.1 登录</w:t>
      </w:r>
      <w:bookmarkEnd w:id="7"/>
    </w:p>
    <w:p w14:paraId="547D416C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1　登录页：左侧为品牌与演示账号提示，右侧为登录 / 注册页签</w:t>
      </w:r>
    </w:p>
    <w:p w14:paraId="0ACA7FC8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打开站点后默认进入登录页。右侧页签停在「登录」，输入用户名与口令，点击「登录」即可。登录成功后按账号角色进入对应工作台，学生落在学习总览，教师落在教学驾驶舱。整个过程中口令在本地完成哈希校验，不会以明文形式发出。</w:t>
      </w:r>
    </w:p>
    <w:p w14:paraId="5D81ECE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账号或口令错误时统一提示「账号或密码不正确」，不区分是哪一项，避免暴露账号是否存在。连续输错不会锁定账号，可以重新输入。这一策略的取舍是明确的：不锁定意味着暴力尝试不受限制，但换来了演示现场不会因为几次误输而把自己锁在门外。</w:t>
      </w:r>
    </w:p>
    <w:p w14:paraId="5B91227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登录态保存在本地，关闭标签页后重新打开仍处于登录状态，直到主动退出或清理浏览器数据。如果发现每次刷新都要重新登录，说明浏览器禁用了本站 Cookie，需要在地址栏左侧的站点设置里允许。</w:t>
      </w:r>
    </w:p>
    <w:p w14:paraId="2F1F6284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8" w:name="section-2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2.2 注册</w:t>
      </w:r>
      <w:bookmarkEnd w:id="8"/>
    </w:p>
    <w:p w14:paraId="499DBE9C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切到「注册新账号」页签，填写三项信息：用户名、口令、角色。三项都在提交前即时校验，不符合规则时输入框下方直接给出提示，不必等到提交后才看到错误。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6645"/>
      </w:tblGrid>
      <w:tr>
        <w:trPr>
          <w:tblHeader w:val="1"/>
        </w:trPr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171599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字段</w:t>
            </w:r>
          </w:p>
        </w:tc>
        <w:tc>
          <w:tcPr>
            <w:tcW w:w="664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5F7390C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规则与说明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847D20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用户名</w:t>
            </w:r>
          </w:p>
        </w:tc>
        <w:tc>
          <w:tcPr>
            <w:tcW w:w="664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823E4D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3–32 个字符，可用字母、数字、下划线、连字符与中文。用户名即登录名，注册后不可修改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1337D7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口令</w:t>
            </w:r>
          </w:p>
        </w:tc>
        <w:tc>
          <w:tcPr>
            <w:tcW w:w="664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D26370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至少 8 位，区分大小写。允许符号与空格，建议混合使用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63FAF7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角色</w:t>
            </w:r>
          </w:p>
        </w:tc>
        <w:tc>
          <w:tcPr>
            <w:tcW w:w="664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7D9AEB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学生或教师，注册后不可更改。选错需要重新注册一个账号</w:t>
            </w:r>
          </w:p>
        </w:tc>
      </w:tr>
    </w:tbl>
    <w:p w14:paraId="1A028FE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用户名重复、使用了演示账号名、口令过短，这三种情况都会当场给出提示，按提示修改即可。注册成功后自动登录并进入对应工作台，不需要再登录一次。新账号的数据是空的，第一次进入学习总览时，页面上的主按钮会指向「学情诊断」。</w:t>
      </w:r>
    </w:p>
    <w:p w14:paraId="0C95CE14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9" w:name="section-2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2.3 退出与切换角色</w:t>
      </w:r>
      <w:bookmarkEnd w:id="9"/>
    </w:p>
    <w:p w14:paraId="59DE218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退出入口在左侧导航底部。点击后清除本机会话，回到登录页。学习记录不会随退出删除，用同一账号重新登录即可继续。这一点与很多系统不同——退出只清会话，不清数据，因为数据本来就属于这个账号的分区。</w:t>
      </w:r>
    </w:p>
    <w:p w14:paraId="36DE5AA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切换角色需要先退出，再用另一角色的账号登录。直接用学生账号访问教师路径会被送回学生端首页，反之亦然。被重定向时页面不会有额外提示，这是有意为之：提示会暴露「教师端存在」这一信息，而重定向本身已经足够说明问题。</w:t>
      </w:r>
    </w:p>
    <w:p w14:paraId="5510F22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如果需要在同一台电脑上同时查看两侧，可以用两个浏览器窗口分别登录不同账号，或者用一个窗口的普通模式加一个隐身窗口。两个窗口的数据分区互不干扰，可以同时对照学生看到的与教师看到的。</w:t>
      </w:r>
    </w:p>
    <w:p w14:paraId="47A632CC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10" w:name="section-3"/>
      <w:r>
        <w:rPr>
          <w:rFonts w:hint="eastAsia" w:ascii="PingFang SC" w:hAnsi="PingFang SC" w:eastAsia="PingFang SC" w:cs="PingFang SC"/>
          <w:b w:val="1"/>
          <w:color w:val="0b2545"/>
          <w:sz w:val="40"/>
        </w:rPr>
        <w:t>三、学生端操作</w:t>
      </w:r>
      <w:bookmarkEnd w:id="10"/>
    </w:p>
    <w:p w14:paraId="415ECB6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学生端十一个视图按学习顺序排列，第一次使用建议从学习总览开始，按页面上的流程条逐步推进。导航顺序本身就是一个建议：从上到下走一遍，就是「诊断 → 课前分层 → 课中追问 → 课后评价 → 选题 → 练习 → 实验 → 看报告」的完整过程。十一个视图共享同一份画像数据，因此在任一视图里做的操作，都会在其他视图里同步反映。</w:t>
      </w:r>
    </w:p>
    <w:p w14:paraId="511412DB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1" w:name="section-3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3.1 学习总览</w:t>
      </w:r>
      <w:bookmarkEnd w:id="11"/>
    </w:p>
    <w:p w14:paraId="45CB501D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2　学习总览：五步流程条、四张指标卡与两个并列面板</w:t>
      </w:r>
    </w:p>
    <w:p w14:paraId="2D6E48B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这一页负责回答「现在该做什么」。页面自上而下分四层：欢迎语与五步流程条、四张指标卡、知识维度与任务进度两个并列面板、底部四个快捷入口。五步流程条把学情诊断、项目匹配、任务闯关、虚拟实验、学习报告串成一条线，当前停在哪一步用实心圆点标出，学生不必自己记住顺序。</w:t>
      </w:r>
    </w:p>
    <w:p w14:paraId="6266F715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四张指标卡分别是诊断总分、任务完成、实验记录与综合评定。诊断总分来自最近一次学情诊断，未做时显示破折号；任务完成以「已完成 / 总项数」呈现；实验记录按组计数；综合评定是一个 0–100 的汇总值，旁边给出当前所处档位。四张卡放在同一行的用意是让学生一眼看到「哪一项还是零」——零值往往就是下一步该去的地方。</w:t>
      </w:r>
    </w:p>
    <w:p w14:paraId="5ECF14DD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中部的两个面板各有分工。左侧是知识维度，展示最近一次诊断的各维度结果，未做诊断时显示「尚无诊断数据，完成学情诊断」；右侧是任务进度，按五阶关卡（情境认知、原理建模、方案设计、实验验证、协同创生）列出完成项数，底部有「继续闯关」与「重新诊断」两个按钮。底部的四个快捷入口分别通往项目匹配、虚拟实验、学习报告与 AI 助教，用于跳过流程条直接进入某个视图。</w:t>
      </w:r>
    </w:p>
    <w:p w14:paraId="4EFD7883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页面上的数字都会随操作实时更新，不需要手动刷新。如果发现某处数字没有变化，通常是该视图尚未重新挂载，切换一次视图再回来即可。</w:t>
      </w:r>
    </w:p>
    <w:p w14:paraId="5EC9503F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2" w:name="section-3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3.2 学情诊断</w:t>
      </w:r>
      <w:bookmarkEnd w:id="12"/>
    </w:p>
    <w:p w14:paraId="0E9ED6DA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3　学情诊断：八道前测题，每题标注所属知识维度</w:t>
      </w:r>
    </w:p>
    <w:p w14:paraId="316A8F6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八道题覆盖七个知识维度，全部为选择题。每道题下方标注所属维度（力学、波动、电磁学等），学生作答时就能意识到这一题考的是哪一块，而不是把它当成一道孤立的题。题目不按维度分组排列，而是打散后呈现，避免通过题序推测考点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6822FAD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项目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FA34FEB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说明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693973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题量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4E5510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八道单选题，覆盖七个知识维度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06DB19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作答方式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4B4F35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逐题选择选项，页面顶部显示已作答进度（如 0 / 8）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02C53C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结果呈现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DB3E28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提交后右侧「诊断结果」卡片给出各维度得分与等级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682791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用途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B7E689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生成学习建议，并作为项目匹配的权重来源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414D62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边界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63474D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只用于学习建议，不作为成绩；教师复核后的结果始终优先</w:t>
            </w:r>
          </w:p>
        </w:tc>
      </w:tr>
    </w:tbl>
    <w:p w14:paraId="71B97D2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等级比分数更值得关注。分数会随题目难度浮动，等级则按同一标尺划分，跨批次可比。七个维度之间存在先修关系，若基础维度等级偏低，后面几个维度的偏低往往是连锁结果，此时补基础比补后面更有效。</w:t>
      </w:r>
    </w:p>
    <w:p w14:paraId="208205B0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诊断结果直接决定项目匹配的排序权重，因此建议在选项目之前完成。诊断可以重做，重做会覆盖当前结果，但会保留一份 24 小时内的快照，页面上的「恢复上次结果」可以退回。重做适用于「上次答题不认真」或「学完一章后想看看进步」这两种情况。</w:t>
      </w:r>
    </w:p>
    <w:p w14:paraId="162C4662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3" w:name="section-3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3.3 章节与知识图谱</w:t>
      </w:r>
      <w:bookmarkEnd w:id="13"/>
    </w:p>
    <w:p w14:paraId="780600A5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11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4　章节与知识图谱：左侧十八章矩阵，右侧章节详情与六大模块知识图谱</w:t>
      </w:r>
    </w:p>
    <w:p w14:paraId="13820FF0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这一页是两栏布局。左栏是「教学章节矩阵」，十八章逐行列出，每行给出章节序号与名称、案例成熟度标签（成熟案例、重点建设、拓展案例）、上课学期与学时、该章的产出物，右侧标出这一章与当前学情的匹配度。右栏上半是所选章节的详情，下半是知识图谱。</w:t>
      </w:r>
    </w:p>
    <w:p w14:paraId="4ABF1CC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章节详情包含六块内容：核心概念、思政锚点、讨论引导、教学周次、校内实验项目、章节主项目。思政锚点与讨论引导是给教师备课用的，学生看这一栏也能知道「这一章除了公式还想说明什么」。章节主项目后面跟着它的匹配度，与左栏的数字一致。</w:t>
      </w:r>
    </w:p>
    <w:p w14:paraId="32BAED1D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知识图谱按六大模块（力学、热学、电磁学、光学、振动与波、近代物理）列出关键概念节点，每个模块给出研究内容与推荐案例。它的作用是回答「这个概念属于哪个模块、和哪些案例相关」，而不是画一张复杂的依赖图——依赖关系在章节矩阵的行顺序里已经隐含了。</w:t>
      </w:r>
    </w:p>
    <w:p w14:paraId="0473FBFB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想知道「这个项目为什么排在我前面」，看左栏的匹配度列最直接：匹配度高的章节，其主项目在项目匹配页也会排在前面。反过来，如果某个项目排在后面但你很感兴趣，也可以主动选择它，排序只是建议不是限制。</w:t>
      </w:r>
    </w:p>
    <w:p w14:paraId="3462936E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4" w:name="section-3-4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3.4 项目匹配</w:t>
      </w:r>
      <w:bookmarkEnd w:id="14"/>
    </w:p>
    <w:p w14:paraId="5F063D4E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14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5　项目匹配：按匹配分排序，卡片给出能力路径与匹配理由</w:t>
      </w:r>
    </w:p>
    <w:p w14:paraId="35AECE20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列表按匹配分从高到低排列，匹配分由诊断结果、学习方式与项目能力目标三项加权得出。每张卡片除了分数，还给出难度、所属模块、类型三个标签，一条能力路径（概念迁移 → 数据分析 → 方案设计 → 成果表达），以及一段说明这个项目练什么的文字。给理由的原因是可争议性：学生看到「因为你电磁学薄弱」时可以判断这个理由是否成立，只看到「匹配度 56」则无从判断，也就不会信任排序。</w:t>
      </w:r>
    </w:p>
    <w:p w14:paraId="74B03C2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未完成诊断时，页面顶部会提示「还没有学情画像」，并给出「去做诊断」按钮；此时下方仍会列出项目案例库，但匹配分是默认值，卡片上标注「等待完成学情诊断后生成个性化匹配」。这一处理是为了不让页面变成空白——学生可以先看看有哪些项目，再决定要不要去做诊断。</w:t>
      </w:r>
    </w:p>
    <w:p w14:paraId="16C920A9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选定项目后点「选择该项目」，该项目随即出现在任务闯关与学习报告的过程证据里。同时只能有一个进行中的项目，选择新项目会提示是否结束当前项目，确认后原项目记录保留但不再计入当前进度。</w:t>
      </w:r>
    </w:p>
    <w:p w14:paraId="06D9FF3D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5" w:name="section-3-5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3.5 任务闯关</w:t>
      </w:r>
      <w:bookmarkEnd w:id="15"/>
    </w:p>
    <w:p w14:paraId="4986F8AE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17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6　任务闯关：未选项目时给出引导，选定项目后进入五阶关卡</w:t>
      </w:r>
    </w:p>
    <w:p w14:paraId="3B10063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任务闯关依附于已选项目，因此未选项目时这一页只显示一句提示与一个「去匹配项目」按钮，不会给出空白的关卡列表。这条引导链路是刻意设计的：与其让学生对着一个空页面猜要做什么，不如直接把他送到该去的地方。</w:t>
      </w:r>
    </w:p>
    <w:p w14:paraId="4EF0304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选定项目后，一个项目拆成五阶关卡，五阶的名称与学习总览里的任务进度一致：情境认知、原理建模、方案设计、实验验证、协同创生。前两阶以概念与建模为主，中间两阶进入方案与实验，最后一阶要求把前四阶的结论整合成一次完整表达。每阶若干题，选择答案后提交，立即显示对错与解析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2491"/>
        <w:gridCol w:w="3988"/>
      </w:tblGrid>
      <w:tr>
        <w:trPr>
          <w:tblHeader w:val="1"/>
        </w:trPr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7D48671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关卡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F2777AB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侧重</w:t>
            </w:r>
          </w:p>
        </w:tc>
        <w:tc>
          <w:tcPr>
            <w:tcW w:w="398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1F017A6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完成标志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4103E6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情境认知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8E23E0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识别问题中的物理情境与已知量</w:t>
            </w:r>
          </w:p>
        </w:tc>
        <w:tc>
          <w:tcPr>
            <w:tcW w:w="398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A82AD1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本阶题目全部作答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903A26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原理建模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002A34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选择合适的定律并建立方程</w:t>
            </w:r>
          </w:p>
        </w:tc>
        <w:tc>
          <w:tcPr>
            <w:tcW w:w="398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3E913C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本阶题目全部作答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669327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方案设计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FFA0D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确定实验或求解路径</w:t>
            </w:r>
          </w:p>
        </w:tc>
        <w:tc>
          <w:tcPr>
            <w:tcW w:w="398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C2F0C3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本阶题目全部作答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1B9159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实验验证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AA916F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用数据检验结论，分析误差</w:t>
            </w:r>
          </w:p>
        </w:tc>
        <w:tc>
          <w:tcPr>
            <w:tcW w:w="398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4FB979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本阶题目全部作答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87BBFE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协同创生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1558ED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整合前四阶，形成完整表达</w:t>
            </w:r>
          </w:p>
        </w:tc>
        <w:tc>
          <w:tcPr>
            <w:tcW w:w="398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49EE93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本阶题目全部作答并提交总结</w:t>
            </w:r>
          </w:p>
        </w:tc>
      </w:tr>
    </w:tbl>
    <w:p w14:paraId="4B879FB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进度存在本地，中途离开不会丢失。需要重做某一关，点关卡右上角的「重置本关」，确认后清空该关记录。重置会写一份快照，24 小时内可以用「恢复上次结果」退回，因此误点也不会造成不可挽回的损失。</w:t>
      </w:r>
    </w:p>
    <w:p w14:paraId="37779AA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答错的题不会立即给出正确答案，而是给出解析与相关章节的入口。这样设计的目的是把「看答案」这一步推迟到学生自己尝试过之后，避免形成「提交—看答案—下一题」的机械循环。</w:t>
      </w:r>
    </w:p>
    <w:p w14:paraId="40B02C9C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6" w:name="section-3-6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3.6 AI 助教</w:t>
      </w:r>
      <w:bookmarkEnd w:id="16"/>
    </w:p>
    <w:p w14:paraId="2CEB7620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20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7　AI 助教：本地规则引擎驱动，用追问与提示引导</w:t>
      </w:r>
    </w:p>
    <w:p w14:paraId="68B536E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助教的设计目标不是给答案，而是把推理链条接出来。页面顶部写着「先自己想一步，再来问」，下方是助教人格说明：先问清物理对象与边界条件再给结论；每个公式都做一次量纲检查并说明适用前提；引用数值示例时标明是理想化模型还是实测值；鼓励学生先估数量级再精确解；涉及实验安全与操作规范时单独强调。这五条不是宣传语，而是回答生成时的约束。</w:t>
      </w:r>
    </w:p>
    <w:p w14:paraId="0BE9206A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页面右上角标着「本地规则引擎 · 离线可用」。助教由本地规则引擎驱动，不依赖网络与模型额度，因此断网时仍然可用，也不会因为配额耗尽而失效。代价是它的回答范围限定在课程内的常见困惑上，超出范围的问题会明确说明无法回答，而不是编一段听起来合理的内容。</w:t>
      </w:r>
    </w:p>
    <w:p w14:paraId="1990560A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 xml:space="preserve">对话框下方给出六个快捷问题，覆盖当前章节最常见的卡点，点一下即可填入输入框。也可以直接描述自己卡住的步骤，按 </w:t>
      </w:r>
      <w:r>
        <w:rPr>
          <w:rFonts w:ascii="SF Mono" w:hAnsi="SF Mono" w:eastAsia="SF Mono" w:cs="SF Mono"/>
          <w:color w:val="1f2937"/>
          <w:sz w:val="18"/>
          <w:shd w:val="clear" w:fill="eef2f7"/>
        </w:rPr>
        <w:t>⌘</w:t>
      </w:r>
      <w:r>
        <w:rPr>
          <w:rFonts w:hint="eastAsia" w:ascii="Songti SC" w:hAnsi="Songti SC" w:eastAsia="Songti SC" w:cs="Songti SC"/>
          <w:color w:val="1f2937"/>
          <w:sz w:val="21"/>
        </w:rPr>
        <w:t xml:space="preserve"> 或 </w:t>
      </w:r>
      <w:r>
        <w:rPr>
          <w:rFonts w:ascii="SF Mono" w:hAnsi="SF Mono" w:eastAsia="SF Mono" w:cs="SF Mono"/>
          <w:color w:val="1f2937"/>
          <w:sz w:val="18"/>
          <w:shd w:val="clear" w:fill="eef2f7"/>
        </w:rPr>
        <w:t>Ctrl</w:t>
      </w:r>
      <w:r>
        <w:rPr>
          <w:rFonts w:hint="eastAsia" w:ascii="Songti SC" w:hAnsi="Songti SC" w:eastAsia="Songti SC" w:cs="Songti SC"/>
          <w:color w:val="1f2937"/>
          <w:sz w:val="21"/>
        </w:rPr>
        <w:t xml:space="preserve"> 加回车发送。对话记录随页面关闭而清空，不写入学习报告，这是刻意的：问答是探索过程，不应该成为被评价的对象。</w:t>
      </w:r>
    </w:p>
    <w:p w14:paraId="09A23FBF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7" w:name="section-3-7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3.7 虚拟实验</w:t>
      </w:r>
      <w:bookmarkEnd w:id="17"/>
    </w:p>
    <w:p w14:paraId="7FE219C2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23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8　虚拟实验：四参数驱动仿真，输出回波波形与误差</w:t>
      </w:r>
    </w:p>
    <w:p w14:paraId="300EEC39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左侧是实验参数，右侧是实验台。以超声波测距为例，四个参数分别是目标距离、声速、反射率与噪声，每个滑块下方都有一行说明它影响什么（例如噪声对应「环境干扰强度」）。参数调整不会立刻改变实验台，需要点「运行实验」，实验台才会给出这一组参数下的回波波形与测量误差。</w:t>
      </w:r>
    </w:p>
    <w:p w14:paraId="14598695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点「保存记录」把当前一组参数与结果存入测量表，右上角显示已记录组数。测量表可以清空重来，清空前会弹确认；清空属于破坏性操作，会写快照，24 小时内可恢复。导出的学习报告会带上这张表。</w:t>
      </w:r>
    </w:p>
    <w:p w14:paraId="4B3B05C9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页面底部有一行提示：仿真参数与器材清单为课程示例数据，实验结论的关键是「误差从哪来」，而不是「读数多准」。这句话解释了为什么噪声这个参数必须存在——把噪声调大，看误差如何变化，比记住一个精确读数更接近实验训练的目的。</w:t>
      </w:r>
    </w:p>
    <w:p w14:paraId="7B034C79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8" w:name="section-3-8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3.8 学习报告</w:t>
      </w:r>
      <w:bookmarkEnd w:id="18"/>
    </w:p>
    <w:p w14:paraId="0BDCE710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26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9　学习报告：综合评定、四阶能力与过程证据清单</w:t>
      </w:r>
    </w:p>
    <w:p w14:paraId="16DCE570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报告自上而下分四块：四张指标卡、四阶能力、知识维度、过程证据。四张卡是综合评定、任务完成、实验记录与提问次数，与学习总览的口径一致，因此两页的数字可以直接对照。综合评定旁边标注当前档位，用于快速判断整体状态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2159"/>
        <w:gridCol w:w="4486"/>
      </w:tblGrid>
      <w:tr>
        <w:trPr>
          <w:tblHeader w:val="1"/>
        </w:trPr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9F8B13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板块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11D40FC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内容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9F518AC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怎么读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A7D373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四阶能力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C1B3EF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知识理解、专业应用、创新实践、协同创生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E39759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四条进度条，下方标出最强与最弱两项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DA8AA0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知识维度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92F127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最近一次学情诊断的各维度结果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01DF36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未做诊断时提示先完成诊断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F9510D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过程证据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27B11D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学情诊断、项目匹配、五阶任务、虚拟实验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3A8E78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每条标注状态：未完成、未选择、已完成项数或无记录</w:t>
            </w:r>
          </w:p>
        </w:tc>
      </w:tr>
    </w:tbl>
    <w:p w14:paraId="0AF0B9F5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过程证据这一块的价值在于可核查。每一条都标注了当前状态，未完成的项会明确写「未完成」而不是留空，因此报告不会给人一种「都做过了」的错觉。教师复核时看的也是这一块——它比一个总分更能说明问题出在哪一环。</w:t>
      </w:r>
    </w:p>
    <w:p w14:paraId="27CAD9E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右上角有三个导出按钮：下载 Markdown、下载 JSON、打印 / 另存 PDF。Markdown 适合直接提交或粘贴到作业中，JSON 适合程序处理与备份，PDF 适合打印归档。三种格式的内容一致，不做额外加工，因此学生可以确信「交上去的就是自己看到的」。</w:t>
      </w:r>
    </w:p>
    <w:p w14:paraId="2C35538A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报告不给出单一总评。四阶能力衡量的是不同侧面，加权成一个总分只会掩盖差异，而教师需要看到的恰恰是差异——哪一类强、哪一类弱，比「总体 82 分」更有信息量。综合评定只是用于快速定位档位，不作为评价结论。</w:t>
      </w:r>
    </w:p>
    <w:p w14:paraId="174C0A10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9" w:name="section-3-9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3.9 课前：诊断与精准配对</w:t>
      </w:r>
      <w:bookmarkEnd w:id="19"/>
    </w:p>
    <w:p w14:paraId="3423A35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这一页回答的不是「我多少分」，而是「我现在该做什么」。进入页面先看到学情分层：系统按诊断总分与薄弱维度个数判定层级，并在下方列出三个层级的判定规则，当前所处的层级高亮显示。只给一个层级标签是不够的——学生看不出自己离下一层还差什么，也就无从改进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3322"/>
        <w:gridCol w:w="3157"/>
      </w:tblGrid>
      <w:tr>
        <w:trPr>
          <w:tblHeader w:val="1"/>
        </w:trPr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B5BFAD4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层级</w:t>
            </w:r>
          </w:p>
        </w:tc>
        <w:tc>
          <w:tcPr>
            <w:tcW w:w="332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6031023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判定规则</w:t>
            </w:r>
          </w:p>
        </w:tc>
        <w:tc>
          <w:tcPr>
            <w:tcW w:w="31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44A4C2F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对应梯度案例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91E80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基础巩固型</w:t>
            </w:r>
          </w:p>
        </w:tc>
        <w:tc>
          <w:tcPr>
            <w:tcW w:w="332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11F7F3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诊断总分低于 70，或三个以上知识维度低于 60</w:t>
            </w:r>
          </w:p>
        </w:tc>
        <w:tc>
          <w:tcPr>
            <w:tcW w:w="31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D8517A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基础层案例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C49D05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应用提升型</w:t>
            </w:r>
          </w:p>
        </w:tc>
        <w:tc>
          <w:tcPr>
            <w:tcW w:w="332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6A3A5D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诊断总分 70 至 84，薄弱维度不超过两个</w:t>
            </w:r>
          </w:p>
        </w:tc>
        <w:tc>
          <w:tcPr>
            <w:tcW w:w="31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22AC6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中等层案例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1F540F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创新挑战型</w:t>
            </w:r>
          </w:p>
        </w:tc>
        <w:tc>
          <w:tcPr>
            <w:tcW w:w="332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AFF0B1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诊断总分 85 以上，且薄弱维度不超过两个</w:t>
            </w:r>
          </w:p>
        </w:tc>
        <w:tc>
          <w:tcPr>
            <w:tcW w:w="31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7071AA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较高层案例</w:t>
            </w:r>
          </w:p>
        </w:tc>
      </w:tr>
    </w:tbl>
    <w:p w14:paraId="710D0258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层级由两条判据共同决定，而不是只看总分。一个总分 88 分但三个维度都在 55 分左右的学生，直接进入创新挑战任务大概率做不动，系统会把他降到应用提升型。这条规则的作用是防止「总分好看、基础不牢」的学生被层级推着走。</w:t>
      </w:r>
    </w:p>
    <w:p w14:paraId="419EE8D1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点右上角「生成课前方案」，系统同时算出三件事：层级、梯度案例配对、小组与组内分工。配对先从全库按薄弱维度、学习方式与能力目标排序，再只保留与当前层级同档的案例，最多列三个，每个案例下方给出匹配理由。同档案例不足三个时用相邻档补齐，并在理由里写明「同层案例不足，补充某层案例」——补位可以，但不能不说明。</w:t>
      </w:r>
    </w:p>
    <w:p w14:paraId="2B16A5B3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分组由学生编号稳定推导，同一名学生每次生成都得到同一个组与同一项分工，刷新页面不会换组。这一点是必须的：教师按名单分组时，如果学生每刷新一次就换一个组，名单永远对不上。分工按层级给出不同模板，基础层是概念梳理、实验操作、结果校核，应用层增加建模与数据分析，挑战层则包含方案论证与关键技术攻关。</w:t>
      </w:r>
    </w:p>
    <w:p w14:paraId="52E84F9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方案生成后会自动提交给教师，页面右侧的「闭环进度」显示三步状态：AI 建议、教师审核、学生认可。三步都完成，这条结论才算生效。教师通过或调整后，这里会显示审核意见与审核人；学生再点「认可」或「有疑问」，闭环才算走完。选「有疑问」必须写一句理由，教师端能看到这句话——只给一个「已阅」按钮的话，教师收到的全是绿色，等于没有反馈渠道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f6fb3" w:sz="18"/>
              <w:bottom w:val="none" w:sz="8"/>
              <w:right w:val="none" w:sz="8"/>
            </w:tcBorders>
            <w:shd w:val="clear" w:fill="f4f8fd"/>
            <w:vAlign w:val="center"/>
          </w:tcPr>
          <w:p w14:paraId="47D4ECCC">
            <w:pPr>
              <w:rPr>
                <w:color w:val="334155"/>
              </w:rPr>
            </w:pPr>
            <w:r>
              <w:rPr>
                <w:rFonts w:hint="eastAsia" w:ascii="Songti SC" w:hAnsi="Songti SC" w:eastAsia="Songti SC" w:cs="Songti SC"/>
                <w:color w:val="334155"/>
                <w:sz w:val="19"/>
              </w:rPr>
              <w:t xml:space="preserve"> 提交与审核走同一浏览器内的共享键：学生提交后退出，用教师账号登录即可在「三诊审核」里看到并处理，再切回学生账号就能看到审核结果。跨设备、跨浏览器不成立——那需要服务端，而当前部署是文件模式，课堂数据本身也不保证跨实例保留。 </w:t>
            </w:r>
          </w:p>
        </w:tc>
      </w:tr>
    </w:tbl>
    <w:p w14:paraId="5B4A0C34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0" w:name="section-3-10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3.10 课中：伴随诊断</w:t>
      </w:r>
      <w:bookmarkEnd w:id="20"/>
    </w:p>
    <w:p w14:paraId="0D3E8EC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课中环节的目标不是打分，而是指出错在哪一类。页面左侧是十道课中题，覆盖力学、振动与波、电磁学、光学、热学五个板块，每板块两题；系统按诊断出的薄弱维度把最该问的那道排在前面。选中题目后，在下方的输入框里写下推理过程——只写结果会被判为「思路不完整」，因为系统看不到中间步骤，也就无法给出有针对性的追问。</w:t>
      </w:r>
    </w:p>
    <w:p w14:paraId="1DE1BEC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提交后系统给出判定，分为五类。分类的依据是「下一步该做什么」，而不是「对还是错」：把结论记反了要回去重读定义，模型选错了要重写「本题用什么定律」，单位漏了要做量纲检查，三者的补救动作完全不同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3156"/>
        <w:gridCol w:w="3489"/>
      </w:tblGrid>
      <w:tr>
        <w:trPr>
          <w:tblHeader w:val="1"/>
        </w:trPr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7282EA9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判定类型</w:t>
            </w:r>
          </w:p>
        </w:tc>
        <w:tc>
          <w:tcPr>
            <w:tcW w:w="315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C0D4C62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含义</w:t>
            </w:r>
          </w:p>
        </w:tc>
        <w:tc>
          <w:tcPr>
            <w:tcW w:w="348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17CBFA9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建议动作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703FFB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概念性错误</w:t>
            </w:r>
          </w:p>
        </w:tc>
        <w:tc>
          <w:tcPr>
            <w:tcW w:w="315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35E25E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把结论记反、张冠李戴，例如把「重的物体落得快」当成结论</w:t>
            </w:r>
          </w:p>
        </w:tc>
        <w:tc>
          <w:tcPr>
            <w:tcW w:w="348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4DECB7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回到知识锚点，把概念的定义与适用条件各抄一遍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8615BD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模型选择</w:t>
            </w:r>
          </w:p>
        </w:tc>
        <w:tc>
          <w:tcPr>
            <w:tcW w:w="315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373B0B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选错了物理模型，例如该用能量却去用动量守恒</w:t>
            </w:r>
          </w:p>
        </w:tc>
        <w:tc>
          <w:tcPr>
            <w:tcW w:w="348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9CDB61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先写「本题用什么定律、为什么」，再列式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F0D76E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单位／量纲</w:t>
            </w:r>
          </w:p>
        </w:tc>
        <w:tc>
          <w:tcPr>
            <w:tcW w:w="315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F3FC7C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数量关系大致正确，但没有给出单位</w:t>
            </w:r>
          </w:p>
        </w:tc>
        <w:tc>
          <w:tcPr>
            <w:tcW w:w="348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911082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补全中间结果的单位，做一次量纲检查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FA82C2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思路不完整</w:t>
            </w:r>
          </w:p>
        </w:tc>
        <w:tc>
          <w:tcPr>
            <w:tcW w:w="315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C53B88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答案过短，或没有覆盖本题关键点</w:t>
            </w:r>
          </w:p>
        </w:tc>
        <w:tc>
          <w:tcPr>
            <w:tcW w:w="348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74E502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按「已知—关系式—代入—结果」四行格式重写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15F44D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未发现明显错误</w:t>
            </w:r>
          </w:p>
        </w:tc>
        <w:tc>
          <w:tcPr>
            <w:tcW w:w="315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704E9D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命中了本题的关键点，且单位齐全</w:t>
            </w:r>
          </w:p>
        </w:tc>
        <w:tc>
          <w:tcPr>
            <w:tcW w:w="348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0B48CE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改一个条件重新求解，检验结论是否稳健</w:t>
            </w:r>
          </w:p>
        </w:tc>
      </w:tr>
    </w:tbl>
    <w:p w14:paraId="4383E00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判定顺序是固定的：先看概念错，再看模型错，然后是单位，最后才是「答得太浅」。顺序不能反过来——一个把机械能守恒记反的学生，如果先被判成「单位没写」，追问就会跑到格式问题上，真正的问题被盖住。</w:t>
      </w:r>
    </w:p>
    <w:p w14:paraId="6191E36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参考答案默认是锁着的，等教师审核后才开放。原因是判定由本地规则引擎按关键词与关键点完成，会有误判；把可能判错的答案直接摊开，学生看到的可能是一条错误结论。教师通过或调整之后，学生端才展开参考答案，并显示教师意见。</w:t>
      </w:r>
    </w:p>
    <w:p w14:paraId="433FB5CB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右侧「本轮记录」按时间倒序列出每一轮问答，标注判定类型与学生的认可状态。课中参与度只看真实发生过的问答：一轮都没有就是零，不拿诊断分顶替——否则「课中参与」这一项永远不为零，也就永远发现不了「这个学生一节课没说话」。</w:t>
      </w:r>
    </w:p>
    <w:p w14:paraId="64CD6AE4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1" w:name="section-3-1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3.11 课后：过程性评价</w:t>
      </w:r>
      <w:bookmarkEnd w:id="21"/>
    </w:p>
    <w:p w14:paraId="7FD3669C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点右上角「生成过程性评价」，系统按当前数据算一次四阶能力，并记入轨迹。页面自上而下是四块：四阶能力与综合分、分数的来源、改进建议、评价标准。每生成一次就新增一条轨迹，最多保留最近八次，用于看趋势而不是看单点。</w:t>
      </w:r>
    </w:p>
    <w:p w14:paraId="245CDB83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综合分的算法是公开的，写在页面上，教师复核时能逐项对上。知识能力＝诊断 55%＋课中 25%＋任务 20%；专业能力＝实验 45%＋任务 35%＋课中 20%；创新能力＝任务 50%＋实验 30%＋诊断 20%；团队合作＝课中参与 65%＋任务 35%。四阶能力再按知识 25%、专业 30%、创新 25%、团队 20% 合成综合分。</w:t>
      </w:r>
    </w:p>
    <w:p w14:paraId="6CCD5459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缺数据时不伪造。没有实验记录时，专业能力按任务完成度估算，并在建议里明说「实验数据不足，专业能力暂时按任务完成度估算」。硬凑一个好看的分数，教师复核时第一个问题就是「这个数从哪来的」，而答不上来的评分表在评审现场是负分项。</w:t>
      </w:r>
    </w:p>
    <w:p w14:paraId="2083EBB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页面底部的「评价标准」就是四阶能力梯度发展量化评价表，界面与文档同源。表分两张看：第一张给出每个维度的量化指标、维度内权重、AI 在各环节做什么，以及评价证据从哪来、什么时候采；第二张给出三个水平层级的行为描述。分两张是因为七列并排会挤到看不清，而这张表的价值恰恰在「指标—AI 功能—层级—证据」四者并列。</w:t>
      </w:r>
    </w:p>
    <w:p w14:paraId="51167947">
      <w:pPr>
        <w:spacing w:before="240" w:after="240" w:line="432"/>
        <w:ind w:left="240" w:right="240"/>
        <w:jc w:val="both"/>
        <w:rPr>
          <w:color w:val="12386e"/>
        </w:rPr>
      </w:pPr>
      <w:r>
        <w:rPr>
          <w:rFonts w:hint="eastAsia" w:ascii="PingFang SC" w:hAnsi="PingFang SC" w:eastAsia="PingFang SC" w:cs="PingFang SC"/>
          <w:b w:val="1"/>
          <w:color w:val="12386e"/>
          <w:sz w:val="19"/>
        </w:rPr>
        <w:t>表 3-1　四阶能力量化指标、AI 功能与评价证据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2159"/>
        <w:gridCol w:w="2657"/>
        <w:gridCol w:w="2328"/>
      </w:tblGrid>
      <w:tr>
        <w:trPr>
          <w:tblHeader w:val="1"/>
        </w:trPr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FA70C44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能力维度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137AE6F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量化指标及维度内权重</w:t>
            </w:r>
          </w:p>
        </w:tc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484A029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AI 功能与数据输出</w:t>
            </w:r>
          </w:p>
        </w:tc>
        <w:tc>
          <w:tcPr>
            <w:tcW w:w="2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821178A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评价证据与采集时点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4A0FF3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知识能力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53E1D4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概念诊断正确率 40%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原理阐释评分 30%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情境计算得分率 30%</w:t>
            </w:r>
          </w:p>
        </w:tc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B237A3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诊：分析前测与问答，标记概念误区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配：推荐分层练习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导：生成递进追问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评：输出知识掌握图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核验：诊断一致率</w:t>
            </w:r>
          </w:p>
        </w:tc>
        <w:tc>
          <w:tcPr>
            <w:tcW w:w="2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67F6F5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前后测卷答、AI 问答与诊断记录、教师复核表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采集：每个知识模块前后各测 1 次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3E7E63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专业能力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1D36CF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物理建模评分 30%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实验实施评分 40%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数据分析与迁移评分 30%</w:t>
            </w:r>
          </w:p>
        </w:tc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72E0DA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配：按专业与基础推荐项目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导：提示建模约束、实验步骤和异常数据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评：生成数据分析建议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核验：任务匹配适切率</w:t>
            </w:r>
          </w:p>
        </w:tc>
        <w:tc>
          <w:tcPr>
            <w:tcW w:w="2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B7BBEA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项目推荐与调整记录、模型说明、实验报告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采集：项目中期与结项各评 1 次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7CA96E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创新能力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ECF227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问题与方案新颖性评分 30%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方案可行性评分 30%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验证与迭代评分 40%</w:t>
            </w:r>
          </w:p>
        </w:tc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968504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创：辅助检索、比较备选方案，追踪作品修改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评：按量表提示方案优缺点，生成迭代建议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核验：反馈改进完成率</w:t>
            </w:r>
          </w:p>
        </w:tc>
        <w:tc>
          <w:tcPr>
            <w:tcW w:w="2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696880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AI 建议及采纳说明、方案比较表、作品版本和测试数据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采集：立项至结项持续记录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561318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团队合作能力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77D3BC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个人任务履约率 40%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协同解决问题评分 30%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个人贡献评价 30%</w:t>
            </w:r>
          </w:p>
        </w:tc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E12806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导：汇总分工与进度，提示延期及协作问题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评：关联任务、作品版本和互评，输出个人贡献证据摘要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核验：贡献证据可追溯率</w:t>
            </w:r>
          </w:p>
        </w:tc>
        <w:tc>
          <w:tcPr>
            <w:tcW w:w="2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204556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分工表、任务日志、作品版本、匿名互评及 AI 证据摘要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采集：任务逐次记录，中期与结项评价</w:t>
            </w:r>
          </w:p>
        </w:tc>
      </w:tr>
    </w:tbl>
    <w:p w14:paraId="788C5383">
      <w:pPr>
        <w:spacing w:before="240" w:after="240" w:line="432"/>
        <w:ind w:left="240" w:right="240"/>
        <w:jc w:val="both"/>
        <w:rPr>
          <w:color w:val="12386e"/>
        </w:rPr>
      </w:pPr>
      <w:r>
        <w:rPr>
          <w:rFonts w:hint="eastAsia" w:ascii="PingFang SC" w:hAnsi="PingFang SC" w:eastAsia="PingFang SC" w:cs="PingFang SC"/>
          <w:b w:val="1"/>
          <w:color w:val="12386e"/>
          <w:sz w:val="19"/>
        </w:rPr>
        <w:t>表 3-2　三个水平层级的行为描述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2325"/>
        <w:gridCol w:w="2408"/>
        <w:gridCol w:w="2411"/>
      </w:tblGrid>
      <w:tr>
        <w:trPr>
          <w:tblHeader w:val="1"/>
        </w:trPr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25D1388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能力维度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423C22F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基础水平（60 ≤ S &lt; 75）</w:t>
            </w:r>
          </w:p>
        </w:tc>
        <w:tc>
          <w:tcPr>
            <w:tcW w:w="240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6F1B946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进阶水平（75 ≤ S &lt; 90）</w:t>
            </w:r>
          </w:p>
        </w:tc>
        <w:tc>
          <w:tcPr>
            <w:tcW w:w="241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A475760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高阶水平（90 ≤ S ≤ 100）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6DFBFF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知识能力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8FAD1A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识别基本概念，在提示下解释主要物理关系，完成基础计算</w:t>
            </w:r>
          </w:p>
        </w:tc>
        <w:tc>
          <w:tcPr>
            <w:tcW w:w="240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6B50CB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独立解释物理规律，正确选择公式，解决变式情境问题</w:t>
            </w:r>
          </w:p>
        </w:tc>
        <w:tc>
          <w:tcPr>
            <w:tcW w:w="241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C47DAE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辨析易错概念，说明模型适用条件，综合运用知识解释复杂问题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8CEBA7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专业能力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E5B90A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依据模板建立简单模型，在指导下完成实验操作及基础数据整理</w:t>
            </w:r>
          </w:p>
        </w:tc>
        <w:tc>
          <w:tcPr>
            <w:tcW w:w="240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7CD04A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独立完成建模、实验设计与数据分析，将物理知识用于本专业任务</w:t>
            </w:r>
          </w:p>
        </w:tc>
        <w:tc>
          <w:tcPr>
            <w:tcW w:w="241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EF69B0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处理复杂约束，分析误差与模型局限，将方法迁移至新情境并验证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A71FA7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创新能力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372FA4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提出至少 1 项有依据的改进建议，说明实现条件并开展初步验证</w:t>
            </w:r>
          </w:p>
        </w:tc>
        <w:tc>
          <w:tcPr>
            <w:tcW w:w="240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EBFD77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比较至少 2 种可行思路，完成至少 1 轮有数据支撑的验证改进</w:t>
            </w:r>
          </w:p>
        </w:tc>
        <w:tc>
          <w:tcPr>
            <w:tcW w:w="241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34B3E2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形成原创或实质改进方案，完成至少 2 轮验证迭代，用对照数据说明成效与局限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4B8825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团队合作能力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2C6FBE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完成基础分工，参与讨论，保留可核验的个人工作记录</w:t>
            </w:r>
          </w:p>
        </w:tc>
        <w:tc>
          <w:tcPr>
            <w:tcW w:w="240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BF9F91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按约完成关键任务，主动共享信息，协助解决至少 1 项合作问题</w:t>
            </w:r>
          </w:p>
        </w:tc>
        <w:tc>
          <w:tcPr>
            <w:tcW w:w="241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BDD1FC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履约并主动协调进度与分歧，支持成员完成困难任务，形成可追溯的协作成果</w:t>
            </w:r>
          </w:p>
        </w:tc>
      </w:tr>
    </w:tbl>
    <w:p w14:paraId="24E1A750">
      <w:pPr>
        <w:spacing w:line="240"/>
      </w:pPr>
      <w:r>
        <w:rPr>
          <w:rFonts w:ascii="Songti SC" w:hAnsi="Songti SC" w:eastAsia="Songti SC" w:cs="Songti SC"/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f6fb3" w:sz="18"/>
              <w:bottom w:val="none" w:sz="8"/>
              <w:right w:val="none" w:sz="8"/>
            </w:tcBorders>
            <w:shd w:val="clear" w:fill="f4f8fd"/>
            <w:vAlign w:val="center"/>
          </w:tcPr>
          <w:p w14:paraId="4529BDAF">
            <w:pPr>
              <w:rPr>
                <w:color w:val="334155"/>
              </w:rPr>
            </w:pPr>
            <w:r>
              <w:rPr>
                <w:rFonts w:hint="eastAsia" w:ascii="Songti SC" w:hAnsi="Songti SC" w:eastAsia="Songti SC" w:cs="Songti SC"/>
                <w:color w:val="334155"/>
                <w:sz w:val="19"/>
              </w:rPr>
              <w:t xml:space="preserve"> 低于 60 分单独记为「未达标」，不属于任何一层。它是需要重点干预的状态，不是第四层——把「未达标」混进层级里，分层就会变成分等，学生看到的是一个标签而不是下一步该做什么。 </w:t>
            </w:r>
          </w:p>
        </w:tc>
      </w:tr>
    </w:tbl>
    <w:p w14:paraId="3884057A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22" w:name="section-4"/>
      <w:r>
        <w:rPr>
          <w:rFonts w:hint="eastAsia" w:ascii="PingFang SC" w:hAnsi="PingFang SC" w:eastAsia="PingFang SC" w:cs="PingFang SC"/>
          <w:b w:val="1"/>
          <w:color w:val="0b2545"/>
          <w:sz w:val="40"/>
        </w:rPr>
        <w:t>四、教师端操作</w:t>
      </w:r>
      <w:bookmarkEnd w:id="22"/>
    </w:p>
    <w:p w14:paraId="39DEE4B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教师端七个视图对应一次完整的治理动作：定位、观察、对照、审核、归档、复核、调整。左侧导航的顺序即为建议顺序：先看清谁需要介入，再逐条审核 AI 给出的三诊结论，把分数落进成绩表归档，最后才谈复核与调整。七个视图的数据都来自学生端产生的过程证据，因此学生用得越完整，教师端看到的就越具体——这也是为什么系统强调学生端要把四类证据都走一遍。</w:t>
      </w:r>
    </w:p>
    <w:p w14:paraId="682FF685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3" w:name="section-4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4.1 教学驾驶舱</w:t>
      </w:r>
      <w:bookmarkEnd w:id="23"/>
    </w:p>
    <w:p w14:paraId="06537053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29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10　教学驾驶舱：指标卡、风险分布与模块进度、按风险排序的关注名单</w:t>
      </w:r>
    </w:p>
    <w:p w14:paraId="2A4D49ED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打开先看顶部四张指标卡：班级人数、平均诊断分、需关注人数、已复核人数。四张卡对应四个不同的问题——规模有多大、整体水平如何、风险面有多宽、评价工作推进到哪一步。前两张用于建立基线，后两张用于判断今天该做什么。</w:t>
      </w:r>
    </w:p>
    <w:p w14:paraId="4452CCD3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中部两张图给出班级结构。左侧是风险分布，把全班按优秀、正常、关注、高风险四档计数，用柱高对比；右侧是模块进度，按六个知识模块列出平均完成度。两张图回答的是两个不同问题：风险分布看「人」的分布是否健康，模块进度看「知识」的掌握是否均衡。若某个模块明显低于其他模块，问题在课程内容而不在个别学生。</w:t>
      </w:r>
    </w:p>
    <w:p w14:paraId="42AF439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下方的「需要关注的学生」按风险优先级排序，每行给出姓名、风险等级、薄弱维度、所属项目与当前进度，右侧是该生的综合分。点任意一行进入该生的评价复核。卡片右上角的「评价复核」按钮进入待办列表，AI 建议分已给出，等待确认或改写。页面底部还有「教学建议」，把上述数据聚成几条可执行的调整方向。</w:t>
      </w:r>
    </w:p>
    <w:p w14:paraId="3C736B5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风险排序只用两个信号，理由是可验证性。点开任何一行，都能看到具体是哪几次任务没交、哪两个维度的分数掉了。如果排序依据本身不可解释，教师就不会信任列表，整个驾驶舱也就失去意义。两个信号的权重相同，因为「不投入」与「投入但退步」是两类不同的风险，不应该有先后。</w:t>
      </w:r>
    </w:p>
    <w:p w14:paraId="0C4D13E1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4" w:name="section-4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4.2 班级画像</w:t>
      </w:r>
      <w:bookmarkEnd w:id="24"/>
    </w:p>
    <w:p w14:paraId="1EDFA589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3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11　班级画像：按状态筛选的名单与项目案例库</w:t>
      </w:r>
    </w:p>
    <w:p w14:paraId="28A0B1E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上半是「学生名单」，一行一名学生，每行给出姓名、状态标签（优秀、正常、关注、高风险）、薄弱维度、正在做的项目与进度，右侧是该生的诊断分。顶部有五个筛选标签，可以只看某一档，例如只看高风险，名单会立即收窄。这一设计是为了让教师按「要处理哪一档」来取数据，而不是每次都面对全表。</w:t>
      </w:r>
    </w:p>
    <w:p w14:paraId="24AE9D63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下半是「项目案例库」，标注当前共有多少个案例，并区分「内置」与「本地新增」两个来源。右上角的「新增本地项目」让教师把本班正在用的案例加进库中，新案例会进入下一轮项目匹配的候选集。这是系统里唯一由教师直接改变课程结构的地方，也是闭环中「内容反哺」的入口。</w:t>
      </w:r>
    </w:p>
    <w:p w14:paraId="79391B51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状态标签与风险等级使用同一套划分，因此班级画像里看到的高风险学生，与驾驶舱里排在名单前面的是同一批人。两页口径一致是刻意保证的：如果两处用不同的算法，教师会先花时间怀疑数据，而不是处理学生。</w:t>
      </w:r>
    </w:p>
    <w:p w14:paraId="0A9C53C0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5" w:name="section-4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4.3 课程项目矩阵</w:t>
      </w:r>
      <w:bookmarkEnd w:id="25"/>
    </w:p>
    <w:p w14:paraId="4545FE37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3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12　课程项目矩阵：十八章逐行铺开，标出成熟度、产出与主备选项目</w:t>
      </w:r>
    </w:p>
    <w:p w14:paraId="6D04FEB5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这一页以章节为单位逐行铺开，共十八章。每行给出章节序号与名称、案例成熟度标签、上课学期与学时、该章产出物、覆盖的能力标签与核心素养，右侧是对应的主项目与备选项目。顶部可按知识模块（力学、振动与波、热学、电磁学、光学、近代物理）与案例成熟度（成熟案例、重点建设、拓展案例）筛选。</w:t>
      </w:r>
    </w:p>
    <w:p w14:paraId="48F6E67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用途是发现两类结构性问题。第一类是主项目为空的章节，说明该章知识缺少实践出口，学生学完之后没有可动手的载体。第二类是长期停留在「重点建设」的章节，说明配套案例还没做完，属于待补的工作项。这两类问题在逐条查看项目时几乎不可能发现，只有按章节铺开才显现出来。</w:t>
      </w:r>
    </w:p>
    <w:p w14:paraId="3AFC928D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矩阵也可以用来做课程设计。新增项目时先看这一页，找到主项目为空的章节，再考虑新项目应该覆盖哪几章——这样设计出来的项目天然与课程对齐，而不是先有项目再硬塞进章节。</w:t>
      </w:r>
    </w:p>
    <w:p w14:paraId="0AF67BF9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6" w:name="section-4-4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4.4 评价复核</w:t>
      </w:r>
      <w:bookmarkEnd w:id="26"/>
    </w:p>
    <w:p w14:paraId="106025CE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3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13　评价复核：卡片并列建议分与复核分，复核须填理由</w:t>
      </w:r>
    </w:p>
    <w:p w14:paraId="1B7DAA8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每名学生一张卡片，卡片上给出姓名、状态标签、薄弱维度、所属项目与进度，下方并排列出「AI 建议」与「复核最终分」。未复核时复核分显示为破折号。点卡片进入复核，填写复核分与理由后保存，卡片状态随即变化。顶部可按状态筛选，右上角是「导出复核汇总」。</w:t>
      </w:r>
    </w:p>
    <w:p w14:paraId="70693AC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理由为必填项，理由为空时保存不生效——这是刻意设计，复核要留下判断依据。理由不需要长，一句话说明依据即可，例如「实验数据完整，但结论推导有跳跃」。系统记录的是判断过程，不是修改次数，因此复核分等于建议分也是合法结果，不需要为了「体现教师作用」而刻意改分。</w:t>
      </w:r>
    </w:p>
    <w:p w14:paraId="158BF39B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页面底部有一行说明：AI 建议分由本地规则引擎生成，不是模型推理日志；教师复核后的分数始终覆盖建议分，学习报告中以复核分为准。这行说明是给学生和教师同时看的——学生需要知道最终分来自教师，教师需要知道建议分只是参照。</w:t>
      </w:r>
    </w:p>
    <w:p w14:paraId="6592C80F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7" w:name="section-4-5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4.5 教学洞察</w:t>
      </w:r>
      <w:bookmarkEnd w:id="27"/>
    </w:p>
    <w:p w14:paraId="61C7F13F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41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14　教学洞察：按模块给出优势、改进、风险三条基线与一句结论</w:t>
      </w:r>
    </w:p>
    <w:p w14:paraId="0F601D19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这一页不堆图表，只给结论。主体是「模块画像」，六个模块各一行，每行给出三个数值：优势、改进、风险，三条基线并排，旁边是一句针对该模块的结论。例如电磁学一行写「概念混淆集中，方向与回路的处理是主要失分点」——它指出的不是分数低，而是低在哪一步。</w:t>
      </w:r>
    </w:p>
    <w:p w14:paraId="370CAAE3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三个数值的含义不同。优势表示该模块中掌握较好的部分占比，改进表示已达到及格但未达良好的部分，风险表示明显未掌握的部分。三者相加即为该模块的整体分布，因此看一行就能判断这个模块的问题是「普遍偏弱」还是「两极分化」——前者需要重讲，后者需要分层。</w:t>
      </w:r>
    </w:p>
    <w:p w14:paraId="540550A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结论的粒度控制在「一次课内可完成」的范围内。例如「本周补一次刚体转动的受力分析，重点讲力矩方向判断」是可执行的，「加强刚体转动的教学」则不是。粒度太粗的建议等于把分析工作又推回给教师。页面底部的洞察来自本地规则引擎，供讲评与备课参考，不作为评价依据。</w:t>
      </w:r>
    </w:p>
    <w:p w14:paraId="24126833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8" w:name="section-4-6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4.6 三诊审核</w:t>
      </w:r>
      <w:bookmarkEnd w:id="28"/>
    </w:p>
    <w:p w14:paraId="07206B3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学生提交的三诊结论都汇总在这一页。左侧是学生名单，每名学生后面标出待审条数，全部审完显示对勾；右侧按课前、课中、课后三个页签展开，页签上也标着各自待审的数量。右上角「刷新提交」用于在学生刚提交后立即拉取最新内容。</w:t>
      </w:r>
    </w:p>
    <w:p w14:paraId="2CA96BA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课前页签显示该生的层级、小组与分工、配对到的案例与薄弱维度，下方是「通过」与「调整并说明」两个动作。课中页签逐条列出每一轮问答：学生答了什么、AI 判定为什么、依据是什么、追问是什么，每条都可以单独审核。课后页签给出四项能力与 AI 综合分，教师拖动滑块确定修正分并填写理由。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2824"/>
        <w:gridCol w:w="3655"/>
      </w:tblGrid>
      <w:tr>
        <w:trPr>
          <w:tblHeader w:val="1"/>
        </w:trPr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584CB94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动作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A60D292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效果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82B129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学生端的变化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5B580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通过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8204D3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状态变为「教师已通过」，记录审核人与时间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33E17D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课中问答的参考答案解锁；闭环进度第二步点亮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0FD565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调整并说明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552301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状态变为「教师已调整」，必须填写理由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760FAF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学生端显示教师意见，可据此提出疑问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BC5FB2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保存修正（课后）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F87D0C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写入修正分与理由，覆盖 AI 建议分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DE92E6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过程评价页显示「教师已修正」，综合分以修正分为准</w:t>
            </w:r>
          </w:p>
        </w:tc>
      </w:tr>
    </w:tbl>
    <w:p w14:paraId="3A6A9B90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审核只能改结论与意见，不能改学生答了什么。这条限制是刻意的：教师把学生的答案改漂亮了，那份记录就不再是学习过程的证据，而是一份写好的材料。过程性评价的可信度全在这一点上。</w:t>
      </w:r>
    </w:p>
    <w:p w14:paraId="5C8B217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学生认可的状态也会在这里显示。如果学生在某一环点了「有疑问」，名单与对应条目上都能看到那句理由，教师下一轮就针对那句话处理。这是闭环真正合上的地方——只存在学生本地的话，教师永远不知道自己通过的那条结论学生其实不认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f6fb3" w:sz="18"/>
              <w:bottom w:val="none" w:sz="8"/>
              <w:right w:val="none" w:sz="8"/>
            </w:tcBorders>
            <w:shd w:val="clear" w:fill="f4f8fd"/>
            <w:vAlign w:val="center"/>
          </w:tcPr>
          <w:p w14:paraId="187A87BD">
            <w:pPr>
              <w:rPr>
                <w:color w:val="334155"/>
              </w:rPr>
            </w:pPr>
            <w:r>
              <w:rPr>
                <w:rFonts w:hint="eastAsia" w:ascii="Songti SC" w:hAnsi="Songti SC" w:eastAsia="Songti SC" w:cs="Songti SC"/>
                <w:color w:val="334155"/>
                <w:sz w:val="19"/>
              </w:rPr>
              <w:t xml:space="preserve"> 名单为空说明还没有学生提交。用学生账号在三诊的三个页面各提交一次即可。提交与审核走同一浏览器内的共享键，所以换账号要退出而不是新开无痕窗口——无痕窗口不共享本地存储。 </w:t>
            </w:r>
          </w:p>
        </w:tc>
      </w:tr>
    </w:tbl>
    <w:p w14:paraId="41698757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9" w:name="section-4-7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4.7 成绩登记总表</w:t>
      </w:r>
      <w:bookmarkEnd w:id="29"/>
    </w:p>
    <w:p w14:paraId="1377595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这一页对应教学工作手册里的学生成绩登记总表：学号、姓名、三个阶段各四项能力、总分。顶部是课程信息（课程、学时、学分、教师签名、系部、专业、班级、考核形式），与纸质表一致，导出后可以直接附在手册后面。</w:t>
      </w:r>
    </w:p>
    <w:p w14:paraId="1D9B4421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三个阶段与权重是：项目准备阶段 30%、项目实施阶段 50%、项目结项阶段 30%。表头把权重显式标出来，教师一眼能对上手册，不必回头翻文件。每个阶段内部四项能力的列顺序也与纸质表一致：知识理解与应用、创新思维能力、专业实践能力、团队协作能力——顺序不一致会被当成两张不同的表。</w:t>
      </w:r>
    </w:p>
    <w:p w14:paraId="2844E845">
      <w:pPr>
        <w:spacing w:before="240" w:after="240" w:line="432"/>
        <w:ind w:left="240" w:right="240"/>
        <w:jc w:val="both"/>
        <w:rPr>
          <w:color w:val="12386e"/>
        </w:rPr>
      </w:pPr>
      <w:r>
        <w:rPr>
          <w:rFonts w:hint="eastAsia" w:ascii="PingFang SC" w:hAnsi="PingFang SC" w:eastAsia="PingFang SC" w:cs="PingFang SC"/>
          <w:b w:val="1"/>
          <w:color w:val="12386e"/>
          <w:sz w:val="19"/>
        </w:rPr>
        <w:t>表 4-1　学生成绩登记总表（节选，示例数据）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664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581"/>
      </w:tblGrid>
      <w:tr>
        <w:trPr>
          <w:tblHeader w:val="1"/>
        </w:trPr>
        <w:tc>
          <w:tcPr>
            <w:tcW w:w="10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FB746D7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学号</w:t>
            </w:r>
          </w:p>
        </w:tc>
        <w:tc>
          <w:tcPr>
            <w:tcW w:w="66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697B4D1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姓名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30F5D7A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准备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知识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FB6F5EF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准备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创新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3D4A13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准备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专业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8B54A86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准备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团队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512FB05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实施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知识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1935B91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实施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创新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E134BE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实施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专业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A92CB7B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实施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团队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8F55AD7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结项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知识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C7DBA4A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结项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创新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FF6C5BD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结项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专业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38F4DD1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结项</w:t>
            </w:r>
            <w:r>
              <w:rPr>
                <w:rFonts w:ascii="Songti SC" w:hAnsi="Songti SC" w:eastAsia="Songti SC" w:cs="Songti SC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团队</w:t>
            </w:r>
          </w:p>
        </w:tc>
        <w:tc>
          <w:tcPr>
            <w:tcW w:w="58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C4FE96B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总分</w:t>
            </w:r>
          </w:p>
        </w:tc>
      </w:tr>
      <w:tr>
        <w:trPr/>
        <w:tc>
          <w:tcPr>
            <w:tcW w:w="10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7E3E35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20230746666</w:t>
            </w:r>
          </w:p>
        </w:tc>
        <w:tc>
          <w:tcPr>
            <w:tcW w:w="66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A61B79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张同学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345E789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96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C19778F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85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532C78D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91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DD2348B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92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6FA66B1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81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F9B08F7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72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8A396A5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74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15C2463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79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A78D1B9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88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31D41FF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80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C31D5BD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82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4D9A47C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91</w:t>
            </w:r>
          </w:p>
        </w:tc>
        <w:tc>
          <w:tcPr>
            <w:tcW w:w="58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A0EC0C5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82.6</w:t>
            </w:r>
          </w:p>
        </w:tc>
      </w:tr>
      <w:tr>
        <w:trPr/>
        <w:tc>
          <w:tcPr>
            <w:tcW w:w="10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17FC22A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20236681800</w:t>
            </w:r>
          </w:p>
        </w:tc>
        <w:tc>
          <w:tcPr>
            <w:tcW w:w="66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8070BF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李同学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1608BB8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81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A442B72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70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2B9AAB4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75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B95C486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74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4F25280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49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DDAA08A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42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63B158C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48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F6385EE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51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87BE9AF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67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09BA861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58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9B346AB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59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2D2F4D5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68</w:t>
            </w:r>
          </w:p>
        </w:tc>
        <w:tc>
          <w:tcPr>
            <w:tcW w:w="58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86958B4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59.1</w:t>
            </w:r>
          </w:p>
        </w:tc>
      </w:tr>
      <w:tr>
        <w:trPr/>
        <w:tc>
          <w:tcPr>
            <w:tcW w:w="10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F78E7DF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20230447213</w:t>
            </w:r>
          </w:p>
        </w:tc>
        <w:tc>
          <w:tcPr>
            <w:tcW w:w="66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6565F5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王同学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E873EAB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91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7A780E5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81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0C47EA7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84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918DC99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87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2F53993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71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BD6599A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63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4B9FD9C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69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D851D9E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74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5608298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79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E441092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76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73B6294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79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013DCA6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83</w:t>
            </w:r>
          </w:p>
        </w:tc>
        <w:tc>
          <w:tcPr>
            <w:tcW w:w="58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54C13A3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76.3</w:t>
            </w:r>
          </w:p>
        </w:tc>
      </w:tr>
      <w:tr>
        <w:trPr/>
        <w:tc>
          <w:tcPr>
            <w:tcW w:w="10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C7C3249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20234293287</w:t>
            </w:r>
          </w:p>
        </w:tc>
        <w:tc>
          <w:tcPr>
            <w:tcW w:w="66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351CCC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赵同学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766AC6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98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506E954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92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E208D55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97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7C40DAB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95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0F7E1E1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89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99771AF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85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2B6CD6D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85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A56ACB3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91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3056E89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93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C218887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90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5C40F85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90</w:t>
            </w:r>
          </w:p>
        </w:tc>
        <w:tc>
          <w:tcPr>
            <w:tcW w:w="49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E98AFBB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93</w:t>
            </w:r>
          </w:p>
        </w:tc>
        <w:tc>
          <w:tcPr>
            <w:tcW w:w="58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360BF9D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90.6</w:t>
            </w:r>
          </w:p>
        </w:tc>
      </w:tr>
    </w:tbl>
    <w:p w14:paraId="221B7DDA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总分的算法是归一化加权，不是直接相加。三个阶段权重之和是 110%（30 + 50 + 30），直接按权重相加会让满分学生算出 110 分。所以先算阶段得分，再按权重加权，最后除以权重之和：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be6f3" w:sz="6"/>
              <w:left w:val="single" w:color="dbe6f3" w:sz="6"/>
              <w:bottom w:val="single" w:color="dbe6f3" w:sz="6"/>
              <w:right w:val="single" w:color="dbe6f3" w:sz="6"/>
            </w:tcBorders>
            <w:shd w:val="clear" w:fill="f7fafd"/>
            <w:vAlign w:val="center"/>
          </w:tcPr>
          <w:p w14:paraId="58CECD0A">
            <w:pPr>
              <w:jc w:val="left"/>
              <w:rPr>
                <w:color w:val="12386e"/>
              </w:rPr>
            </w:pPr>
            <w:r>
              <w:rPr>
                <w:rFonts w:hint="eastAsia" w:ascii="SF Mono" w:hAnsi="SF Mono" w:eastAsia="SF Mono" w:cs="SF Mono"/>
                <w:color w:val="12386e"/>
                <w:sz w:val="19"/>
              </w:rPr>
              <w:t>阶段得分 = 知识 × 25% + 专业 × 30% + 创新 × 25% + 团队 × 20%</w:t>
            </w:r>
          </w:p>
        </w:tc>
      </w:tr>
    </w:tbl>
    <w:p w14:paraId="20219487">
      <w:pPr>
        <w:spacing w:line="240"/>
      </w:pPr>
      <w:r>
        <w:rPr>
          <w:rFonts w:ascii="Songti SC" w:hAnsi="Songti SC" w:eastAsia="Songti SC" w:cs="Songti SC"/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be6f3" w:sz="6"/>
              <w:left w:val="single" w:color="dbe6f3" w:sz="6"/>
              <w:bottom w:val="single" w:color="dbe6f3" w:sz="6"/>
              <w:right w:val="single" w:color="dbe6f3" w:sz="6"/>
            </w:tcBorders>
            <w:shd w:val="clear" w:fill="f7fafd"/>
            <w:vAlign w:val="center"/>
          </w:tcPr>
          <w:p w14:paraId="0C6098DD">
            <w:pPr>
              <w:jc w:val="left"/>
              <w:rPr>
                <w:color w:val="12386e"/>
              </w:rPr>
            </w:pPr>
            <w:r>
              <w:rPr>
                <w:rFonts w:hint="eastAsia" w:ascii="SF Mono" w:hAnsi="SF Mono" w:eastAsia="SF Mono" w:cs="SF Mono"/>
                <w:color w:val="12386e"/>
                <w:sz w:val="19"/>
              </w:rPr>
              <w:t>总分 =（准备 × 30% + 实施 × 50% + 结项 × 30%）÷（30% + 50% + 30%）</w:t>
            </w:r>
          </w:p>
        </w:tc>
      </w:tr>
    </w:tbl>
    <w:p w14:paraId="4E4C192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以表中第一名学生为例：准备阶段 96×25% + 91×30% + 85×25% + 92×20% = 91.0；实施阶段 76.3；结项阶段 84.8。总分 =（91.0×0.3 + 76.3×0.5 + 84.8×0.3）÷1.1 = 82.6。阶段内部四项能力的权重与「课后：过程评价」完全同一套，因此学生在过程评价页看到的综合分，与成绩表上的阶段得分能够对上——两处用不同口径，学生和家长都要问一遍为什么不一样。</w:t>
      </w:r>
    </w:p>
    <w:p w14:paraId="563EBE2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每个格子都可以改。点某名学生右侧的「录入」，会打开该生的 12 个格子，改完点保存，阶段得分与总分自动重算；「恢复建议值」把该生退回系统算出的示例值。未录入的学生按诊断分与任务进度给出建议值，标注在页面底部——示例值只用于演示公式与导出，正式成绩以教师录入为准。</w:t>
      </w:r>
    </w:p>
    <w:p w14:paraId="3568A8A1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右上角「导出 CSV」按当前表格导出，带 BOM，Excel 与 WPS 双击打开不会乱码，可直接打印或粘进手册附表。学号由姓名稳定生成，同一个名字每次得到同一个学号，刷新与导出都不会变，但不对应任何真实学籍——手册上的真实学号不能抄进演示仓库。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f6fb3" w:sz="18"/>
              <w:bottom w:val="none" w:sz="8"/>
              <w:right w:val="none" w:sz="8"/>
            </w:tcBorders>
            <w:shd w:val="clear" w:fill="f4f8fd"/>
            <w:vAlign w:val="center"/>
          </w:tcPr>
          <w:p w14:paraId="6F3ADE62">
            <w:pPr>
              <w:rPr>
                <w:color w:val="334155"/>
              </w:rPr>
            </w:pPr>
            <w:r>
              <w:rPr>
                <w:rFonts w:hint="eastAsia" w:ascii="Songti SC" w:hAnsi="Songti SC" w:eastAsia="Songti SC" w:cs="Songti SC"/>
                <w:color w:val="334155"/>
                <w:sz w:val="19"/>
              </w:rPr>
              <w:t xml:space="preserve"> 低于 60 分的格子标红，90 分以上标绿，便于快速扫读。这个配色只用于定位，不参与计算：及格线与等级判定仍以量化评价表的层级边界（60 / 75 / 90）为准。 </w:t>
            </w:r>
          </w:p>
        </w:tc>
      </w:tr>
    </w:tbl>
    <w:p w14:paraId="596A2ECE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30" w:name="section-5"/>
      <w:r>
        <w:rPr>
          <w:rFonts w:hint="eastAsia" w:ascii="PingFang SC" w:hAnsi="PingFang SC" w:eastAsia="PingFang SC" w:cs="PingFang SC"/>
          <w:b w:val="1"/>
          <w:color w:val="0b2545"/>
          <w:sz w:val="40"/>
        </w:rPr>
        <w:t>五、课堂播放</w:t>
      </w:r>
      <w:bookmarkEnd w:id="30"/>
    </w:p>
    <w:p w14:paraId="363E86E1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44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15　课堂播放器：场景画面、AI 助教讲解与底部控制条</w:t>
      </w:r>
    </w:p>
    <w:p w14:paraId="1C68D70A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从首页的离线课堂包卡片点进去，直接落到播放器。画面中央是当前场景的幻灯片，左下角是 AI 助教的讲解气泡，随进度更新讲解文字；右下角是学生形象，代表听课的一方。顶部显示当前场景名称，右上角三个图标分别是对话、设置与下载。</w:t>
      </w:r>
    </w:p>
    <w:p w14:paraId="59613F1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底部左侧显示「第 N / M 场景」与一排场景缩略图，点缩略图可跳到任意场景。中间是控制条：键盘快捷键、字幕开关、上一场景、播放 / 暂停、下一场景、循环播放、编辑。右侧是全屏与侧栏开关。播放器默认不自动播放，点播放键开始——进入页面时往往还需要调整窗口或投屏，自动播放会让开场几秒被浪费。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2159"/>
        <w:gridCol w:w="4486"/>
      </w:tblGrid>
      <w:tr>
        <w:trPr>
          <w:tblHeader w:val="1"/>
        </w:trPr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04CDF11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操作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8A8791B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方式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78FDD1D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说明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B37658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切换场景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8A1E2A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点底部缩略图，或用左右方向键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E0B93C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讲解气泡同步切换到该场景的讲稿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8DA044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播放 / 暂停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B8D92E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空格键或底部播放键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356A99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暂停时讲解文字保持不动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7CF690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显示字幕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356788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控制条上的字幕开关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45637A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投影环境噪声大时建议开启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D7DBFD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全屏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8E840B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控制条右侧的全屏键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89CF1D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投影时建议全屏，隐藏浏览器工具栏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18A89A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导出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18D312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右上角下载图标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4B6139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把当前课堂导出为 PPTX</w:t>
            </w:r>
          </w:p>
        </w:tc>
      </w:tr>
    </w:tbl>
    <w:p w14:paraId="4D4FDB0C">
      <w:pPr>
        <w:spacing w:line="240"/>
      </w:pPr>
      <w:r>
        <w:rPr>
          <w:rFonts w:ascii="Songti SC" w:hAnsi="Songti SC" w:eastAsia="Songti SC" w:cs="Songti SC"/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f6fb3" w:sz="18"/>
              <w:bottom w:val="none" w:sz="8"/>
              <w:right w:val="none" w:sz="8"/>
            </w:tcBorders>
            <w:shd w:val="clear" w:fill="f4f8fd"/>
            <w:vAlign w:val="center"/>
          </w:tcPr>
          <w:p w14:paraId="6E773E73">
            <w:pPr>
              <w:rPr>
                <w:color w:val="334155"/>
              </w:rPr>
            </w:pPr>
            <w:r>
              <w:rPr>
                <w:rFonts w:hint="eastAsia" w:ascii="Songti SC" w:hAnsi="Songti SC" w:eastAsia="Songti SC" w:cs="Songti SC"/>
                <w:color w:val="334155"/>
                <w:sz w:val="19"/>
              </w:rPr>
              <w:t xml:space="preserve"> 六个离线课堂包不依赖网络与模型额度，断网也能完整播放。现场演示时如果网络不稳，直接切到离线包继续即可，不必等生成完成。离线包覆盖的章节与生成课堂一致，切换过去不会造成内容断层。 </w:t>
            </w:r>
          </w:p>
        </w:tc>
      </w:tr>
    </w:tbl>
    <w:p w14:paraId="22D1B821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31" w:name="section-6"/>
      <w:r>
        <w:rPr>
          <w:rFonts w:hint="eastAsia" w:ascii="PingFang SC" w:hAnsi="PingFang SC" w:eastAsia="PingFang SC" w:cs="PingFang SC"/>
          <w:b w:val="1"/>
          <w:color w:val="0b2545"/>
          <w:sz w:val="40"/>
        </w:rPr>
        <w:t>六、生成一堂课</w:t>
      </w:r>
      <w:bookmarkEnd w:id="31"/>
    </w:p>
    <w:p w14:paraId="1C72EB29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47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16　首页：两条学习动线、快捷开讲、六个离线课堂包与底部对话框</w:t>
      </w:r>
    </w:p>
    <w:p w14:paraId="4F317B21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首页顶部是「两条学习动线」：左侧通往物理学习工作台，右侧通往 AI 智能课堂。中部「快捷开讲」列出八个章节，点任一章节会把标题填入下方输入框，可以直接生成课堂。再往下是「离线课堂包」，六个预置课堂无需模型 Key、无需网络，导入后与真实生成的课堂一样可播放与导出。</w:t>
      </w:r>
    </w:p>
    <w:p w14:paraId="19365178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生成入口在页面底部的对话框。可以只写章节，例如「大学物理 第三章 牛顿运动定律」；也可以补充要求，例如指定场景数量或需要包含的环节。写完点「进入课堂」，系统开始生成。需求写得越具体，生成结果的偏差越小，但过长的需求会让模型抓不住重点，建议控制在两行以内。对话框右下角标出当前使用的模型，便于确认环境。</w:t>
      </w:r>
    </w:p>
    <w:p w14:paraId="0D2E7518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生成分四步：大纲、角色、逐场景内容、讲稿与动作。大纲以流式返回，十几秒后即可看到课程骨架，其余步骤在后台继续。页面会显示当前进行到哪一步，已完成的场景数也会实时更新。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2159"/>
        <w:gridCol w:w="4652"/>
      </w:tblGrid>
      <w:tr>
        <w:trPr>
          <w:tblHeader w:val="1"/>
        </w:trPr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40FA512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步骤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35F5839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典型耗时</w:t>
            </w:r>
          </w:p>
        </w:tc>
        <w:tc>
          <w:tcPr>
            <w:tcW w:w="465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D1EA425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你可以做什么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A3813F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大纲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5F15A7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约 1 分钟</w:t>
            </w:r>
          </w:p>
        </w:tc>
        <w:tc>
          <w:tcPr>
            <w:tcW w:w="465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C8A692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看到场景标题与要点后，可判断方向是否正确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59811A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角色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7515C9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约 30 秒</w:t>
            </w:r>
          </w:p>
        </w:tc>
        <w:tc>
          <w:tcPr>
            <w:tcW w:w="465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28EF70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系统确定授课口吻，无需干预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C4F87F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逐场景内容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9AE46F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每场 1 分钟左右，四路并行</w:t>
            </w:r>
          </w:p>
        </w:tc>
        <w:tc>
          <w:tcPr>
            <w:tcW w:w="465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BD2D1C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耗时最长，页面显示已完成场景数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50A5D7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讲稿与动作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74398F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约 10 秒</w:t>
            </w:r>
          </w:p>
        </w:tc>
        <w:tc>
          <w:tcPr>
            <w:tcW w:w="465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9F1733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完成后自动进入播放器</w:t>
            </w:r>
          </w:p>
        </w:tc>
      </w:tr>
    </w:tbl>
    <w:p w14:paraId="4871258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生成期间不要关闭页面。已经生成的部分会保留，但当前这一轮会中断。想缩短等待，可以在需求里写明「只要 2 个场景」，场景越少越快。整堂课（十五个场景）约需八分钟，两个场景通常在两分钟内完成。</w:t>
      </w:r>
    </w:p>
    <w:p w14:paraId="3E612E01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如果大纲阶段就发现方向不对，可以直接关闭页面重新提交，不必等到生成完成。方向正确但个别场景不满意时，等生成完成后在播放器里单独重生成那一场，比整堂课重来划算得多。</w:t>
      </w:r>
    </w:p>
    <w:p w14:paraId="28B80E1D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32" w:name="section-7"/>
      <w:r>
        <w:rPr>
          <w:rFonts w:hint="eastAsia" w:ascii="PingFang SC" w:hAnsi="PingFang SC" w:eastAsia="PingFang SC" w:cs="PingFang SC"/>
          <w:b w:val="1"/>
          <w:color w:val="0b2545"/>
          <w:sz w:val="40"/>
        </w:rPr>
        <w:t>七、数据与导出</w:t>
      </w:r>
      <w:bookmarkEnd w:id="32"/>
    </w:p>
    <w:p w14:paraId="0206C39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系统有三处导出：学生端的学习报告、教师端的评价复核汇总、课堂播放器的 PPTX。前两者为文本格式，第三者为演示文稿，都通过页面上的按钮直接下载，不需要额外的插件或客户端。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1993"/>
        <w:gridCol w:w="4154"/>
      </w:tblGrid>
      <w:tr>
        <w:trPr>
          <w:tblHeader w:val="1"/>
        </w:trPr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D28131A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导出项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20F8B1C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入口</w:t>
            </w:r>
          </w:p>
        </w:tc>
        <w:tc>
          <w:tcPr>
            <w:tcW w:w="415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F5F603D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包含内容</w:t>
            </w:r>
          </w:p>
        </w:tc>
      </w:tr>
      <w:tr>
        <w:trPr/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F28314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学习报告 · Markdown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61870A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学生端 · 学习报告右上</w:t>
            </w:r>
          </w:p>
        </w:tc>
        <w:tc>
          <w:tcPr>
            <w:tcW w:w="415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45BC9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四阶能力、知识维度、四类过程证据与测量表原文</w:t>
            </w:r>
          </w:p>
        </w:tc>
      </w:tr>
      <w:tr>
        <w:trPr/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A44EE7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学习报告 · JSON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5C759A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学生端 · 学习报告右上</w:t>
            </w:r>
          </w:p>
        </w:tc>
        <w:tc>
          <w:tcPr>
            <w:tcW w:w="415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A633BB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与 Markdown 同源的结构化数据，便于程序处理与备份</w:t>
            </w:r>
          </w:p>
        </w:tc>
      </w:tr>
      <w:tr>
        <w:trPr/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6A60F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学习报告 · PDF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A7DA20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学生端 · 学习报告右上</w:t>
            </w:r>
          </w:p>
        </w:tc>
        <w:tc>
          <w:tcPr>
            <w:tcW w:w="415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476CF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通过浏览器打印生成，版式与页面一致</w:t>
            </w:r>
          </w:p>
        </w:tc>
      </w:tr>
      <w:tr>
        <w:trPr/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C5E646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评价复核汇总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7ADA74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教师端 · 评价复核右上</w:t>
            </w:r>
          </w:p>
        </w:tc>
        <w:tc>
          <w:tcPr>
            <w:tcW w:w="415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228255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复核分、理由、与建议分的差值</w:t>
            </w:r>
          </w:p>
        </w:tc>
      </w:tr>
      <w:tr>
        <w:trPr/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F731A3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成绩登记总表 · CSV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BFDD23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教师端 · 成绩登记总表右上</w:t>
            </w:r>
          </w:p>
        </w:tc>
        <w:tc>
          <w:tcPr>
            <w:tcW w:w="415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0B1024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学号、姓名、三阶段十二项能力分与总分，带 BOM 可直接用 Excel 打开</w:t>
            </w:r>
          </w:p>
        </w:tc>
      </w:tr>
      <w:tr>
        <w:trPr/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28CB1B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课堂 PPTX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BC3FEE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播放器 · 右上角下载</w:t>
            </w:r>
          </w:p>
        </w:tc>
        <w:tc>
          <w:tcPr>
            <w:tcW w:w="415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2D5978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当前课堂的场景画面，可在其他工具中二次编辑</w:t>
            </w:r>
          </w:p>
        </w:tc>
      </w:tr>
    </w:tbl>
    <w:p w14:paraId="13D3752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所有数据保存在浏览器本地，按账号分区，换账号看不到彼此的数据。换设备或换浏览器不会同步，需要迁移时只能在原浏览器中导出后手工整理。这一限制来自「断网可用」这一设计目标，属于已知代价而非缺陷。JSON 格式的存在正是为了这种场景：它保留了完整结构，迁移时可以重新导入而不丢失字段。</w:t>
      </w:r>
    </w:p>
    <w:p w14:paraId="378A10B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清理浏览器缓存会清除本地数据。如果清理过缓存，需要重新注册或重新完成诊断。建议在清理前先导出一次报告，至少保留一份结果快照；报告里包含诊断维度与闯关记录，可以据此手工恢复大部分内容。</w:t>
      </w:r>
    </w:p>
    <w:p w14:paraId="692BC32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浏览器存储配额通常在 5 MB 量级，单个课堂约 150 KB，因此容纳二十堂左右的课堂不成问题。超出后写入会失败并给出提示，此时删除不再需要的课堂即可释放空间。</w:t>
      </w:r>
    </w:p>
    <w:p w14:paraId="35A8439A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33" w:name="section-8"/>
      <w:r>
        <w:rPr>
          <w:rFonts w:hint="eastAsia" w:ascii="PingFang SC" w:hAnsi="PingFang SC" w:eastAsia="PingFang SC" w:cs="PingFang SC"/>
          <w:b w:val="1"/>
          <w:color w:val="0b2545"/>
          <w:sz w:val="40"/>
        </w:rPr>
        <w:t>八、效率技巧</w:t>
      </w:r>
      <w:bookmarkEnd w:id="33"/>
    </w:p>
    <w:p w14:paraId="00F5CE3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系统提供一套键盘操作，覆盖导航与常用动作。熟练之后可以完全不用鼠标完成日常流程，这在连续处理多条数据时能省下不少时间。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5815"/>
      </w:tblGrid>
      <w:tr>
        <w:trPr>
          <w:tblHeader w:val="1"/>
        </w:trPr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98A07E9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快捷键</w:t>
            </w:r>
          </w:p>
        </w:tc>
        <w:tc>
          <w:tcPr>
            <w:tcW w:w="581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0E297A3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效果</w:t>
            </w:r>
          </w:p>
        </w:tc>
      </w:tr>
      <w:tr>
        <w:trPr/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9E3B695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⌘K</w:t>
            </w:r>
            <w:r>
              <w:rPr>
                <w:rFonts w:ascii="PingFang SC" w:hAnsi="PingFang SC" w:eastAsia="PingFang SC" w:cs="PingFang SC"/>
                <w:color w:val="1f2937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Ctrl+K</w:t>
            </w:r>
          </w:p>
        </w:tc>
        <w:tc>
          <w:tcPr>
            <w:tcW w:w="581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129B87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打开命令面板，输入视图名或动作名直接执行</w:t>
            </w:r>
          </w:p>
        </w:tc>
      </w:tr>
      <w:tr>
        <w:trPr/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67692A9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G</w:t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 xml:space="preserve"> 后接视图首字母</w:t>
            </w:r>
          </w:p>
        </w:tc>
        <w:tc>
          <w:tcPr>
            <w:tcW w:w="581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F784A5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 xml:space="preserve">快速切换视图，例如 </w:t>
            </w: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G</w:t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 xml:space="preserve"> 再按 </w:t>
            </w: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O</w:t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 xml:space="preserve"> 回到总览</w:t>
            </w:r>
          </w:p>
        </w:tc>
      </w:tr>
      <w:tr>
        <w:trPr/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69DC8D6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?</w:t>
            </w:r>
          </w:p>
        </w:tc>
        <w:tc>
          <w:tcPr>
            <w:tcW w:w="581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CE291A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查看当前角色可用的快捷键清单</w:t>
            </w:r>
          </w:p>
        </w:tc>
      </w:tr>
      <w:tr>
        <w:trPr/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22BF58D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Esc</w:t>
            </w:r>
          </w:p>
        </w:tc>
        <w:tc>
          <w:tcPr>
            <w:tcW w:w="581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E9AFC0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关闭弹窗或命令面板</w:t>
            </w:r>
          </w:p>
        </w:tc>
      </w:tr>
      <w:tr>
        <w:trPr/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05D2010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←</w:t>
            </w:r>
            <w:r>
              <w:rPr>
                <w:rFonts w:ascii="PingFang SC" w:hAnsi="PingFang SC" w:eastAsia="PingFang SC" w:cs="PingFang SC"/>
                <w:color w:val="1f2937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→</w:t>
            </w:r>
          </w:p>
        </w:tc>
        <w:tc>
          <w:tcPr>
            <w:tcW w:w="581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1E6945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播放器内切换上一 / 下一场景</w:t>
            </w:r>
          </w:p>
        </w:tc>
      </w:tr>
      <w:tr>
        <w:trPr/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90FCF52">
            <w:pPr>
              <w:jc w:val="left"/>
              <w:rPr>
                <w:color w:val="1f2937"/>
              </w:rPr>
            </w:pPr>
            <w:r>
              <w:rPr>
                <w:rFonts w:hint="eastAsia" w:ascii="SF Mono" w:hAnsi="SF Mono" w:eastAsia="SF Mono" w:cs="SF Mono"/>
                <w:color w:val="1f2937"/>
                <w:sz w:val="18"/>
                <w:shd w:val="clear" w:fill="eef2f7"/>
              </w:rPr>
              <w:t>空格</w:t>
            </w:r>
          </w:p>
        </w:tc>
        <w:tc>
          <w:tcPr>
            <w:tcW w:w="581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550D44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播放器内播放或暂停</w:t>
            </w:r>
          </w:p>
        </w:tc>
      </w:tr>
      <w:tr>
        <w:trPr/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A29A63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⌘</w:t>
            </w:r>
            <w:r>
              <w:rPr>
                <w:rFonts w:ascii="PingFang SC" w:hAnsi="PingFang SC" w:eastAsia="PingFang SC" w:cs="PingFang SC"/>
                <w:color w:val="1f2937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Ctrl</w:t>
            </w:r>
            <w:r>
              <w:rPr>
                <w:rFonts w:ascii="PingFang SC" w:hAnsi="PingFang SC" w:eastAsia="PingFang SC" w:cs="PingFang SC"/>
                <w:color w:val="1f2937"/>
                <w:sz w:val="18"/>
              </w:rPr>
              <w:t xml:space="preserve"> + </w:t>
            </w: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Enter</w:t>
            </w:r>
          </w:p>
        </w:tc>
        <w:tc>
          <w:tcPr>
            <w:tcW w:w="581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8EBF31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AI 助教输入框中发送提问</w:t>
            </w:r>
          </w:p>
        </w:tc>
      </w:tr>
    </w:tbl>
    <w:p w14:paraId="6A6BA70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命令面板同时支持动作，例如「导出报告」「新建课堂」，输入关键词即可筛选。面板的匹配是模糊的，输入「导出」能同时匹配到两个导出动作，输入「复核」则只匹配教师端的复核相关项。</w:t>
      </w:r>
    </w:p>
    <w:p w14:paraId="1E450C90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另一类技巧与内容有关。生成课堂时，需求里写明场景数量可以显著缩短等待；提问时描述具体现象比索要公式更容易得到有用的回答；复核评价时先按风险排序，把偏差最大的几名学生处理掉，收益高于逐行确认。</w:t>
      </w:r>
    </w:p>
    <w:p w14:paraId="32DDF4E5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34" w:name="section-9"/>
      <w:r>
        <w:rPr>
          <w:rFonts w:hint="eastAsia" w:ascii="PingFang SC" w:hAnsi="PingFang SC" w:eastAsia="PingFang SC" w:cs="PingFang SC"/>
          <w:b w:val="1"/>
          <w:color w:val="0b2545"/>
          <w:sz w:val="40"/>
        </w:rPr>
        <w:t>九、常见问题</w:t>
      </w:r>
      <w:bookmarkEnd w:id="34"/>
    </w:p>
    <w:p w14:paraId="39F34285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下表按现象归类，每条给出原因与处理方式。遇到表中未列出的问题时，记录浏览器控制台的报错与当前页面地址，比只描述「打不开」更有助于定位。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7"/>
        <w:gridCol w:w="5649"/>
      </w:tblGrid>
      <w:tr>
        <w:trPr>
          <w:tblHeader w:val="1"/>
        </w:trPr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2DAB097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现象</w:t>
            </w:r>
          </w:p>
        </w:tc>
        <w:tc>
          <w:tcPr>
            <w:tcW w:w="564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56D5313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原因与处理</w:t>
            </w:r>
          </w:p>
        </w:tc>
      </w:tr>
      <w:tr>
        <w:trPr/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EB46B5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登录后刷新回到登录页</w:t>
            </w:r>
          </w:p>
        </w:tc>
        <w:tc>
          <w:tcPr>
            <w:tcW w:w="564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5B1496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浏览器禁用了本站 Cookie。在站点设置里允许后重新登录。</w:t>
            </w:r>
          </w:p>
        </w:tc>
      </w:tr>
      <w:tr>
        <w:trPr/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43ABE1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注册提示「这个账号是演示账号」</w:t>
            </w:r>
          </w:p>
        </w:tc>
        <w:tc>
          <w:tcPr>
            <w:tcW w:w="564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B4501A6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student</w:t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 xml:space="preserve"> 与 </w:t>
            </w: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teacher</w:t>
            </w: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 xml:space="preserve"> 保留给演示，换一个用户名。</w:t>
            </w:r>
          </w:p>
        </w:tc>
      </w:tr>
      <w:tr>
        <w:trPr/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CF7CA5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点「进入课堂」后停在生成页</w:t>
            </w:r>
          </w:p>
        </w:tc>
        <w:tc>
          <w:tcPr>
            <w:tcW w:w="564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050B03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先看页面上的步骤提示停在哪一步。停在大纲多为网络问题，刷新重试；停在逐场景内容属正常耗时，等待即可。</w:t>
            </w:r>
          </w:p>
        </w:tc>
      </w:tr>
      <w:tr>
        <w:trPr/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719D4A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任务闯关页面只有一句提示</w:t>
            </w:r>
          </w:p>
        </w:tc>
        <w:tc>
          <w:tcPr>
            <w:tcW w:w="564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68E50A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还没选项目。点提示里的「去匹配项目」，选定一个案例后关卡才会出现。</w:t>
            </w:r>
          </w:p>
        </w:tc>
      </w:tr>
      <w:tr>
        <w:trPr/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1D1551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项目匹配的分数都一样</w:t>
            </w:r>
          </w:p>
        </w:tc>
        <w:tc>
          <w:tcPr>
            <w:tcW w:w="564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D7C1BD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尚未完成学情诊断，此时匹配分是默认值。完成诊断后刷新即可得到个性化匹配。</w:t>
            </w:r>
          </w:p>
        </w:tc>
      </w:tr>
      <w:tr>
        <w:trPr/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8D0AB4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评价复核保存不了</w:t>
            </w:r>
          </w:p>
        </w:tc>
        <w:tc>
          <w:tcPr>
            <w:tcW w:w="564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428813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理由为空。填写一句判断依据后再保存。</w:t>
            </w:r>
          </w:p>
        </w:tc>
      </w:tr>
      <w:tr>
        <w:trPr/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245F61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页面显示不完整</w:t>
            </w:r>
          </w:p>
        </w:tc>
        <w:tc>
          <w:tcPr>
            <w:tcW w:w="564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21A7FF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窗口宽度小于 1280 像素。放大窗口或收起侧栏。</w:t>
            </w:r>
          </w:p>
        </w:tc>
      </w:tr>
      <w:tr>
        <w:trPr/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94D16E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换了电脑看不到之前的数据</w:t>
            </w:r>
          </w:p>
        </w:tc>
        <w:tc>
          <w:tcPr>
            <w:tcW w:w="564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735532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数据存在原浏览器的本地存储中。回到原设备，或先导出 JSON 再迁移。</w:t>
            </w:r>
          </w:p>
        </w:tc>
      </w:tr>
      <w:tr>
        <w:trPr/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FD553F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页面能打开但数据是空的</w:t>
            </w:r>
          </w:p>
        </w:tc>
        <w:tc>
          <w:tcPr>
            <w:tcW w:w="564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C309EB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登录态与数据不属于同一账号，或本地数据被清除。退出后重新登录；仍为空则需重新完成诊断。</w:t>
            </w:r>
          </w:p>
        </w:tc>
      </w:tr>
      <w:tr>
        <w:trPr/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76F977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诊断结果和上次不一样</w:t>
            </w:r>
          </w:p>
        </w:tc>
        <w:tc>
          <w:tcPr>
            <w:tcW w:w="564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A389E0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重做过诊断。24 小时内可用「恢复上次结果」退回，超时后快照失效。</w:t>
            </w:r>
          </w:p>
        </w:tc>
      </w:tr>
    </w:tbl>
    <w:p w14:paraId="0B57943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两类问题需要区分对待：一类是环境问题，换浏览器或改设置即可解决，如 Cookie 被禁用、窗口过窄；另一类是数据问题，需要重新产生数据，如缓存被清、账号不匹配。前者不影响已有记录，后者会。判断方法是换一个浏览器登录同一账号，如果数据在，说明原浏览器是环境问题。</w:t>
      </w:r>
    </w:p>
    <w:p w14:paraId="18865026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35" w:name="section-10"/>
      <w:r>
        <w:rPr>
          <w:rFonts w:hint="eastAsia" w:ascii="PingFang SC" w:hAnsi="PingFang SC" w:eastAsia="PingFang SC" w:cs="PingFang SC"/>
          <w:b w:val="1"/>
          <w:color w:val="0b2545"/>
          <w:sz w:val="40"/>
        </w:rPr>
        <w:t>附录　视图索引</w:t>
      </w:r>
      <w:bookmarkEnd w:id="35"/>
    </w:p>
    <w:p w14:paraId="6CA9A5F9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下表列出全部十八个视图的路由与核心动作，可作为快速查找表使用。路由可直接在地址栏输入，登录态有效时会直接跳转到对应视图。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1827"/>
        <w:gridCol w:w="2491"/>
        <w:gridCol w:w="2992"/>
      </w:tblGrid>
      <w:tr>
        <w:trPr>
          <w:tblHeader w:val="1"/>
        </w:trPr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59435C7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角色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D708645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视图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A57784B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路由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C97F4E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核心动作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7BE7E5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8D08FA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学习总览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A22C600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/physics/overview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19BF01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查看进度与下一步入口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88A69E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D3081A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学情诊断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918DB7E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/physics/diagnosis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67FCBB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作答八题，生成维度得分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914746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B29792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课前：诊断与配对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AEB3197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/physics/preclass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B50875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生成分层、配对与分组，提交审核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2224FA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231863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课中：伴随诊断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3AF16AC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/physics/inclass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4BD19A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作答、接收追问、认可结论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DC5407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DAD088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课后：过程评价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83423A5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/physics/postclass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0CD44F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生成四阶能力评价与轨迹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9D1FD4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9DEC5D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章节与知识图谱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646CE1A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/physics/curriculum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FC5DFF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按章节查看详情与知识图谱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0D0978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BA8D69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项目匹配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45B002E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/physics/projects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5A9B85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挑选项目并加入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D6D014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03C2AF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任务闯关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5BE23E0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/physics/tasks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78EB29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五阶关卡逐题作答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F694B1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CE9448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AI 助教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8622660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/physics/assistant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BC2B03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围绕章节追问与提示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CF1A67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73947D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虚拟实验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8274037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/physics/lab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5F7366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调参、运行、保存测量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ECEADB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119B99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学习报告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7DB1414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/physics/report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7EBC3A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查看并导出报告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8AB13F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D35325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教学驾驶舱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894D45D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/teacher/dashboard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607861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定位风险学生与待复核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F2F389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19E2CF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班级画像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650AFFE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/teacher/class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3A3EEA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查看名单与项目案例库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49C58F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ADD147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课程项目矩阵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7B71A34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/teacher/curriculum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41F846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核对章节与项目覆盖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327523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866131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三诊审核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842A231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/teacher/reviews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BFB262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逐条审核课前、课中、课后结论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2C2AC7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C9440C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成绩登记总表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E68D7F8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/teacher/scores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51F749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录入能力分，导出 CSV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34EE1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9F47D0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评价复核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C1C44A2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/teacher/evaluation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0F0737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改分、写理由、导出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FA203B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57563D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教学洞察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B5EB4A4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/teacher/insights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FE72DE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查看模块基线与结论</w:t>
            </w:r>
          </w:p>
        </w:tc>
      </w:tr>
    </w:tbl>
    <w:p w14:paraId="24ED2B83">
      <w:pPr>
        <w:spacing w:before="105" w:after="105" w:line="432"/>
        <w:ind w:left="105" w:right="105"/>
        <w:jc w:val="both"/>
        <w:rPr>
          <w:color w:val="1f2937"/>
        </w:rPr>
        <w:sectPr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ongti SC" w:hAnsi="Songti SC" w:eastAsia="Songti SC" w:cs="Songti SC"/>
          <w:color w:val="1f2937"/>
          <w:sz w:val="21"/>
        </w:rPr>
        <w:t>直接用学生账号访问教师路径时，系统会送回学生端首页，地址栏的路径也会被改写，因此刷新不会再次触发重定向。这一行为由纯函数守卫实现，访问不存在的视图同样会回到本角色首页，不会出现空白页。</w:t>
      </w:r>
    </w:p>
    <w:p w14:paraId="1A261B03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true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1" w:uiPriority="9" w:qFormat="1"/>
    <w:lsdException w:name="Hyperlink" w:semiHidden="1" w:unhideWhenUsed="1"/>
    <w:lsdException w:name="toc 7" w:uiPriority="39" w:semiHidden="1" w:unhideWhenUsed="1"/>
    <w:lsdException w:name="List Number 5" w:semiHidden="1" w:unhideWhenUsed="1"/>
    <w:lsdException w:name="index 1" w:semiHidden="1" w:unhideWhenUsed="1"/>
    <w:lsdException w:name="List 4" w:semiHidden="1" w:unhideWhenUsed="1"/>
    <w:lsdException w:name="heading 8" w:uiPriority="9" w:semiHidden="1" w:unhideWhenUsed="1" w:qFormat="1"/>
    <w:lsdException w:name="List 5" w:semiHidden="1" w:unhideWhenUsed="1"/>
    <w:lsdException w:name="FollowedHyperlink" w:semiHidden="1" w:unhideWhenUsed="1"/>
    <w:lsdException w:name="Message Header" w:semiHidden="1" w:unhideWhenUsed="1"/>
    <w:lsdException w:name="Signature" w:semiHidden="1" w:unhideWhenUsed="1"/>
    <w:lsdException w:name="Block Text" w:semiHidden="1" w:unhideWhenUsed="1"/>
    <w:lsdException w:name="Salutation" w:semiHidden="1" w:unhideWhenUsed="1"/>
    <w:lsdException w:name="table of figures" w:semiHidden="1" w:unhideWhenUsed="1"/>
    <w:lsdException w:name="footer" w:semiHidden="1" w:unhideWhenUsed="1"/>
    <w:lsdException w:name="toc 9" w:uiPriority="39" w:semiHidden="1" w:unhideWhenUsed="1"/>
    <w:lsdException w:name="Note Heading" w:semiHidden="1" w:unhideWhenUsed="1"/>
    <w:lsdException w:name="annotation text" w:semiHidden="1" w:unhideWhenUsed="1"/>
    <w:lsdException w:name="List Number 2" w:semiHidden="1" w:unhideWhenUsed="1"/>
    <w:lsdException w:name="List Bullet 5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List Number" w:semiHidden="1" w:unhideWhenUsed="1"/>
    <w:lsdException w:name="List 3" w:semiHidden="1" w:unhideWhenUsed="1"/>
    <w:lsdException w:name="header" w:semiHidden="1" w:unhideWhenUsed="1"/>
    <w:lsdException w:name="index 4" w:semiHidden="1" w:unhideWhenUsed="1"/>
    <w:lsdException w:name="List" w:semiHidden="1" w:unhideWhenUsed="1"/>
    <w:lsdException w:name="Subtitle" w:uiPriority="11" w:qFormat="1"/>
    <w:lsdException w:name="index 5" w:semiHidden="1" w:unhideWhenUsed="1"/>
    <w:lsdException w:name="List Bullet" w:semiHidden="1" w:unhideWhenUsed="1"/>
    <w:lsdException w:name="toa heading" w:semiHidden="1" w:unhideWhenUsed="1"/>
    <w:lsdException w:name="line number" w:semiHidden="1" w:unhideWhenUsed="1"/>
    <w:lsdException w:name="List 2" w:semiHidden="1" w:unhideWhenUsed="1"/>
    <w:lsdException w:name="toc 2" w:uiPriority="39" w:semiHidden="1" w:unhideWhenUsed="1"/>
    <w:lsdException w:name="Normal" w:uiPriority="0" w:qFormat="1"/>
    <w:lsdException w:name="toc 1" w:uiPriority="39" w:semiHidden="1" w:unhideWhenUsed="1"/>
    <w:lsdException w:name="annotation reference" w:semiHidden="1" w:unhideWhenUsed="1"/>
    <w:lsdException w:name="index 6" w:semiHidden="1" w:unhideWhenUsed="1"/>
    <w:lsdException w:name="caption" w:uiPriority="35" w:semiHidden="1" w:unhideWhenUsed="1" w:qFormat="1"/>
    <w:lsdException w:name="heading 2" w:uiPriority="9" w:semiHidden="1" w:unhideWhenUsed="1" w:qFormat="1"/>
    <w:lsdException w:name="index 9" w:semiHidden="1" w:unhideWhenUsed="1"/>
    <w:lsdException w:name="List Continue 5" w:semiHidden="1" w:unhideWhenUsed="1"/>
    <w:lsdException w:name="Body Text First Indent" w:semiHidden="1" w:unhideWhenUsed="1"/>
    <w:lsdException w:name="List Continue 4" w:semiHidden="1" w:unhideWhenUsed="1"/>
    <w:lsdException w:name="Date" w:semiHidden="1" w:unhideWhenUsed="1"/>
    <w:lsdException w:name="List Continue 3" w:semiHidden="1" w:unhideWhenUsed="1"/>
    <w:lsdException w:name="List Number 3" w:semiHidden="1" w:unhideWhenUsed="1"/>
    <w:lsdException w:name="List Bullet 3" w:semiHidden="1" w:unhideWhenUsed="1"/>
    <w:lsdException w:name="endnote reference" w:semiHidden="1" w:unhideWhenUsed="1"/>
    <w:lsdException w:name="Body Text 2" w:semiHidden="1" w:unhideWhenUsed="1"/>
    <w:lsdException w:name="heading 5" w:uiPriority="9" w:semiHidden="1" w:unhideWhenUsed="1" w:qFormat="1"/>
    <w:lsdException w:name="index 2" w:semiHidden="1" w:unhideWhenUsed="1"/>
    <w:lsdException w:name="List Continue 2" w:semiHidden="1" w:unhideWhenUsed="1"/>
    <w:lsdException w:name="Default Paragraph Font" w:uiPriority="1" w:semiHidden="1" w:unhideWhenUsed="1"/>
    <w:lsdException w:name="index heading" w:semiHidden="1" w:unhideWhenUsed="1"/>
    <w:lsdException w:name="Body Text Indent 3" w:semiHidden="1" w:unhideWhenUsed="1"/>
    <w:lsdException w:name="heading 7" w:uiPriority="9" w:semiHidden="1" w:unhideWhenUsed="1" w:qFormat="1"/>
    <w:lsdException w:name="List Bullet 4" w:semiHidden="1" w:unhideWhenUsed="1"/>
    <w:lsdException w:name="toc 3" w:uiPriority="39" w:semiHidden="1" w:unhideWhenUsed="1"/>
    <w:lsdException w:name="envelope return" w:semiHidden="1" w:unhideWhenUsed="1"/>
    <w:lsdException w:name="index 7" w:semiHidden="1" w:unhideWhenUsed="1"/>
    <w:lsdException w:name="table of authorities" w:semiHidden="1" w:unhideWhenUsed="1"/>
    <w:lsdException w:name="page number" w:semiHidden="1" w:unhideWhenUsed="1"/>
    <w:lsdException w:name="index 3" w:semiHidden="1" w:unhideWhenUsed="1"/>
    <w:lsdException w:name="Body Text 3" w:semiHidden="1" w:unhideWhenUsed="1"/>
    <w:lsdException w:name="toc 6" w:uiPriority="39" w:semiHidden="1" w:unhideWhenUsed="1"/>
    <w:lsdException w:name="Body Text Indent 2" w:semiHidden="1" w:unhideWhenUsed="1"/>
    <w:lsdException w:name="List Continue" w:semiHidden="1" w:unhideWhenUsed="1"/>
    <w:lsdException w:name="footnote text" w:semiHidden="1" w:unhideWhenUsed="1"/>
    <w:lsdException w:name="Body Text First Indent 2" w:semiHidden="1" w:unhideWhenUsed="1"/>
    <w:lsdException w:name="heading 6" w:uiPriority="9" w:semiHidden="1" w:unhideWhenUsed="1" w:qFormat="1"/>
    <w:lsdException w:name="index 8" w:semiHidden="1" w:unhideWhenUsed="1"/>
    <w:lsdException w:name="List Number 4" w:semiHidden="1" w:unhideWhenUsed="1"/>
    <w:lsdException w:name="endnote text" w:semiHidden="1" w:unhideWhenUsed="1"/>
    <w:lsdException w:name="Strong" w:uiPriority="22" w:qFormat="1"/>
    <w:lsdException w:name="toc 8" w:uiPriority="39" w:semiHidden="1" w:unhideWhenUsed="1"/>
    <w:lsdException w:name="Closing" w:semiHidden="1" w:unhideWhenUsed="1"/>
    <w:lsdException w:name="toc 4" w:uiPriority="39" w:semiHidden="1" w:unhideWhenUsed="1"/>
    <w:lsdException w:name="heading 9" w:uiPriority="9" w:semiHidden="1" w:unhideWhenUsed="1" w:qFormat="1"/>
    <w:lsdException w:name="Body Text Indent" w:semiHidden="1" w:unhideWhenUsed="1"/>
    <w:lsdException w:name="macro" w:semiHidden="1" w:unhideWhenUsed="1"/>
    <w:lsdException w:name="envelope address" w:semiHidden="1" w:unhideWhenUsed="1"/>
    <w:lsdException w:name="Title" w:uiPriority="10" w:qFormat="1"/>
    <w:lsdException w:name="footnote reference" w:semiHidden="1" w:unhideWhenUsed="1"/>
    <w:lsdException w:name="Body Text" w:semiHidden="1" w:unhideWhenUsed="1"/>
    <w:lsdException w:name="toc 5" w:uiPriority="39" w:semiHidden="1" w:unhideWhenUsed="1"/>
    <w:lsdException w:name="Normal Indent" w:semiHidden="1" w:unhideWhenUsed="1"/>
    <w:lsdException w:name="List Bullet 2" w:semiHidden="1" w:unhideWhenUsed="1"/>
  </w:latentStyles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2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6" Type="http://schemas.openxmlformats.org/officeDocument/2006/relationships/image" Target="media/image2.png"/><Relationship Id="rId20" Type="http://schemas.openxmlformats.org/officeDocument/2006/relationships/image" Target="media/image16.png"/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19" Type="http://schemas.openxmlformats.org/officeDocument/2006/relationships/image" Target="media/image15.png"/><Relationship Id="rId4" Type="http://schemas.openxmlformats.org/officeDocument/2006/relationships/numbering" Target="numbering.xml"/><Relationship Id="rId0" Type="http://schemas.openxmlformats.org/officeDocument/2006/relationships/styles" Target="styles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5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settings" Target="settings.xml"/><Relationship Id="rId11" Type="http://schemas.openxmlformats.org/officeDocument/2006/relationships/image" Target="media/image7.png"/><Relationship Id="rId16" Type="http://schemas.openxmlformats.org/officeDocument/2006/relationships/image" Target="media/image12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2026-10-27T23:10:44Z</dcterms:created>
  <dcterms:modified xsi:type="dcterms:W3CDTF">2026-10-27T23:10:44Z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"01a17d93a77e784cb3e5a7c55dfb649d", "ReservedCode1": "", "ContentPropagator": "00119111010856365494821B355", "PropagateID": "01a17d93a77e784cb3e5a7c55dfb649d", "ReservedCode2": ""}}</vt:lpwstr>
  </property>
</Properties>
</file>