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</w:rPr>
        <w:t>VGGT 三维重建系统（模块一）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hint="eastAsia"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p w14:paraId="6913D15F">
      <w:pPr>
        <w:spacing w:line="312" w:lineRule="auto"/>
        <w:rPr>
          <w:sz w:val="48"/>
          <w:szCs w:val="48"/>
        </w:rPr>
      </w:pPr>
    </w:p>
    <w:p w14:paraId="13E077E2">
      <w:pPr>
        <w:spacing w:line="312" w:lineRule="auto"/>
        <w:rPr>
          <w:sz w:val="48"/>
          <w:szCs w:val="48"/>
        </w:rPr>
      </w:pPr>
    </w:p>
    <w:p w14:paraId="54F53C43">
      <w:pPr>
        <w:spacing w:line="312" w:lineRule="auto"/>
        <w:rPr>
          <w:sz w:val="48"/>
          <w:szCs w:val="48"/>
        </w:rPr>
      </w:pPr>
    </w:p>
    <w:p w14:paraId="2E26DE02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085789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22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22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22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22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作  者</w:t>
            </w:r>
          </w:p>
        </w:tc>
      </w:tr>
      <w:tr w14:paraId="1ABFC81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2026-09-08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搭建框架，选好被测软件模块，未填充具体测试内容</w:t>
            </w:r>
          </w:p>
        </w:tc>
        <w:tc>
          <w:tcPr>
            <w:tcW w:w="1138" w:type="dxa"/>
            <w:vMerge w:val="restart"/>
            <w:vAlign w:val="center"/>
          </w:tcPr>
          <w:p w14:paraId="13B173D9">
            <w:pPr>
              <w:spacing w:line="312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黄国宸</w:t>
            </w:r>
          </w:p>
          <w:p w14:paraId="30338C6C">
            <w:pPr>
              <w:spacing w:line="312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曹钧杰</w:t>
            </w:r>
          </w:p>
        </w:tc>
      </w:tr>
      <w:tr w14:paraId="251ACFD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2026-09-11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V1.1</w:t>
            </w: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初步完成测试流程搭建</w:t>
            </w:r>
          </w:p>
        </w:tc>
        <w:tc>
          <w:tcPr>
            <w:tcW w:w="1138" w:type="dxa"/>
            <w:vMerge w:val="continue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4010DC4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shd w:val="clear" w:color="auto" w:fill="auto"/>
            <w:vAlign w:val="center"/>
          </w:tcPr>
          <w:p w14:paraId="512885FE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2026-09-14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AA93007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V1.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7A42C58">
            <w:pPr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完善测试流程，增加测试用例，实现测试的自动化</w:t>
            </w:r>
          </w:p>
        </w:tc>
        <w:tc>
          <w:tcPr>
            <w:tcW w:w="1138" w:type="dxa"/>
            <w:vMerge w:val="continue"/>
            <w:shd w:val="clear" w:color="auto" w:fill="auto"/>
            <w:vAlign w:val="center"/>
          </w:tcPr>
          <w:p w14:paraId="204627D4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040B162D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HYPERLINK \l "_Toc239671766"</w:instrText>
      </w:r>
      <w:r>
        <w:fldChar w:fldCharType="separate"/>
      </w:r>
      <w:r>
        <w:rPr>
          <w:rStyle w:val="15"/>
          <w:rFonts w:hint="eastAsia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HYPERLINK \l "_Toc239671767"</w:instrText>
      </w:r>
      <w:r>
        <w:fldChar w:fldCharType="separate"/>
      </w:r>
      <w:r>
        <w:rPr>
          <w:rStyle w:val="15"/>
          <w:rFonts w:hint="eastAsia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"_Toc239671768"</w:instrText>
      </w:r>
      <w:r>
        <w:fldChar w:fldCharType="separate"/>
      </w:r>
      <w:r>
        <w:rPr>
          <w:rStyle w:val="15"/>
          <w:rFonts w:hint="eastAsia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"_Toc239671769"</w:instrText>
      </w:r>
      <w:r>
        <w:fldChar w:fldCharType="separate"/>
      </w:r>
      <w:r>
        <w:rPr>
          <w:rStyle w:val="15"/>
          <w:rFonts w:hint="eastAsia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"_Toc239671770"</w:instrText>
      </w:r>
      <w:r>
        <w:fldChar w:fldCharType="separate"/>
      </w:r>
      <w:r>
        <w:rPr>
          <w:rStyle w:val="15"/>
          <w:rFonts w:hint="eastAsia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HYPERLINK \l "_Toc239671771"</w:instrText>
      </w:r>
      <w:r>
        <w:fldChar w:fldCharType="separate"/>
      </w:r>
      <w:r>
        <w:rPr>
          <w:rStyle w:val="15"/>
          <w:rFonts w:hint="eastAsia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"_Toc239671772"</w:instrText>
      </w:r>
      <w:r>
        <w:fldChar w:fldCharType="separate"/>
      </w:r>
      <w:r>
        <w:rPr>
          <w:rStyle w:val="15"/>
          <w:rFonts w:hint="eastAsia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"_Toc239671773"</w:instrText>
      </w:r>
      <w:r>
        <w:fldChar w:fldCharType="separate"/>
      </w:r>
      <w:r>
        <w:rPr>
          <w:rStyle w:val="15"/>
          <w:rFonts w:hint="eastAsia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"_Toc239671774"</w:instrText>
      </w:r>
      <w:r>
        <w:fldChar w:fldCharType="separate"/>
      </w:r>
      <w:r>
        <w:rPr>
          <w:rStyle w:val="15"/>
          <w:rFonts w:hint="eastAsia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HYPERLINK \l "_Toc239671775"</w:instrText>
      </w:r>
      <w:r>
        <w:fldChar w:fldCharType="separate"/>
      </w:r>
      <w:r>
        <w:rPr>
          <w:rStyle w:val="15"/>
          <w:rFonts w:hint="eastAsia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"_Toc239671776"</w:instrText>
      </w:r>
      <w:r>
        <w:fldChar w:fldCharType="separate"/>
      </w:r>
      <w:r>
        <w:rPr>
          <w:rStyle w:val="15"/>
          <w:rFonts w:hint="eastAsia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"_Toc239671777"</w:instrText>
      </w:r>
      <w:r>
        <w:fldChar w:fldCharType="separate"/>
      </w:r>
      <w:r>
        <w:rPr>
          <w:rStyle w:val="15"/>
          <w:rFonts w:hint="eastAsia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HYPERLINK \l "_Toc239671778"</w:instrText>
      </w:r>
      <w:r>
        <w:fldChar w:fldCharType="separate"/>
      </w:r>
      <w:r>
        <w:rPr>
          <w:rStyle w:val="15"/>
          <w:rFonts w:hint="eastAsia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"_Toc239671779"</w:instrText>
      </w:r>
      <w:r>
        <w:fldChar w:fldCharType="separate"/>
      </w:r>
      <w:r>
        <w:rPr>
          <w:rStyle w:val="15"/>
          <w:rFonts w:hint="eastAsia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"_Toc239671780"</w:instrText>
      </w:r>
      <w:r>
        <w:fldChar w:fldCharType="separate"/>
      </w:r>
      <w:r>
        <w:rPr>
          <w:rStyle w:val="15"/>
          <w:rFonts w:hint="eastAsia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"_Toc239671781"</w:instrText>
      </w:r>
      <w:r>
        <w:fldChar w:fldCharType="separate"/>
      </w:r>
      <w:r>
        <w:rPr>
          <w:rStyle w:val="15"/>
          <w:rFonts w:hint="eastAsia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HYPERLINK \l "_Toc239671782"</w:instrText>
      </w:r>
      <w:r>
        <w:fldChar w:fldCharType="separate"/>
      </w:r>
      <w:r>
        <w:rPr>
          <w:rStyle w:val="15"/>
          <w:rFonts w:hint="eastAsia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HYPERLINK \l "_Toc239671783"</w:instrText>
      </w:r>
      <w:r>
        <w:fldChar w:fldCharType="separate"/>
      </w:r>
      <w:r>
        <w:rPr>
          <w:rStyle w:val="15"/>
          <w:rFonts w:hint="eastAsia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rFonts w:hint="eastAsia"/>
          <w:sz w:val="28"/>
          <w:szCs w:val="28"/>
        </w:rPr>
        <w:t>1 被测对象概述</w:t>
      </w:r>
      <w:bookmarkEnd w:id="0"/>
    </w:p>
    <w:p w14:paraId="2F58AF88">
      <w:pPr>
        <w:spacing w:line="312" w:lineRule="auto"/>
        <w:ind w:firstLineChars="200"/>
      </w:pPr>
      <w:bookmarkStart w:id="1" w:name="_Toc239671767"/>
      <w:r>
        <w:rPr>
          <w:rFonts w:hint="eastAsia"/>
        </w:rPr>
        <w:t>被测软件系统为 VGGT（Visual Geometry Grounded Transformer）——一个前馈式三维几何重建大模型：输入多视角图像序列，单次前馈即同时输出逐帧深度图、相机内外参与逐像素世界坐标点图。</w:t>
      </w:r>
    </w:p>
    <w:p w14:paraId="50C9A8AA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本小组将模块一定位在 VGGT 工程中的确定性算法层：它不加载模型权重、不使用 GPU，可在普通笔记本上全量重复执行，同时又是模块二 AI 输出（深度图、npz 点云）的直接下游。模块一由两个子模块构成：</w:t>
      </w:r>
    </w:p>
    <w:tbl>
      <w:tblPr>
        <w:tblStyle w:val="10"/>
        <w:tblW w:w="0" w:type="auto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3156"/>
        <w:gridCol w:w="1782"/>
        <w:gridCol w:w="1689"/>
      </w:tblGrid>
      <w:tr w14:paraId="307CCB3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E6E6E6"/>
            <w:vAlign w:val="center"/>
          </w:tcPr>
          <w:p w14:paraId="6FEC36E7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子模块</w:t>
            </w:r>
          </w:p>
        </w:tc>
        <w:tc>
          <w:tcPr>
            <w:tcW w:w="2076" w:type="dxa"/>
            <w:shd w:val="clear" w:color="auto" w:fill="E6E6E6"/>
            <w:vAlign w:val="center"/>
          </w:tcPr>
          <w:p w14:paraId="255F162A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核心函数</w:t>
            </w:r>
          </w:p>
        </w:tc>
        <w:tc>
          <w:tcPr>
            <w:tcW w:w="2076" w:type="dxa"/>
            <w:shd w:val="clear" w:color="auto" w:fill="E6E6E6"/>
            <w:vAlign w:val="center"/>
          </w:tcPr>
          <w:p w14:paraId="70E7FFB1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功能与定位</w:t>
            </w:r>
          </w:p>
        </w:tc>
        <w:tc>
          <w:tcPr>
            <w:tcW w:w="2076" w:type="dxa"/>
            <w:shd w:val="clear" w:color="auto" w:fill="E6E6E6"/>
            <w:vAlign w:val="center"/>
          </w:tcPr>
          <w:p w14:paraId="2E364FDE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代码规模</w:t>
            </w:r>
          </w:p>
        </w:tc>
      </w:tr>
      <w:tr w14:paraId="462148A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E2C174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2076" w:type="dxa"/>
            <w:vAlign w:val="center"/>
          </w:tcPr>
          <w:p w14:paraId="1B12410A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vggt/utils/geometry.py 的 8 个纯函数</w:t>
            </w:r>
          </w:p>
        </w:tc>
        <w:tc>
          <w:tcPr>
            <w:tcW w:w="2076" w:type="dxa"/>
            <w:vAlign w:val="center"/>
          </w:tcPr>
          <w:p w14:paraId="00078B54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深度反投影、SE(3) 求逆、世界坐标与相机坐标、像素坐标互转</w:t>
            </w:r>
          </w:p>
        </w:tc>
        <w:tc>
          <w:tcPr>
            <w:tcW w:w="2076" w:type="dxa"/>
            <w:vAlign w:val="center"/>
          </w:tcPr>
          <w:p w14:paraId="538FB4D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251 行</w:t>
            </w:r>
          </w:p>
        </w:tc>
      </w:tr>
      <w:tr w14:paraId="62DB3D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0643A3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</w:t>
            </w:r>
          </w:p>
        </w:tc>
        <w:tc>
          <w:tcPr>
            <w:tcW w:w="2076" w:type="dxa"/>
            <w:vAlign w:val="center"/>
          </w:tcPr>
          <w:p w14:paraId="712EED7A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load_and_preprocess_images、load_and_preprocess_images_square</w:t>
            </w:r>
          </w:p>
        </w:tc>
        <w:tc>
          <w:tcPr>
            <w:tcW w:w="2076" w:type="dxa"/>
            <w:vAlign w:val="center"/>
          </w:tcPr>
          <w:p w14:paraId="31EC03A3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图像读取、RGB 与透明度合成、crop/pad 缩放、批量张量生成</w:t>
            </w:r>
          </w:p>
        </w:tc>
        <w:tc>
          <w:tcPr>
            <w:tcW w:w="2076" w:type="dxa"/>
            <w:vAlign w:val="center"/>
          </w:tcPr>
          <w:p w14:paraId="0C640218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 个函数</w:t>
            </w:r>
          </w:p>
        </w:tc>
      </w:tr>
    </w:tbl>
    <w:p w14:paraId="662C12C8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两个子模块合计 10 个核心函数、47 条测试用例。选择该模块的理由有三：一是纯函数、结果确定，可用等值断言严格判定，是课程要求的传统测试主战场；二是它是模块二 AI 输出的唯一入口，链路衔接紧密；三是无需真值数据集与 GPU，可低成本反复回归。</w:t>
      </w:r>
    </w:p>
    <w:p w14:paraId="104F8C5D">
      <w:pPr>
        <w:pStyle w:val="2"/>
        <w:spacing w:before="240" w:after="240" w:line="312" w:lineRule="auto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2" w:name="_Toc239671768"/>
      <w:r>
        <w:rPr>
          <w:rFonts w:hint="eastAsia" w:ascii="Times New Roman" w:hAnsi="Times New Roman"/>
          <w:color w:val="auto"/>
          <w:sz w:val="24"/>
          <w:szCs w:val="24"/>
        </w:rPr>
        <w:t>2.1 测试范围</w:t>
      </w:r>
      <w:bookmarkEnd w:id="2"/>
    </w:p>
    <w:p w14:paraId="48242DD8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本次测试只覆盖模块一的确定性算法层，不涉及模型推理与可视化交互。范围按下表圈定，范围之外的内容不参与本报告的用例统计与质量结论。</w:t>
      </w:r>
    </w:p>
    <w:p w14:paraId="2E4BD381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用例设计遵循“先圈定范围、再设计用例”的原则，覆盖与不覆盖的边界如下表。</w:t>
      </w:r>
    </w:p>
    <w:p w14:paraId="0496FD61">
      <w:pPr>
        <w:ind w:firstLine="420" w:firstLineChars="200"/>
        <w:rPr>
          <w:iCs/>
          <w:color w:val="auto"/>
        </w:rPr>
      </w:pPr>
    </w:p>
    <w:tbl>
      <w:tblPr>
        <w:tblStyle w:val="10"/>
        <w:tblW w:w="8364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077CC1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E6E6E6"/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</w:rPr>
              <w:t>说明</w:t>
            </w:r>
          </w:p>
        </w:tc>
      </w:tr>
      <w:tr w14:paraId="68EBAD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2E3C28AB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geometry.py 全部 8 个坐标转换函数；load_and_preprocess_images 与 load_and_preprocess_images_square 的读取、颜色模式、缩放裁剪与补边行为</w:t>
            </w:r>
          </w:p>
        </w:tc>
      </w:tr>
      <w:tr w14:paraId="668E0E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4E28A39F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VGGT 模型加载与权重推理、Gradio 可视化交互，以及需要真值的重建精度指标（AUC、Chamfer 等）</w:t>
            </w:r>
          </w:p>
        </w:tc>
      </w:tr>
      <w:tr w14:paraId="7B205A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环境限制（无 CO3Dv2、DTU 等真值数据集，显存上限 8 GB）与优先级（AI 输出层已在模块二单独测试）</w:t>
            </w:r>
          </w:p>
        </w:tc>
      </w:tr>
    </w:tbl>
    <w:p w14:paraId="4E71393C">
      <w:pPr>
        <w:ind w:firstLine="420" w:firstLineChars="200"/>
        <w:rPr>
          <w:i/>
          <w:color w:val="auto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3" w:name="_Toc239671769"/>
      <w:r>
        <w:rPr>
          <w:rFonts w:hint="eastAsia" w:ascii="Times New Roman" w:hAnsi="Times New Roman"/>
          <w:color w:val="auto"/>
          <w:sz w:val="24"/>
          <w:szCs w:val="24"/>
        </w:rPr>
        <w:t>2.2 测试策略</w:t>
      </w:r>
      <w:bookmarkEnd w:id="3"/>
    </w:p>
    <w:p w14:paraId="7DC857BB">
      <w:pPr>
        <w:spacing w:line="312" w:lineRule="auto"/>
        <w:ind w:firstLineChars="200"/>
        <w:rPr>
          <w:color w:val="auto"/>
        </w:rPr>
      </w:pPr>
      <w:bookmarkStart w:id="4" w:name="_Toc239671770"/>
      <w:r>
        <w:rPr>
          <w:rFonts w:hint="eastAsia"/>
          <w:color w:val="auto"/>
        </w:rPr>
        <w:t>黑盒设计以等价类划分与边界值分析为主，辅以错误推测、判定表与组合覆盖：几何子模块重点覆盖函数文档声明的输入形状与数值边界（深度下界 0、eps 阈值、point_mask 判定规则等）；图像子模块重点覆盖颜色模式（RGB、RGBA、P）、缩放模式（crop、pad）与目标尺寸边界。白盒侧以被测函数的分支为覆盖目标，only_points_cam 分支、distortion_params 为 None 与零值两条路径、extra_params 反畸变分支均有对应用例。自动化统一使用 Python 标准库 unittest，不引入第三方框架；用例编号、测试函数 docstring、执行日志与缺陷编号四者互相可追溯。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hint="eastAsia" w:ascii="Times New Roman" w:hAnsi="Times New Roman"/>
          <w:color w:val="auto"/>
          <w:sz w:val="24"/>
          <w:szCs w:val="24"/>
        </w:rPr>
        <w:t>2.3 测试环境</w:t>
      </w:r>
      <w:bookmarkEnd w:id="4"/>
    </w:p>
    <w:p w14:paraId="7F9F2ACD">
      <w:pPr>
        <w:spacing w:line="312" w:lineRule="auto"/>
        <w:ind w:firstLineChars="200"/>
        <w:rPr>
          <w:color w:val="auto"/>
        </w:rPr>
      </w:pPr>
      <w:bookmarkStart w:id="5" w:name="_Toc239671771"/>
      <w:bookmarkStart w:id="6" w:name="_Toc35958953"/>
      <w:r>
        <w:rPr>
          <w:rFonts w:hint="eastAsia"/>
          <w:color w:val="auto"/>
        </w:rPr>
        <w:t>模块一的两个子模块在不同测试机与环境下完成，报告按原始记录分别列示，不合并成一套虚构配置。</w:t>
      </w:r>
    </w:p>
    <w:tbl>
      <w:tblPr>
        <w:tblStyle w:val="10"/>
        <w:tblW w:w="0" w:type="auto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074"/>
        <w:gridCol w:w="2074"/>
        <w:gridCol w:w="2073"/>
      </w:tblGrid>
      <w:tr w14:paraId="34E3AD1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E6E6E6"/>
            <w:vAlign w:val="center"/>
          </w:tcPr>
          <w:p w14:paraId="16B7245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子模块</w:t>
            </w:r>
          </w:p>
        </w:tc>
        <w:tc>
          <w:tcPr>
            <w:tcW w:w="2076" w:type="dxa"/>
            <w:shd w:val="clear" w:color="auto" w:fill="E6E6E6"/>
            <w:vAlign w:val="center"/>
          </w:tcPr>
          <w:p w14:paraId="2680DBE3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操作系统与硬件</w:t>
            </w:r>
          </w:p>
        </w:tc>
        <w:tc>
          <w:tcPr>
            <w:tcW w:w="2076" w:type="dxa"/>
            <w:shd w:val="clear" w:color="auto" w:fill="E6E6E6"/>
            <w:vAlign w:val="center"/>
          </w:tcPr>
          <w:p w14:paraId="537E03B4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软件环境</w:t>
            </w:r>
          </w:p>
        </w:tc>
        <w:tc>
          <w:tcPr>
            <w:tcW w:w="2076" w:type="dxa"/>
            <w:shd w:val="clear" w:color="auto" w:fill="E6E6E6"/>
            <w:vAlign w:val="center"/>
          </w:tcPr>
          <w:p w14:paraId="0C2D3A95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测试时间</w:t>
            </w:r>
          </w:p>
        </w:tc>
      </w:tr>
      <w:tr w14:paraId="64691E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C00ED0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2076" w:type="dxa"/>
            <w:vAlign w:val="center"/>
          </w:tcPr>
          <w:p w14:paraId="61FA080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Windows 11 家庭中文版（10.0.26100）；i7-12700H；内存 31.8 GB；RTX 3070 Laptop，驱动 32.0.16.1047</w:t>
            </w:r>
          </w:p>
        </w:tc>
        <w:tc>
          <w:tcPr>
            <w:tcW w:w="2076" w:type="dxa"/>
            <w:vAlign w:val="center"/>
          </w:tcPr>
          <w:p w14:paraId="71258403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Conda 环境 Pytorch_Vggt；Python 3.10.20；NumPy 2.2.6；PyTorch 2.8.0+cu128（CUDA 12.8）</w:t>
            </w:r>
          </w:p>
        </w:tc>
        <w:tc>
          <w:tcPr>
            <w:tcW w:w="2076" w:type="dxa"/>
            <w:vAlign w:val="center"/>
          </w:tcPr>
          <w:p w14:paraId="6E833CA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2026-09-10 至 2026-09-14</w:t>
            </w:r>
          </w:p>
        </w:tc>
      </w:tr>
      <w:tr w14:paraId="447E3D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15DA64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</w:t>
            </w:r>
          </w:p>
        </w:tc>
        <w:tc>
          <w:tcPr>
            <w:tcW w:w="2076" w:type="dxa"/>
            <w:vAlign w:val="center"/>
          </w:tcPr>
          <w:p w14:paraId="0C1FF2B8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Windows 11 专业版（另一台测试机）</w:t>
            </w:r>
          </w:p>
        </w:tc>
        <w:tc>
          <w:tcPr>
            <w:tcW w:w="2076" w:type="dxa"/>
            <w:vAlign w:val="center"/>
          </w:tcPr>
          <w:p w14:paraId="52258EC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项目自带 .venv；Python 3.12.6；unittest；PyTorch / torchvision / Pillow</w:t>
            </w:r>
          </w:p>
        </w:tc>
        <w:tc>
          <w:tcPr>
            <w:tcW w:w="2076" w:type="dxa"/>
            <w:vAlign w:val="center"/>
          </w:tcPr>
          <w:p w14:paraId="45ACE76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2026-09-11 复现；2026-09-14 复核</w:t>
            </w:r>
          </w:p>
        </w:tc>
      </w:tr>
    </w:tbl>
    <w:p w14:paraId="356D9382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测试代码的运行条件：两个子模块的测试均不加载模型权重、不使用 GPU，可直接在 CPU 上重复执行。几何子模块使用 Python 3.10.20 自带的 unittest，被测源码由外层脚本通过 PYTHONPATH 注入，未为可测性修改任何被测文件；图像子模块使用项目自带 .venv 与 unittest，并由 PowerShell 脚本提供一键入口。</w:t>
      </w:r>
    </w:p>
    <w:p w14:paraId="2E6F6A88">
      <w:pPr>
        <w:pStyle w:val="2"/>
        <w:spacing w:before="240" w:after="240" w:line="312" w:lineRule="auto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7" w:name="_Toc239671772"/>
      <w:r>
        <w:rPr>
          <w:rFonts w:hint="eastAsia" w:ascii="Times New Roman" w:hAnsi="Times New Roman"/>
          <w:color w:val="auto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03F52F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E6E6E6"/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E6E6E6"/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E6E6E6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E6E6E6"/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</w:rPr>
              <w:t>已自动化数</w:t>
            </w:r>
          </w:p>
        </w:tc>
      </w:tr>
      <w:tr w14:paraId="3BCD05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等价类划分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57.4%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27</w:t>
            </w:r>
          </w:p>
        </w:tc>
      </w:tr>
      <w:tr w14:paraId="062BE5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64D93241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边界值分析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B915A8D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11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DDEE794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23.4%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29F2AFB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11</w:t>
            </w:r>
          </w:p>
        </w:tc>
      </w:tr>
      <w:tr w14:paraId="61ABD8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2D9DAD4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组合覆盖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820317B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242D78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10.6%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523D349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5</w:t>
            </w:r>
          </w:p>
        </w:tc>
      </w:tr>
      <w:tr w14:paraId="47D381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42EDF1B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错误推测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FAD152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CFF875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4.3%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4796D3D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</w:t>
            </w:r>
          </w:p>
        </w:tc>
      </w:tr>
      <w:tr w14:paraId="11F72F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36E3711F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判定表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0F0CC5E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30B2FDE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4.3%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DA7807C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2</w:t>
            </w:r>
          </w:p>
        </w:tc>
      </w:tr>
      <w:tr w14:paraId="2C6369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47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100%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47（100%）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8" w:name="_Toc239671773"/>
      <w:r>
        <w:rPr>
          <w:rFonts w:hint="eastAsia" w:ascii="Times New Roman" w:hAnsi="Times New Roman"/>
          <w:color w:val="auto"/>
          <w:sz w:val="24"/>
          <w:szCs w:val="24"/>
        </w:rPr>
        <w:t>3.2 典型用例分析</w:t>
      </w:r>
      <w:bookmarkEnd w:id="8"/>
    </w:p>
    <w:p w14:paraId="22816876">
      <w:pPr>
        <w:spacing w:line="312" w:lineRule="auto"/>
        <w:ind w:firstLineChars="200"/>
        <w:rPr>
          <w:color w:val="auto"/>
        </w:rPr>
      </w:pPr>
      <w:bookmarkStart w:id="9" w:name="_Toc239671774"/>
      <w:r>
        <w:rPr>
          <w:rFonts w:hint="eastAsia"/>
          <w:color w:val="auto"/>
        </w:rPr>
        <w:t>针对两个子模块共选取 8 个最有代表性的用例，覆盖等价类划分、边界值分析、错误推测、判定表与组合方法，其中 M1-GEO-016 同时是暴露真实缺陷的用例。</w:t>
      </w:r>
    </w:p>
    <w:tbl>
      <w:tblPr>
        <w:tblStyle w:val="10"/>
        <w:tblW w:w="0" w:type="auto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1303"/>
        <w:gridCol w:w="2194"/>
        <w:gridCol w:w="1634"/>
        <w:gridCol w:w="1615"/>
      </w:tblGrid>
      <w:tr w14:paraId="7A8DBCD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1" w:type="dxa"/>
            <w:shd w:val="clear" w:color="auto" w:fill="E6E6E6"/>
            <w:vAlign w:val="center"/>
          </w:tcPr>
          <w:p w14:paraId="2BA48A34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编号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32F333FD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子模块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3BCA43BE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输入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6093A35D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预期输出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1564B8F4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设计依据</w:t>
            </w:r>
          </w:p>
        </w:tc>
      </w:tr>
      <w:tr w14:paraId="711C7E3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2EADF5B8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M1-GEO-002</w:t>
            </w:r>
          </w:p>
        </w:tc>
        <w:tc>
          <w:tcPr>
            <w:tcW w:w="1661" w:type="dxa"/>
            <w:vAlign w:val="center"/>
          </w:tcPr>
          <w:p w14:paraId="10ECB9B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1661" w:type="dxa"/>
            <w:vAlign w:val="center"/>
          </w:tcPr>
          <w:p w14:paraId="11072F3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2×2 深度图，主点位于右下角</w:t>
            </w:r>
          </w:p>
        </w:tc>
        <w:tc>
          <w:tcPr>
            <w:tcW w:w="1661" w:type="dxa"/>
            <w:vAlign w:val="center"/>
          </w:tcPr>
          <w:p w14:paraId="2C92DEE4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四个像素反投影坐标与手算一致，shape=(2,2,3)</w:t>
            </w:r>
          </w:p>
        </w:tc>
        <w:tc>
          <w:tcPr>
            <w:tcW w:w="1661" w:type="dxa"/>
            <w:vAlign w:val="center"/>
          </w:tcPr>
          <w:p w14:paraId="060321D2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边界值：图像四个边角</w:t>
            </w:r>
          </w:p>
        </w:tc>
      </w:tr>
      <w:tr w14:paraId="56C6246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1ECA4A5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M1-GEO-010</w:t>
            </w:r>
          </w:p>
        </w:tc>
        <w:tc>
          <w:tcPr>
            <w:tcW w:w="1661" w:type="dxa"/>
            <w:vAlign w:val="center"/>
          </w:tcPr>
          <w:p w14:paraId="008122D2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1661" w:type="dxa"/>
            <w:vAlign w:val="center"/>
          </w:tcPr>
          <w:p w14:paraId="5E872C0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SE(3) 尾部尺寸非法，shape=(1,4,3)</w:t>
            </w:r>
          </w:p>
        </w:tc>
        <w:tc>
          <w:tcPr>
            <w:tcW w:w="1661" w:type="dxa"/>
            <w:vAlign w:val="center"/>
          </w:tcPr>
          <w:p w14:paraId="35F390AD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抛出 ValueError，消息给出合法尺寸与实际 shape</w:t>
            </w:r>
          </w:p>
        </w:tc>
        <w:tc>
          <w:tcPr>
            <w:tcW w:w="1661" w:type="dxa"/>
            <w:vAlign w:val="center"/>
          </w:tcPr>
          <w:p w14:paraId="63D8074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边界值：矩阵尺寸</w:t>
            </w:r>
          </w:p>
        </w:tc>
      </w:tr>
      <w:tr w14:paraId="1268AE4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7A81EFB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M1-GEO-014</w:t>
            </w:r>
          </w:p>
        </w:tc>
        <w:tc>
          <w:tcPr>
            <w:tcW w:w="1661" w:type="dxa"/>
            <w:vAlign w:val="center"/>
          </w:tcPr>
          <w:p w14:paraId="6C380CAE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1661" w:type="dxa"/>
            <w:vAlign w:val="center"/>
          </w:tcPr>
          <w:p w14:paraId="43F5D00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深度取 0、1e-8、1.1e-8、-1.0，eps=1e-8</w:t>
            </w:r>
          </w:p>
        </w:tc>
        <w:tc>
          <w:tcPr>
            <w:tcW w:w="1661" w:type="dxa"/>
            <w:vAlign w:val="center"/>
          </w:tcPr>
          <w:p w14:paraId="18FAC05F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point_mask 仅对 depth&gt;eps 为 True</w:t>
            </w:r>
          </w:p>
        </w:tc>
        <w:tc>
          <w:tcPr>
            <w:tcW w:w="1661" w:type="dxa"/>
            <w:vAlign w:val="center"/>
          </w:tcPr>
          <w:p w14:paraId="41F489E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边界值：eps 下界、eps、eps 上界</w:t>
            </w:r>
          </w:p>
        </w:tc>
      </w:tr>
      <w:tr w14:paraId="222E31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58DFBE8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M1-GEO-016</w:t>
            </w:r>
          </w:p>
        </w:tc>
        <w:tc>
          <w:tcPr>
            <w:tcW w:w="1661" w:type="dxa"/>
            <w:vAlign w:val="center"/>
          </w:tcPr>
          <w:p w14:paraId="4A9CFE8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1661" w:type="dxa"/>
            <w:vAlign w:val="center"/>
          </w:tcPr>
          <w:p w14:paraId="524AE85E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两帧 (S,H,W) 深度图加单位内外参</w:t>
            </w:r>
          </w:p>
        </w:tc>
        <w:tc>
          <w:tcPr>
            <w:tcW w:w="1661" w:type="dxa"/>
            <w:vAlign w:val="center"/>
          </w:tcPr>
          <w:p w14:paraId="1D24ACE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 shape=(2,1,1,3)，坐标为 [0,0,1]、[0,0,2]</w:t>
            </w:r>
          </w:p>
        </w:tc>
        <w:tc>
          <w:tcPr>
            <w:tcW w:w="1661" w:type="dxa"/>
            <w:vAlign w:val="center"/>
          </w:tcPr>
          <w:p w14:paraId="0E481C8D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等价类：多帧批处理；暴露 DEF-M1-001</w:t>
            </w:r>
          </w:p>
        </w:tc>
      </w:tr>
      <w:tr w14:paraId="57D0459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1901591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M1-GEO-029</w:t>
            </w:r>
          </w:p>
        </w:tc>
        <w:tc>
          <w:tcPr>
            <w:tcW w:w="1661" w:type="dxa"/>
            <w:vAlign w:val="center"/>
          </w:tcPr>
          <w:p w14:paraId="0B48152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</w:t>
            </w:r>
          </w:p>
        </w:tc>
        <w:tc>
          <w:tcPr>
            <w:tcW w:w="1661" w:type="dxa"/>
            <w:vAlign w:val="center"/>
          </w:tcPr>
          <w:p w14:paraId="7E78E79B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only_points_cam=True，cam_intrinsics=None</w:t>
            </w:r>
          </w:p>
        </w:tc>
        <w:tc>
          <w:tcPr>
            <w:tcW w:w="1661" w:type="dxa"/>
            <w:vAlign w:val="center"/>
          </w:tcPr>
          <w:p w14:paraId="5C5A721D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image_points 为 None，cam_points 正常返回</w:t>
            </w:r>
          </w:p>
        </w:tc>
        <w:tc>
          <w:tcPr>
            <w:tcW w:w="1661" w:type="dxa"/>
            <w:vAlign w:val="center"/>
          </w:tcPr>
          <w:p w14:paraId="20DABBC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判定表：only_points_cam 分支</w:t>
            </w:r>
          </w:p>
        </w:tc>
      </w:tr>
      <w:tr w14:paraId="025375F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30C8625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TCI-02</w:t>
            </w:r>
          </w:p>
        </w:tc>
        <w:tc>
          <w:tcPr>
            <w:tcW w:w="1661" w:type="dxa"/>
            <w:vAlign w:val="center"/>
          </w:tcPr>
          <w:p w14:paraId="62E5712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</w:t>
            </w:r>
          </w:p>
        </w:tc>
        <w:tc>
          <w:tcPr>
            <w:tcW w:w="1661" w:type="dxa"/>
            <w:vAlign w:val="center"/>
          </w:tcPr>
          <w:p w14:paraId="695F7683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RGBA 全透明 PNG，pad 模式</w:t>
            </w:r>
          </w:p>
        </w:tc>
        <w:tc>
          <w:tcPr>
            <w:tcW w:w="1661" w:type="dxa"/>
            <w:vAlign w:val="center"/>
          </w:tcPr>
          <w:p w14:paraId="3BBCD7B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输出 (1,3,518,518)，透明区域合成为白色</w:t>
            </w:r>
          </w:p>
        </w:tc>
        <w:tc>
          <w:tcPr>
            <w:tcW w:w="1661" w:type="dxa"/>
            <w:vAlign w:val="center"/>
          </w:tcPr>
          <w:p w14:paraId="5583F8C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等价类：透明图片</w:t>
            </w:r>
          </w:p>
        </w:tc>
      </w:tr>
      <w:tr w14:paraId="6361FF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659301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TCI-05</w:t>
            </w:r>
          </w:p>
        </w:tc>
        <w:tc>
          <w:tcPr>
            <w:tcW w:w="1661" w:type="dxa"/>
            <w:vAlign w:val="center"/>
          </w:tcPr>
          <w:p w14:paraId="179DADF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</w:t>
            </w:r>
          </w:p>
        </w:tc>
        <w:tc>
          <w:tcPr>
            <w:tcW w:w="1661" w:type="dxa"/>
            <w:vAlign w:val="center"/>
          </w:tcPr>
          <w:p w14:paraId="5E87CB1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合法图片，非法 mode="resize"</w:t>
            </w:r>
          </w:p>
        </w:tc>
        <w:tc>
          <w:tcPr>
            <w:tcW w:w="1661" w:type="dxa"/>
            <w:vAlign w:val="center"/>
          </w:tcPr>
          <w:p w14:paraId="5B7A6053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抛出 ValueError，提示 mode 只能为 crop 或 pad</w:t>
            </w:r>
          </w:p>
        </w:tc>
        <w:tc>
          <w:tcPr>
            <w:tcW w:w="1661" w:type="dxa"/>
            <w:vAlign w:val="center"/>
          </w:tcPr>
          <w:p w14:paraId="754B8D4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等价类：无效参数</w:t>
            </w:r>
          </w:p>
        </w:tc>
      </w:tr>
      <w:tr w14:paraId="44AC083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055836D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TCI-08</w:t>
            </w:r>
          </w:p>
        </w:tc>
        <w:tc>
          <w:tcPr>
            <w:tcW w:w="1661" w:type="dxa"/>
            <w:vAlign w:val="center"/>
          </w:tcPr>
          <w:p w14:paraId="3725C66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</w:t>
            </w:r>
          </w:p>
        </w:tc>
        <w:tc>
          <w:tcPr>
            <w:tcW w:w="1661" w:type="dxa"/>
            <w:vAlign w:val="center"/>
          </w:tcPr>
          <w:p w14:paraId="71FFF884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518×14 图片，crop 模式</w:t>
            </w:r>
          </w:p>
        </w:tc>
        <w:tc>
          <w:tcPr>
            <w:tcW w:w="1661" w:type="dxa"/>
            <w:vAlign w:val="center"/>
          </w:tcPr>
          <w:p w14:paraId="77B4641A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 (1,3,14,518)</w:t>
            </w:r>
          </w:p>
        </w:tc>
        <w:tc>
          <w:tcPr>
            <w:tcW w:w="1661" w:type="dxa"/>
            <w:vAlign w:val="center"/>
          </w:tcPr>
          <w:p w14:paraId="1F4B9AC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边界值：patch_size=14 下界</w:t>
            </w:r>
          </w:p>
        </w:tc>
      </w:tr>
    </w:tbl>
    <w:p w14:paraId="222AA72F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hint="eastAsia" w:ascii="Times New Roman" w:hAnsi="Times New Roman"/>
          <w:color w:val="auto"/>
          <w:sz w:val="24"/>
          <w:szCs w:val="24"/>
        </w:rPr>
        <w:t>3.3 用例分布</w:t>
      </w:r>
      <w:bookmarkEnd w:id="9"/>
    </w:p>
    <w:p w14:paraId="5A86F916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47 条用例与需求的对应关系如下表。几何子模块按被测函数细分，图像子模块按两个函数细分。</w:t>
      </w:r>
    </w:p>
    <w:p w14:paraId="5B465074">
      <w:pPr>
        <w:spacing w:line="312" w:lineRule="auto"/>
        <w:ind w:firstLine="420"/>
        <w:rPr>
          <w:iCs/>
          <w:color w:val="auto"/>
        </w:rPr>
      </w:pPr>
    </w:p>
    <w:tbl>
      <w:tblPr>
        <w:tblStyle w:val="11"/>
        <w:tblW w:w="0" w:type="auto"/>
        <w:jc w:val="center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2896"/>
        <w:gridCol w:w="2945"/>
        <w:gridCol w:w="1727"/>
      </w:tblGrid>
      <w:tr w14:paraId="6FA3A9B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shd w:val="clear" w:color="auto" w:fill="E6E6E6"/>
            <w:vAlign w:val="center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b/>
                <w:bCs/>
                <w:iCs/>
                <w:color w:val="auto"/>
                <w:sz w:val="18"/>
                <w:szCs w:val="21"/>
              </w:rPr>
              <w:t>序号</w:t>
            </w:r>
          </w:p>
        </w:tc>
        <w:tc>
          <w:tcPr>
            <w:tcW w:w="1863" w:type="dxa"/>
            <w:shd w:val="clear" w:color="auto" w:fill="E6E6E6"/>
            <w:vAlign w:val="center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b/>
                <w:bCs/>
                <w:iCs/>
                <w:color w:val="auto"/>
                <w:sz w:val="18"/>
                <w:szCs w:val="21"/>
              </w:rPr>
              <w:t>被测模块</w:t>
            </w:r>
          </w:p>
        </w:tc>
        <w:tc>
          <w:tcPr>
            <w:tcW w:w="3518" w:type="dxa"/>
            <w:shd w:val="clear" w:color="auto" w:fill="E6E6E6"/>
            <w:vAlign w:val="center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b/>
                <w:bCs/>
                <w:iCs/>
                <w:color w:val="auto"/>
                <w:sz w:val="18"/>
                <w:szCs w:val="21"/>
              </w:rPr>
              <w:t>需求简述</w:t>
            </w:r>
          </w:p>
        </w:tc>
        <w:tc>
          <w:tcPr>
            <w:tcW w:w="2089" w:type="dxa"/>
            <w:shd w:val="clear" w:color="auto" w:fill="E6E6E6"/>
            <w:vAlign w:val="center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b/>
                <w:bCs/>
                <w:iCs/>
                <w:color w:val="auto"/>
                <w:sz w:val="18"/>
                <w:szCs w:val="21"/>
              </w:rPr>
              <w:t>测试用例数量</w:t>
            </w:r>
          </w:p>
        </w:tc>
      </w:tr>
      <w:tr w14:paraId="7A8C781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0F70AA51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1</w:t>
            </w:r>
          </w:p>
        </w:tc>
        <w:tc>
          <w:tcPr>
            <w:tcW w:w="1863" w:type="dxa"/>
            <w:vAlign w:val="center"/>
          </w:tcPr>
          <w:p w14:paraId="7042924E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几何坐标转换</w:t>
            </w:r>
          </w:p>
        </w:tc>
        <w:tc>
          <w:tcPr>
            <w:tcW w:w="3518" w:type="dxa"/>
            <w:vAlign w:val="center"/>
          </w:tcPr>
          <w:p w14:paraId="354841DA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8 个函数的深度反投影、SE(3) 求逆与坐标互转</w:t>
            </w:r>
          </w:p>
        </w:tc>
        <w:tc>
          <w:tcPr>
            <w:tcW w:w="2089" w:type="dxa"/>
            <w:vAlign w:val="center"/>
          </w:tcPr>
          <w:p w14:paraId="44F3B2F8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32</w:t>
            </w:r>
          </w:p>
        </w:tc>
      </w:tr>
      <w:tr w14:paraId="04C72F3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36A2CBF2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2</w:t>
            </w:r>
          </w:p>
        </w:tc>
        <w:tc>
          <w:tcPr>
            <w:tcW w:w="1863" w:type="dxa"/>
            <w:vAlign w:val="center"/>
          </w:tcPr>
          <w:p w14:paraId="30DB9ECC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load_and_preprocess_images</w:t>
            </w:r>
          </w:p>
        </w:tc>
        <w:tc>
          <w:tcPr>
            <w:tcW w:w="3518" w:type="dxa"/>
            <w:vAlign w:val="center"/>
          </w:tcPr>
          <w:p w14:paraId="2BBBCC4E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读取、颜色模式转换、crop/pad 缩放与批量张量</w:t>
            </w:r>
          </w:p>
        </w:tc>
        <w:tc>
          <w:tcPr>
            <w:tcW w:w="2089" w:type="dxa"/>
            <w:vAlign w:val="center"/>
          </w:tcPr>
          <w:p w14:paraId="1546C12A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8</w:t>
            </w:r>
          </w:p>
        </w:tc>
      </w:tr>
      <w:tr w14:paraId="1FB31CD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2A7AE7B3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3</w:t>
            </w:r>
          </w:p>
        </w:tc>
        <w:tc>
          <w:tcPr>
            <w:tcW w:w="1863" w:type="dxa"/>
            <w:vAlign w:val="center"/>
          </w:tcPr>
          <w:p w14:paraId="67D97537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load_and_preprocess_images_square</w:t>
            </w:r>
          </w:p>
        </w:tc>
        <w:tc>
          <w:tcPr>
            <w:tcW w:w="3518" w:type="dxa"/>
            <w:vAlign w:val="center"/>
          </w:tcPr>
          <w:p w14:paraId="5B0A2FF7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居中补正方形缩放与坐标返回</w:t>
            </w:r>
          </w:p>
        </w:tc>
        <w:tc>
          <w:tcPr>
            <w:tcW w:w="2089" w:type="dxa"/>
            <w:vAlign w:val="center"/>
          </w:tcPr>
          <w:p w14:paraId="30DA6336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7</w:t>
            </w:r>
          </w:p>
        </w:tc>
      </w:tr>
      <w:tr w14:paraId="0CFFEFA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169B2396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合计</w:t>
            </w:r>
          </w:p>
        </w:tc>
        <w:tc>
          <w:tcPr>
            <w:tcW w:w="1863" w:type="dxa"/>
            <w:vAlign w:val="center"/>
          </w:tcPr>
          <w:p w14:paraId="58B0F441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模块一（10 个核心函数）</w:t>
            </w:r>
          </w:p>
        </w:tc>
        <w:tc>
          <w:tcPr>
            <w:tcW w:w="3518" w:type="dxa"/>
            <w:vAlign w:val="center"/>
          </w:tcPr>
          <w:p w14:paraId="64F45425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——</w:t>
            </w:r>
          </w:p>
        </w:tc>
        <w:tc>
          <w:tcPr>
            <w:tcW w:w="2089" w:type="dxa"/>
            <w:vAlign w:val="center"/>
          </w:tcPr>
          <w:p w14:paraId="17973563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47</w:t>
            </w:r>
          </w:p>
        </w:tc>
      </w:tr>
    </w:tbl>
    <w:p w14:paraId="0CCE0720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0" w:name="_Toc239671775"/>
      <w:r>
        <w:rPr>
          <w:rFonts w:hint="eastAsia"/>
          <w:color w:val="auto"/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1" w:name="_Toc239671776"/>
      <w:r>
        <w:rPr>
          <w:rFonts w:hint="eastAsia" w:ascii="Times New Roman" w:hAnsi="Times New Roman"/>
          <w:color w:val="auto"/>
          <w:sz w:val="24"/>
          <w:szCs w:val="24"/>
        </w:rPr>
        <w:t>4.1 测试框架与架构</w:t>
      </w:r>
      <w:bookmarkEnd w:id="11"/>
    </w:p>
    <w:p w14:paraId="0A7D9B6E">
      <w:pPr>
        <w:spacing w:line="312" w:lineRule="auto"/>
        <w:ind w:firstLineChars="200"/>
        <w:rPr>
          <w:color w:val="auto"/>
        </w:rPr>
      </w:pPr>
      <w:bookmarkStart w:id="12" w:name="_Toc239671777"/>
      <w:r>
        <w:rPr>
          <w:rFonts w:hint="eastAsia"/>
          <w:color w:val="auto"/>
        </w:rPr>
        <w:t>测试框架：两个子模块统一使用 Python 标准库 unittest，不引入 pytest 等第三方框架；几何子模块另由 tests/junit_report.py 生成 JUnit XML 与 UTF-8 日志。</w:t>
      </w:r>
    </w:p>
    <w:p w14:paraId="2FFE67AF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项目结构：几何子模块位于 tests/module1_coordinate/，其中 common.py 提供共享断言与夹具（容差 atol=1e-6），8 个 test_m1_geo_*.py 按被测函数分组；tests/junit_report.py 执行一次并同时产出日志与 JUnit XML。图像子模块位于 image_test_module1/，两个被测函数各含 test_equivalence.py 与 test_boundary.py，defect_tests/ 保存三个缺陷的修复前证据与修复后验证脚本。一键入口为 run_tests.ps1（几何子模块，33 条）与 image_test_module1/run_tests.ps1（图像子模块，15 条）。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hint="eastAsia" w:ascii="Times New Roman" w:hAnsi="Times New Roman"/>
          <w:color w:val="auto"/>
          <w:sz w:val="24"/>
          <w:szCs w:val="24"/>
        </w:rPr>
        <w:t>4.2 关键实现说明</w:t>
      </w:r>
      <w:bookmarkEnd w:id="12"/>
    </w:p>
    <w:p w14:paraId="65D88397">
      <w:pPr>
        <w:spacing w:line="312" w:lineRule="auto"/>
        <w:ind w:firstLineChars="200"/>
        <w:rPr>
          <w:color w:val="auto"/>
        </w:rPr>
      </w:pPr>
      <w:bookmarkStart w:id="13" w:name="_Toc239671778"/>
      <w:r>
        <w:rPr>
          <w:rFonts w:hint="eastAsia"/>
          <w:color w:val="auto"/>
        </w:rPr>
        <w:t>自动化脚本的核心设计思路有四：一是按被测函数分文件，文件名直接编码用例号区间（如 test_m1_geo_016_019_unproject.py），使用例编号可反向定位到代码；二是把共享夹具与断言收敛在 common.py，浮点比较统一使用 atol=1e-6，避免每条用例各写一套；三是不为可测性修改被测源码——vggt-main 的导入路径由外层脚本通过 PYTHONPATH 注入，且明确禁止导入 demo_gradio_cn.py（该脚本导入即加载模型权重并启动 Gradio 服务）；四是按预期结果断言：暴露缺陷的用例断言的是函数文档承诺的行为，因此缺陷修复前必然失败、修复后自动转为通过，无需改动用例。</w:t>
      </w:r>
    </w:p>
    <w:p w14:paraId="7FCC9573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以下片段取自 M1-GEO-016，体现“准备最小输入—调用被测函数—按文档承诺断言形状与数值”的组织方式：</w:t>
      </w:r>
    </w:p>
    <w:p w14:paraId="7FCC9575">
      <w:pPr>
        <w:spacing w:line="312" w:lineRule="auto"/>
        <w:ind w:firstLineChars="0"/>
        <w:jc w:val="left"/>
        <w:rPr>
          <w:color w:val="auto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>class TestUnprojectDepthMapToPointMap(CoordinateTestCase):</w:t>
      </w:r>
    </w:p>
    <w:p w14:paraId="7FCC9576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def test_m1_geo_016_two_frame_batch(self):</w:t>
      </w:r>
    </w:p>
    <w:p w14:paraId="7FCC9577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hint="eastAsia" w:ascii="Consolas" w:hAnsi="Consolas" w:eastAsia="Consolas" w:cs="Consolas"/>
          <w:color w:val="auto"/>
          <w:kern w:val="2"/>
          <w:sz w:val="19"/>
          <w:szCs w:val="24"/>
        </w:rPr>
        <w:t xml:space="preserve">        """M1-GEO-016: 两帧 (S,H,W) 深度图批量反投影 —— 暴露 DEF-M1-001。"""</w:t>
      </w:r>
    </w:p>
    <w:p w14:paraId="7FCC9578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depth_map = np.array([[[1.0]], [[2.0]]])</w:t>
      </w:r>
    </w:p>
    <w:p w14:paraId="7FCC9579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intrinsics = np.array([np.eye(3)] * 2)</w:t>
      </w:r>
    </w:p>
    <w:p w14:paraId="7FCC957A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extrinsics = np.array([np.hstack([np.eye(3), np.zeros((3, 1))])] * 2)</w:t>
      </w:r>
    </w:p>
    <w:p w14:paraId="7FCC957B">
      <w:pPr>
        <w:rPr>
          <w:color w:val="auto"/>
        </w:rPr>
      </w:pPr>
    </w:p>
    <w:p w14:paraId="7FCC957C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result = unproject_depth_map_to_point_map(depth_map, extrinsics, intrinsics)</w:t>
      </w:r>
    </w:p>
    <w:p w14:paraId="7FCC957D">
      <w:pPr>
        <w:rPr>
          <w:color w:val="auto"/>
        </w:rPr>
      </w:pPr>
    </w:p>
    <w:p w14:paraId="7FCC957E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self.assertEqual(result.shape, (2, 1, 1, 3))</w:t>
      </w:r>
    </w:p>
    <w:p w14:paraId="7FCC957F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self.assertArrayAlmostEqual(result[0, 0, 0], [0.0, 0.0, 1.0])</w:t>
      </w:r>
    </w:p>
    <w:p w14:paraId="7FCC9580">
      <w:pPr>
        <w:spacing w:line="312" w:lineRule="auto"/>
        <w:ind w:firstLineChars="0"/>
        <w:jc w:val="left"/>
        <w:rPr>
          <w:color w:val="auto"/>
          <w:kern w:val="2"/>
          <w:sz w:val="21"/>
          <w:szCs w:val="24"/>
        </w:rPr>
      </w:pPr>
      <w:r>
        <w:rPr>
          <w:rFonts w:ascii="Consolas" w:hAnsi="Consolas" w:eastAsia="Consolas" w:cs="Consolas"/>
          <w:color w:val="auto"/>
          <w:kern w:val="2"/>
          <w:sz w:val="19"/>
          <w:szCs w:val="24"/>
        </w:rPr>
        <w:t xml:space="preserve">        self.assertArrayAlmostEqual(result[1, 0, 0], [0.0, 0.0, 2.0])</w:t>
      </w:r>
    </w:p>
    <w:p w14:paraId="7FCC9581">
      <w:pPr>
        <w:rPr>
          <w:color w:val="auto"/>
        </w:rPr>
      </w:pPr>
    </w:p>
    <w:p w14:paraId="7FCC9582">
      <w:pPr>
        <w:spacing w:line="312" w:lineRule="auto"/>
        <w:ind w:firstLineChars="200"/>
        <w:rPr>
          <w:color w:val="auto"/>
          <w:kern w:val="2"/>
          <w:sz w:val="21"/>
          <w:szCs w:val="24"/>
        </w:rPr>
      </w:pPr>
      <w:r>
        <w:rPr>
          <w:rFonts w:hint="eastAsia"/>
          <w:color w:val="auto"/>
          <w:kern w:val="2"/>
          <w:sz w:val="21"/>
          <w:szCs w:val="24"/>
        </w:rPr>
        <w:t>图像子模块的缺陷专项脚本采用同样的断言机制，每个缺陷设置 3 条检查（1 条对照加 2 条缺陷期望行为），并分别保留修复前 reproduction.txt 与修复后 fix_verification.txt，用于证明缺陷从复现到修复的完整闭环。</w:t>
      </w:r>
    </w:p>
    <w:p w14:paraId="7FCC9574">
      <w:pPr>
        <w:rPr>
          <w:color w:val="auto"/>
          <w:kern w:val="2"/>
          <w:sz w:val="21"/>
          <w:szCs w:val="24"/>
        </w:rPr>
      </w:pPr>
    </w:p>
    <w:p w14:paraId="2F230887">
      <w:pPr>
        <w:pStyle w:val="2"/>
        <w:spacing w:before="240" w:after="240" w:line="312" w:lineRule="auto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jc w:val="left"/>
        <w:rPr>
          <w:rFonts w:ascii="Times New Roman" w:hAnsi="Times New Roman"/>
          <w:color w:val="auto"/>
          <w:sz w:val="24"/>
          <w:szCs w:val="24"/>
        </w:rPr>
      </w:pPr>
      <w:bookmarkStart w:id="14" w:name="_Toc239671779"/>
      <w:bookmarkStart w:id="15" w:name="_Toc35958955"/>
      <w:r>
        <w:rPr>
          <w:rFonts w:hint="eastAsia" w:ascii="Times New Roman" w:hAnsi="Times New Roman"/>
          <w:color w:val="auto"/>
          <w:sz w:val="24"/>
          <w:szCs w:val="24"/>
        </w:rPr>
        <w:t>5.1 执行结果</w:t>
      </w:r>
      <w:bookmarkEnd w:id="14"/>
    </w:p>
    <w:p w14:paraId="02020B5E">
      <w:pPr>
        <w:spacing w:line="312" w:lineRule="auto"/>
        <w:ind w:firstLineChars="200"/>
        <w:rPr>
          <w:color w:val="auto"/>
        </w:rPr>
      </w:pPr>
      <w:bookmarkStart w:id="16" w:name="_Toc239671780"/>
      <w:r>
        <w:rPr>
          <w:rFonts w:hint="eastAsia"/>
          <w:color w:val="auto"/>
        </w:rPr>
        <w:t>模块一 47 条正式用例已全部执行完毕。几何子模块 32 条正式用例由 33 条自动化用例覆盖（M1-GEO-019 另含 1 条对照），本次执行 31 条通过、2 条失败，自动化执行通过率 93.9%；按正式用例统计为 30 条通过、2 条失败，通过率 93.75%。图像子模块 15 条常规用例 15/15 通过，另有 9 条缺陷专项检查 9/9 通过。两处失败（M1-GEO-016 与 M1-GEO-018）同源，均指向尚未修复的 DEF-M1-001。</w:t>
      </w:r>
    </w:p>
    <w:tbl>
      <w:tblPr>
        <w:tblStyle w:val="10"/>
        <w:tblW w:w="0" w:type="auto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1381"/>
        <w:gridCol w:w="1382"/>
        <w:gridCol w:w="1382"/>
        <w:gridCol w:w="1382"/>
        <w:gridCol w:w="1384"/>
      </w:tblGrid>
      <w:tr w14:paraId="5A94DA9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384" w:type="dxa"/>
            <w:shd w:val="clear" w:color="auto" w:fill="E6E6E6"/>
            <w:vAlign w:val="center"/>
          </w:tcPr>
          <w:p w14:paraId="095D6B1F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范围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55E29BAB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计划用例数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2263B836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本次执行数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294BDA04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通过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10B47C02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失败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1790D208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结论</w:t>
            </w:r>
          </w:p>
        </w:tc>
      </w:tr>
      <w:tr w14:paraId="6A37AF5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4659E63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几何坐标转换（几何子模块）</w:t>
            </w:r>
          </w:p>
        </w:tc>
        <w:tc>
          <w:tcPr>
            <w:tcW w:w="1384" w:type="dxa"/>
            <w:vAlign w:val="center"/>
          </w:tcPr>
          <w:p w14:paraId="7B49382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384" w:type="dxa"/>
            <w:vAlign w:val="center"/>
          </w:tcPr>
          <w:p w14:paraId="6294DED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33</w:t>
            </w:r>
          </w:p>
        </w:tc>
        <w:tc>
          <w:tcPr>
            <w:tcW w:w="1384" w:type="dxa"/>
            <w:vAlign w:val="center"/>
          </w:tcPr>
          <w:p w14:paraId="69B07CD5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31</w:t>
            </w:r>
          </w:p>
        </w:tc>
        <w:tc>
          <w:tcPr>
            <w:tcW w:w="1384" w:type="dxa"/>
            <w:vAlign w:val="center"/>
          </w:tcPr>
          <w:p w14:paraId="4F1FC74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384" w:type="dxa"/>
            <w:vAlign w:val="center"/>
          </w:tcPr>
          <w:p w14:paraId="4BA2F61B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正式用例 30 通过、2 失败；失败同源于 DEF-M1-001</w:t>
            </w:r>
          </w:p>
        </w:tc>
      </w:tr>
      <w:tr w14:paraId="56385C8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43B257B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图像加载与预处理（图像子模块）</w:t>
            </w:r>
          </w:p>
        </w:tc>
        <w:tc>
          <w:tcPr>
            <w:tcW w:w="1384" w:type="dxa"/>
            <w:vAlign w:val="center"/>
          </w:tcPr>
          <w:p w14:paraId="4D14F535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1384" w:type="dxa"/>
            <w:vAlign w:val="center"/>
          </w:tcPr>
          <w:p w14:paraId="45F05AF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1384" w:type="dxa"/>
            <w:vAlign w:val="center"/>
          </w:tcPr>
          <w:p w14:paraId="5ED53B2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1384" w:type="dxa"/>
            <w:vAlign w:val="center"/>
          </w:tcPr>
          <w:p w14:paraId="3971CA6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1384" w:type="dxa"/>
            <w:vAlign w:val="center"/>
          </w:tcPr>
          <w:p w14:paraId="4214F2B5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2026-09-14 复核 Ran 15 tests OK</w:t>
            </w:r>
          </w:p>
        </w:tc>
      </w:tr>
      <w:tr w14:paraId="13F7DA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20E0A2D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正式用例合计</w:t>
            </w:r>
          </w:p>
        </w:tc>
        <w:tc>
          <w:tcPr>
            <w:tcW w:w="1384" w:type="dxa"/>
            <w:vAlign w:val="center"/>
          </w:tcPr>
          <w:p w14:paraId="4B2D95E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47</w:t>
            </w:r>
          </w:p>
        </w:tc>
        <w:tc>
          <w:tcPr>
            <w:tcW w:w="1384" w:type="dxa"/>
            <w:vAlign w:val="center"/>
          </w:tcPr>
          <w:p w14:paraId="43C9662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384" w:type="dxa"/>
            <w:vAlign w:val="center"/>
          </w:tcPr>
          <w:p w14:paraId="5CECD07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46</w:t>
            </w:r>
          </w:p>
        </w:tc>
        <w:tc>
          <w:tcPr>
            <w:tcW w:w="1384" w:type="dxa"/>
            <w:vAlign w:val="center"/>
          </w:tcPr>
          <w:p w14:paraId="375B2EB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384" w:type="dxa"/>
            <w:vAlign w:val="center"/>
          </w:tcPr>
          <w:p w14:paraId="4E5AA71F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正式用例通过率 45/47 = 95.7%</w:t>
            </w:r>
          </w:p>
        </w:tc>
      </w:tr>
      <w:tr w14:paraId="0B4FC35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CCF1EB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缺陷专项检查（不重复计入用例数）</w:t>
            </w:r>
          </w:p>
        </w:tc>
        <w:tc>
          <w:tcPr>
            <w:tcW w:w="1384" w:type="dxa"/>
            <w:vAlign w:val="center"/>
          </w:tcPr>
          <w:p w14:paraId="419E0D5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另计 9</w:t>
            </w:r>
          </w:p>
        </w:tc>
        <w:tc>
          <w:tcPr>
            <w:tcW w:w="1384" w:type="dxa"/>
            <w:vAlign w:val="center"/>
          </w:tcPr>
          <w:p w14:paraId="3C27E5C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1384" w:type="dxa"/>
            <w:vAlign w:val="center"/>
          </w:tcPr>
          <w:p w14:paraId="174F31F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1384" w:type="dxa"/>
            <w:vAlign w:val="center"/>
          </w:tcPr>
          <w:p w14:paraId="719045C8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1384" w:type="dxa"/>
            <w:vAlign w:val="center"/>
          </w:tcPr>
          <w:p w14:paraId="0F823325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3 个缺陷各 3 条检查，全部通过</w:t>
            </w:r>
          </w:p>
        </w:tc>
      </w:tr>
    </w:tbl>
    <w:p w14:paraId="09F14A9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hint="eastAsia" w:ascii="Times New Roman" w:hAnsi="Times New Roman"/>
          <w:color w:val="auto"/>
          <w:sz w:val="24"/>
          <w:szCs w:val="24"/>
        </w:rPr>
        <w:t>5.2 缺陷摘要</w:t>
      </w:r>
      <w:bookmarkEnd w:id="16"/>
    </w:p>
    <w:p w14:paraId="5FCB7004">
      <w:pPr>
        <w:spacing w:line="312" w:lineRule="auto"/>
        <w:ind w:firstLineChars="200"/>
        <w:rPr>
          <w:color w:val="auto"/>
        </w:rPr>
      </w:pPr>
      <w:bookmarkStart w:id="17" w:name="_Toc239671781"/>
      <w:r>
        <w:rPr>
          <w:rFonts w:hint="eastAsia"/>
          <w:color w:val="auto"/>
        </w:rPr>
        <w:t>模块一共登记 4 个有效缺陷：几何子模块 1 个（高严重度、尚未修复），图像子模块 3 个（均已修复并通过专项复测）。各缺陷的表现形式、严重程度、发现方式与当前状态如下表。</w:t>
      </w:r>
    </w:p>
    <w:tbl>
      <w:tblPr>
        <w:tblStyle w:val="10"/>
        <w:tblW w:w="0" w:type="auto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1"/>
        <w:gridCol w:w="3133"/>
        <w:gridCol w:w="1050"/>
        <w:gridCol w:w="1467"/>
        <w:gridCol w:w="1141"/>
      </w:tblGrid>
      <w:tr w14:paraId="6F85F0E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1" w:type="dxa"/>
            <w:shd w:val="clear" w:color="auto" w:fill="E6E6E6"/>
            <w:vAlign w:val="center"/>
          </w:tcPr>
          <w:p w14:paraId="14021D0B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缺陷编号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0430F5BF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表现形式与影响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5949729C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严重程度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6F9DEAE5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发现方式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24CD4457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当前状态</w:t>
            </w:r>
          </w:p>
        </w:tc>
      </w:tr>
      <w:tr w14:paraId="2032BE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2DF7A3D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DEF-M1-001</w:t>
            </w:r>
          </w:p>
        </w:tc>
        <w:tc>
          <w:tcPr>
            <w:tcW w:w="1661" w:type="dxa"/>
            <w:vAlign w:val="center"/>
          </w:tcPr>
          <w:p w14:paraId="376FA8C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unproject_depth_map_to_point_map 对文档声明的 (S,H,W) 三维深度图全部失败（ValueError 解包错误），仅四维输入可用</w:t>
            </w:r>
          </w:p>
        </w:tc>
        <w:tc>
          <w:tcPr>
            <w:tcW w:w="1661" w:type="dxa"/>
            <w:vAlign w:val="center"/>
          </w:tcPr>
          <w:p w14:paraId="12C7FE4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  <w:tc>
          <w:tcPr>
            <w:tcW w:w="1661" w:type="dxa"/>
            <w:vAlign w:val="center"/>
          </w:tcPr>
          <w:p w14:paraId="40E3B01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自动化用例 M1-GEO-016 与 M1-GEO-018 失败，另经手工最小输入复现</w:t>
            </w:r>
          </w:p>
        </w:tc>
        <w:tc>
          <w:tcPr>
            <w:tcW w:w="1661" w:type="dxa"/>
            <w:vAlign w:val="center"/>
          </w:tcPr>
          <w:p w14:paraId="2D902A22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已确认，待修复与复测</w:t>
            </w:r>
          </w:p>
        </w:tc>
      </w:tr>
      <w:tr w14:paraId="08D9DD3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72905D35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DEF-IMG-001</w:t>
            </w:r>
          </w:p>
        </w:tc>
        <w:tc>
          <w:tcPr>
            <w:tcW w:w="1661" w:type="dxa"/>
            <w:vAlign w:val="center"/>
          </w:tcPr>
          <w:p w14:paraId="5B5B4E8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极端宽高比图片按 patch_size=14 对齐时非零短边被四舍五入为 0，crop 模式崩溃</w:t>
            </w:r>
          </w:p>
        </w:tc>
        <w:tc>
          <w:tcPr>
            <w:tcW w:w="1661" w:type="dxa"/>
            <w:vAlign w:val="center"/>
          </w:tcPr>
          <w:p w14:paraId="343B570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  <w:tc>
          <w:tcPr>
            <w:tcW w:w="1661" w:type="dxa"/>
            <w:vAlign w:val="center"/>
          </w:tcPr>
          <w:p w14:paraId="193905E4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自动化专项 3 条加常规回归</w:t>
            </w:r>
          </w:p>
        </w:tc>
        <w:tc>
          <w:tcPr>
            <w:tcW w:w="1661" w:type="dxa"/>
            <w:vAlign w:val="center"/>
          </w:tcPr>
          <w:p w14:paraId="27E5F87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已修复，复测通过</w:t>
            </w:r>
          </w:p>
        </w:tc>
      </w:tr>
      <w:tr w14:paraId="3B76498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4CE6AB4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DEF-IMG-002</w:t>
            </w:r>
          </w:p>
        </w:tc>
        <w:tc>
          <w:tcPr>
            <w:tcW w:w="1661" w:type="dxa"/>
            <w:vAlign w:val="center"/>
          </w:tcPr>
          <w:p w14:paraId="196BC1BA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未应用 JPEG EXIF 方向，Orientation=6 的竖图被当作横图，输出形状错误</w:t>
            </w:r>
          </w:p>
        </w:tc>
        <w:tc>
          <w:tcPr>
            <w:tcW w:w="1661" w:type="dxa"/>
            <w:vAlign w:val="center"/>
          </w:tcPr>
          <w:p w14:paraId="73CBD47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tcPr>
            <w:tcW w:w="1661" w:type="dxa"/>
            <w:vAlign w:val="center"/>
          </w:tcPr>
          <w:p w14:paraId="3E5ADEE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自动化专项 3 条</w:t>
            </w:r>
          </w:p>
        </w:tc>
        <w:tc>
          <w:tcPr>
            <w:tcW w:w="1661" w:type="dxa"/>
            <w:vAlign w:val="center"/>
          </w:tcPr>
          <w:p w14:paraId="4CCDEFB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已修复，复测通过</w:t>
            </w:r>
          </w:p>
        </w:tc>
      </w:tr>
      <w:tr w14:paraId="7B9495A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15DF5F4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DEF-IMG-003</w:t>
            </w:r>
          </w:p>
        </w:tc>
        <w:tc>
          <w:tcPr>
            <w:tcW w:w="1661" w:type="dxa"/>
            <w:vAlign w:val="center"/>
          </w:tcPr>
          <w:p w14:paraId="5D5BEB7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P 模式 PNG 的 transparency 未参与合成，全透明像素退化为调色板颜色而非白色</w:t>
            </w:r>
          </w:p>
        </w:tc>
        <w:tc>
          <w:tcPr>
            <w:tcW w:w="1661" w:type="dxa"/>
            <w:vAlign w:val="center"/>
          </w:tcPr>
          <w:p w14:paraId="3630333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  <w:tc>
          <w:tcPr>
            <w:tcW w:w="1661" w:type="dxa"/>
            <w:vAlign w:val="center"/>
          </w:tcPr>
          <w:p w14:paraId="624CBC5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自动化专项 3 条</w:t>
            </w:r>
          </w:p>
        </w:tc>
        <w:tc>
          <w:tcPr>
            <w:tcW w:w="1661" w:type="dxa"/>
            <w:vAlign w:val="center"/>
          </w:tcPr>
          <w:p w14:paraId="339032FD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已修复，复测通过</w:t>
            </w:r>
          </w:p>
        </w:tc>
      </w:tr>
    </w:tbl>
    <w:p w14:paraId="119CF715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hint="eastAsia" w:ascii="Times New Roman" w:hAnsi="Times New Roman"/>
          <w:color w:val="auto"/>
          <w:sz w:val="24"/>
          <w:szCs w:val="24"/>
        </w:rPr>
        <w:t>5.3 典型缺陷根因分析</w:t>
      </w:r>
      <w:bookmarkEnd w:id="17"/>
    </w:p>
    <w:p w14:paraId="5B8FC030">
      <w:pPr>
        <w:spacing w:line="312" w:lineRule="auto"/>
        <w:ind w:firstLineChars="200"/>
        <w:rPr>
          <w:color w:val="auto"/>
        </w:rPr>
      </w:pPr>
      <w:bookmarkStart w:id="18" w:name="_Toc239671782"/>
      <w:r>
        <w:rPr>
          <w:rFonts w:hint="eastAsia"/>
          <w:color w:val="auto"/>
        </w:rPr>
        <w:t>本节从 4 个已登记缺陷中选取 3 个最有代表性的，描述从发现到定位、修复到复测的完整闭环；其余 1 个（DEF-IMG-003）的完整记录见《VGGT 模块一缺陷报告》。</w:t>
      </w:r>
    </w:p>
    <w:p w14:paraId="49227349">
      <w:pPr>
        <w:spacing w:line="312" w:lineRule="auto"/>
        <w:ind w:firstLineChars="200"/>
        <w:rPr>
          <w:color w:val="auto"/>
        </w:rPr>
      </w:pPr>
      <w:r>
        <w:rPr>
          <w:rFonts w:hint="eastAsia"/>
          <w:b/>
          <w:color w:val="auto"/>
        </w:rPr>
        <w:t>DEF-M1-001（几何坐标转换，高，未修复）</w:t>
      </w:r>
      <w:r>
        <w:rPr>
          <w:rFonts w:hint="eastAsia"/>
          <w:color w:val="auto"/>
        </w:rPr>
        <w:t xml:space="preserve"> 发现于自动化用例 M1-GEO-016：两帧 (S,H,W) 深度图反投影抛出 ValueError: not enough values to unpack (expected 2, got 1)。定位到 geometry.py:98 —— 每帧无条件执行 depth_map[frame_idx].squeeze(-1)：当 W=1 时 squeeze 会删掉宽度维，单帧数据由二维退化为一维，随后 H, W = depth_map.shape 解包失败；当 W&gt;1 时末维不是 1，NumPy 直接拒绝 squeeze。因此函数文档声明支持的全部 (S,H,W) 输入都会失败，而四维 (S,H,W,1) 对照输入正常。当前规避方式为调用方在三维深度图末尾补一个通道维；正确修复应仅在末维确实为 1 时删除该维。缺陷状态为“已确认，待修复与复测”。</w:t>
      </w:r>
    </w:p>
    <w:p w14:paraId="3F1EB713">
      <w:pPr>
        <w:spacing w:line="312" w:lineRule="auto"/>
        <w:ind w:firstLineChars="200"/>
        <w:rPr>
          <w:color w:val="auto"/>
        </w:rPr>
      </w:pPr>
      <w:r>
        <w:rPr>
          <w:rFonts w:hint="eastAsia"/>
          <w:b/>
          <w:color w:val="auto"/>
        </w:rPr>
        <w:t>DEF-IMG-001（图像加载与预处理，高，已修复）</w:t>
      </w:r>
      <w:r>
        <w:rPr>
          <w:rFonts w:hint="eastAsia"/>
          <w:color w:val="auto"/>
        </w:rPr>
        <w:t xml:space="preserve"> 现象为极端宽高比图片（如 518×1）在 crop 模式下按 patch_size=14 对齐时，非零短边被四舍五入为 0，图像尺寸非法导致缩放崩溃。修复在对齐计算后补上不小于 patch_size 的下限，保证有效图片短边不退化。验证方式为 3 条专项检查（含一条 518×14 对照用例锁定原有下界不回退）：修复前 2 条失败，修复后 3/3 通过。</w:t>
      </w:r>
    </w:p>
    <w:p w14:paraId="51BF1F1A">
      <w:pPr>
        <w:spacing w:line="312" w:lineRule="auto"/>
        <w:ind w:firstLineChars="200"/>
        <w:rPr>
          <w:color w:val="auto"/>
        </w:rPr>
      </w:pPr>
      <w:r>
        <w:rPr>
          <w:rFonts w:hint="eastAsia"/>
          <w:b/>
          <w:color w:val="auto"/>
        </w:rPr>
        <w:t>DEF-IMG-002（图像加载与预处理，中，已修复）</w:t>
      </w:r>
      <w:r>
        <w:rPr>
          <w:rFonts w:hint="eastAsia"/>
          <w:color w:val="auto"/>
        </w:rPr>
        <w:t xml:space="preserve"> 现象为未应用 JPEG EXIF 显示方向：Orientation=6 的竖构图图片被误作横图处理，标准加载函数输出形状由预期的 (1,3,518,518) 变为 (1,3,252,518)，方图加载函数返回的区域坐标也随之错误（实测 [[0,35,140,105,40,20]]）。根因是代码在应用 EXIF 方向之前就读取了存储尺寸。修复将方向校正统一放入两个公开加载函数共用的预处理入口，并以“无方向标记的横图保持横构图”作为对照，避免过度旋转。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5.4 </w:t>
      </w:r>
      <w:r>
        <w:rPr>
          <w:rFonts w:hint="eastAsia" w:ascii="Times New Roman" w:hAnsi="Times New Roman"/>
          <w:color w:val="auto"/>
          <w:sz w:val="24"/>
          <w:szCs w:val="24"/>
        </w:rPr>
        <w:t>质量评估结论</w:t>
      </w:r>
      <w:bookmarkEnd w:id="18"/>
    </w:p>
    <w:p w14:paraId="4D6203FD">
      <w:pPr>
        <w:spacing w:line="312" w:lineRule="auto"/>
        <w:ind w:firstLineChars="200"/>
        <w:rPr>
          <w:color w:val="auto"/>
        </w:rPr>
      </w:pPr>
      <w:bookmarkStart w:id="19" w:name="_Toc239671783"/>
      <w:r>
        <w:rPr>
          <w:rFonts w:hint="eastAsia"/>
          <w:color w:val="auto"/>
        </w:rPr>
        <w:t>模块一在课程要求的数量性门槛上全部达标：正式用例 47 条（不少于 30 条）；覆盖等价类划分、边界值分析、错误推测、判定表与组合覆盖 5 种设计方法（不少于 2 种）；47 条用例全部实现自动化，自动化率 100%（不少于 24 条且不低于 80%）；有效缺陷 4 个，其中 3 个已完成修复并通过专项复测（9/9 通过），满足“至少 3 个经真实复现且具有修复验证的缺陷”的要求。</w:t>
      </w:r>
    </w:p>
    <w:p w14:paraId="3D9052E1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但模块一整体尚不宜判定为达到最终发布或提交标准：DEF-M1-001 为高严重度缺陷且仍未修复，函数文档声明支持的 (S,H,W) 三维深度图输入在实现中完全不可用，M1-GEO-016 与 M1-GEO-018 两条用例持续失败。</w:t>
      </w:r>
    </w:p>
    <w:p w14:paraId="4B29CC2A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质量结论为“有条件可用”：几何子模块其余 7 个函数与图像子模块的全部功能可判定为通过；DEF-M1-001 修复并回归通过后，模块一整体方可判定为通过。</w:t>
      </w:r>
    </w:p>
    <w:p w14:paraId="0DB49BFF">
      <w:pPr>
        <w:pStyle w:val="2"/>
        <w:spacing w:before="240" w:after="240" w:line="312" w:lineRule="auto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6 小组成员贡献度</w:t>
      </w:r>
      <w:bookmarkEnd w:id="19"/>
    </w:p>
    <w:bookmarkEnd w:id="15"/>
    <w:p w14:paraId="4EFE2F68">
      <w:pPr>
        <w:spacing w:line="312" w:lineRule="auto"/>
        <w:ind w:firstLineChars="200"/>
        <w:rPr>
          <w:color w:val="auto"/>
        </w:rPr>
      </w:pPr>
      <w:r>
        <w:rPr>
          <w:rFonts w:hint="eastAsia"/>
          <w:color w:val="auto"/>
        </w:rPr>
        <w:t>模块一由小组 2 名成员共同完成，分别承担几何坐标转换与图像加载预处理两个子模块。各成员承担的具体任务、可核实的代码产出、发现的缺陷数及工作量占比如下表，合计须等于 100%；成员姓名与占比由小组成员依据真实 Git 提交据实填写。</w:t>
      </w:r>
    </w:p>
    <w:tbl>
      <w:tblPr>
        <w:tblStyle w:val="10"/>
        <w:tblW w:w="0" w:type="auto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3"/>
        <w:gridCol w:w="1634"/>
        <w:gridCol w:w="1780"/>
        <w:gridCol w:w="1623"/>
        <w:gridCol w:w="1632"/>
      </w:tblGrid>
      <w:tr w14:paraId="2062C34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1" w:type="dxa"/>
            <w:shd w:val="clear" w:color="auto" w:fill="E6E6E6"/>
            <w:vAlign w:val="center"/>
          </w:tcPr>
          <w:p w14:paraId="41D98F26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成员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71D8C7AD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承担的具体任务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7833BCC3">
            <w:pPr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可核实产出（代码行数）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55B0E576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发现缺陷数</w:t>
            </w:r>
          </w:p>
        </w:tc>
        <w:tc>
          <w:tcPr>
            <w:tcW w:w="1661" w:type="dxa"/>
            <w:shd w:val="clear" w:color="auto" w:fill="E6E6E6"/>
            <w:vAlign w:val="center"/>
          </w:tcPr>
          <w:p w14:paraId="01306DF5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color w:val="auto"/>
              </w:rPr>
              <w:t>工作量占比</w:t>
            </w:r>
          </w:p>
        </w:tc>
      </w:tr>
      <w:tr w14:paraId="1239E22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13794161">
            <w:pPr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黄国宸</w:t>
            </w:r>
          </w:p>
        </w:tc>
        <w:tc>
          <w:tcPr>
            <w:tcW w:w="1661" w:type="dxa"/>
            <w:vAlign w:val="center"/>
          </w:tcPr>
          <w:p w14:paraId="350DF22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几何坐标转换子模块：用例设计、unittest 自动化、一键入口与日志归档</w:t>
            </w:r>
          </w:p>
        </w:tc>
        <w:tc>
          <w:tcPr>
            <w:tcW w:w="1661" w:type="dxa"/>
            <w:vAlign w:val="center"/>
          </w:tcPr>
          <w:p w14:paraId="0005DEA4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tests/ 目录共 626 行，加 run_tests.ps1 共 301 行</w:t>
            </w:r>
          </w:p>
        </w:tc>
        <w:tc>
          <w:tcPr>
            <w:tcW w:w="1661" w:type="dxa"/>
            <w:vAlign w:val="center"/>
          </w:tcPr>
          <w:p w14:paraId="65E9C86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661" w:type="dxa"/>
            <w:vAlign w:val="center"/>
          </w:tcPr>
          <w:p w14:paraId="77AEE7F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rFonts w:hint="eastAsia"/>
                <w:color w:val="auto"/>
              </w:rPr>
              <w:t>%</w:t>
            </w:r>
          </w:p>
        </w:tc>
      </w:tr>
      <w:tr w14:paraId="3FD431A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466F0079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曹钧杰</w:t>
            </w:r>
          </w:p>
        </w:tc>
        <w:tc>
          <w:tcPr>
            <w:tcW w:w="1661" w:type="dxa"/>
            <w:vAlign w:val="center"/>
          </w:tcPr>
          <w:p w14:paraId="19AB54CE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图像加载与预处理子模块：15 条常规用例、3 个缺陷的专项复现与修复验证脚本</w:t>
            </w:r>
          </w:p>
        </w:tc>
        <w:tc>
          <w:tcPr>
            <w:tcW w:w="1661" w:type="dxa"/>
            <w:vAlign w:val="center"/>
          </w:tcPr>
          <w:p w14:paraId="580F461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image_test_module1 下 15 条 unittest 与 9 条缺陷专项检查及一键脚本</w:t>
            </w:r>
          </w:p>
        </w:tc>
        <w:tc>
          <w:tcPr>
            <w:tcW w:w="1661" w:type="dxa"/>
            <w:vAlign w:val="center"/>
          </w:tcPr>
          <w:p w14:paraId="3D67519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661" w:type="dxa"/>
            <w:vAlign w:val="center"/>
          </w:tcPr>
          <w:p w14:paraId="0FA65CA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rFonts w:hint="eastAsia"/>
                <w:color w:val="auto"/>
              </w:rPr>
              <w:t>%</w:t>
            </w:r>
          </w:p>
        </w:tc>
      </w:tr>
      <w:tr w14:paraId="0E9D0B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1" w:type="dxa"/>
            <w:vAlign w:val="center"/>
          </w:tcPr>
          <w:p w14:paraId="249196E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合计</w:t>
            </w:r>
          </w:p>
        </w:tc>
        <w:tc>
          <w:tcPr>
            <w:tcW w:w="1661" w:type="dxa"/>
            <w:vAlign w:val="center"/>
          </w:tcPr>
          <w:p w14:paraId="0E02C7D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模块一（两个子模块）</w:t>
            </w:r>
          </w:p>
        </w:tc>
        <w:tc>
          <w:tcPr>
            <w:tcW w:w="1661" w:type="dxa"/>
            <w:vAlign w:val="center"/>
          </w:tcPr>
          <w:p w14:paraId="55034749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测试代码约 1300 行</w:t>
            </w:r>
          </w:p>
        </w:tc>
        <w:tc>
          <w:tcPr>
            <w:tcW w:w="1661" w:type="dxa"/>
            <w:vAlign w:val="center"/>
          </w:tcPr>
          <w:p w14:paraId="0BAB6CD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661" w:type="dxa"/>
            <w:vAlign w:val="center"/>
          </w:tcPr>
          <w:p w14:paraId="44F0993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100%</w:t>
            </w:r>
          </w:p>
        </w:tc>
      </w:tr>
    </w:tbl>
    <w:p w14:paraId="680B236A">
      <w:pPr>
        <w:spacing w:line="312" w:lineRule="auto"/>
        <w:ind w:firstLine="420"/>
        <w:rPr>
          <w:iCs/>
          <w:color w:val="auto"/>
        </w:rPr>
      </w:pP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1A884032"/>
    <w:rsid w:val="3ECE2A64"/>
    <w:rsid w:val="4AAD7670"/>
    <w:rsid w:val="6FC52A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8">
    <w:name w:val="页脚 字符"/>
    <w:link w:val="6"/>
    <w:qFormat/>
    <w:uiPriority w:val="99"/>
    <w:rPr>
      <w:kern w:val="2"/>
      <w:sz w:val="18"/>
      <w:szCs w:val="18"/>
    </w:rPr>
  </w:style>
  <w:style w:type="paragraph" w:customStyle="1" w:styleId="19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character" w:customStyle="1" w:styleId="20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1">
    <w:name w:val="页眉 字符"/>
    <w:basedOn w:val="12"/>
    <w:semiHidden/>
    <w:qFormat/>
    <w:uiPriority w:val="99"/>
    <w:rPr>
      <w:kern w:val="2"/>
      <w:sz w:val="18"/>
      <w:szCs w:val="18"/>
    </w:rPr>
  </w:style>
  <w:style w:type="paragraph" w:customStyle="1" w:styleId="22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2424</Words>
  <Characters>3963</Characters>
  <TotalTime>4</TotalTime>
  <ScaleCrop>false</ScaleCrop>
  <LinksUpToDate>false</LinksUpToDate>
  <CharactersWithSpaces>4214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2026-09-14T19:43:00Z</dcterms:created>
  <dc:creator>LENOVO</dc:creator>
  <cp:lastModifiedBy>GuoChen</cp:lastModifiedBy>
  <dcterms:modified xsi:type="dcterms:W3CDTF">2026-09-14T13:34:21Z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eyJoZGlkIjoiNmRjMzI0NDI2MTk1OWM2MzcwOGZiYWJmMmQ1NDFjZmIiLCJ1c2VySWQiOiI3NTc4MDI0NDgifQ==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330BFA579C52420CB5DCD3DAFE9D428A_12</vt:lpwstr>
  </property>
</Properties>
</file>