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E28AB9">
      <w:pPr>
        <w:spacing w:before="900" w:after="560" w:line="320" w:lineRule="auto"/>
        <w:jc w:val="center"/>
      </w:pPr>
      <w:r>
        <w:rPr>
          <w:rFonts w:ascii="微软雅黑" w:hAnsi="微软雅黑" w:eastAsia="微软雅黑" w:cs="微软雅黑"/>
          <w:color w:val="222222"/>
          <w:sz w:val="24"/>
          <w:szCs w:val="24"/>
        </w:rPr>
        <w:t>软件名称：VGGT（模块一：坐标转换模块）</w:t>
      </w:r>
    </w:p>
    <w:p w14:paraId="728EDB93">
      <w:pPr>
        <w:spacing w:before="0" w:after="120" w:line="320" w:lineRule="auto"/>
        <w:jc w:val="center"/>
      </w:pPr>
      <w:r>
        <w:rPr>
          <w:rFonts w:ascii="微软雅黑" w:hAnsi="微软雅黑" w:eastAsia="微软雅黑" w:cs="微软雅黑"/>
          <w:b/>
          <w:bCs/>
          <w:color w:val="17365D"/>
          <w:sz w:val="40"/>
          <w:szCs w:val="40"/>
        </w:rPr>
        <w:t>VGGT 模块一</w:t>
      </w:r>
    </w:p>
    <w:p w14:paraId="0BEB01CC">
      <w:pPr>
        <w:spacing w:before="0" w:after="720" w:line="320" w:lineRule="auto"/>
        <w:jc w:val="center"/>
      </w:pPr>
      <w:r>
        <w:rPr>
          <w:rFonts w:ascii="微软雅黑" w:hAnsi="微软雅黑" w:eastAsia="微软雅黑" w:cs="微软雅黑"/>
          <w:b/>
          <w:bCs/>
          <w:color w:val="1F4E78"/>
          <w:sz w:val="52"/>
          <w:szCs w:val="52"/>
        </w:rPr>
        <w:t>测试缺陷报告书</w:t>
      </w:r>
    </w:p>
    <w:tbl>
      <w:tblPr>
        <w:tblStyle w:val="11"/>
        <w:tblW w:w="9200" w:type="dxa"/>
        <w:tblInd w:w="0" w:type="dxa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00"/>
        <w:gridCol w:w="2300"/>
        <w:gridCol w:w="2300"/>
        <w:gridCol w:w="2300"/>
      </w:tblGrid>
      <w:tr w14:paraId="42E4C90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00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2D337A">
            <w:pPr>
              <w:spacing w:before="0" w:after="0" w:line="32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  <w:t>缺陷编号</w:t>
            </w:r>
          </w:p>
        </w:tc>
        <w:tc>
          <w:tcPr>
            <w:tcW w:w="2300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7CD279">
            <w:pPr>
              <w:spacing w:before="0" w:after="0" w:line="32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  <w:t>严重程度</w:t>
            </w:r>
          </w:p>
        </w:tc>
        <w:tc>
          <w:tcPr>
            <w:tcW w:w="2300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38E7C6">
            <w:pPr>
              <w:spacing w:before="0" w:after="0" w:line="32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  <w:t>优先级</w:t>
            </w:r>
          </w:p>
        </w:tc>
        <w:tc>
          <w:tcPr>
            <w:tcW w:w="2300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E84ECF">
            <w:pPr>
              <w:spacing w:before="0" w:after="0" w:line="32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  <w:t>当前状态</w:t>
            </w:r>
          </w:p>
        </w:tc>
      </w:tr>
      <w:tr w14:paraId="7818505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A9AEB5">
            <w:pPr>
              <w:spacing w:before="0" w:after="0" w:line="32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222222"/>
                <w:sz w:val="21"/>
                <w:szCs w:val="21"/>
              </w:rPr>
              <w:t>DEF-M1-001</w:t>
            </w:r>
          </w:p>
        </w:tc>
        <w:tc>
          <w:tcPr>
            <w:tcW w:w="2300" w:type="dxa"/>
            <w:shd w:val="clear" w:color="auto" w:fill="FCE4D6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407F6C">
            <w:pPr>
              <w:spacing w:before="0" w:after="0" w:line="32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C00000"/>
                <w:sz w:val="21"/>
                <w:szCs w:val="21"/>
              </w:rPr>
              <w:t>高</w:t>
            </w:r>
          </w:p>
        </w:tc>
        <w:tc>
          <w:tcPr>
            <w:tcW w:w="2300" w:type="dxa"/>
            <w:shd w:val="clear" w:color="auto" w:fill="FCE4D6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7BF66B">
            <w:pPr>
              <w:spacing w:before="0" w:after="0" w:line="32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C00000"/>
                <w:sz w:val="21"/>
                <w:szCs w:val="21"/>
              </w:rPr>
              <w:t>高</w:t>
            </w:r>
          </w:p>
        </w:tc>
        <w:tc>
          <w:tcPr>
            <w:tcW w:w="2300" w:type="dxa"/>
            <w:shd w:val="clear" w:color="auto" w:fill="FFF2C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C1D4EE">
            <w:pPr>
              <w:spacing w:before="0" w:after="0" w:line="32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222222"/>
                <w:sz w:val="21"/>
                <w:szCs w:val="21"/>
              </w:rPr>
              <w:t>已确认，待修复</w:t>
            </w:r>
          </w:p>
        </w:tc>
      </w:tr>
    </w:tbl>
    <w:p w14:paraId="024EE451">
      <w:pPr>
        <w:spacing w:before="0" w:after="620" w:line="320" w:lineRule="auto"/>
      </w:pPr>
    </w:p>
    <w:tbl>
      <w:tblPr>
        <w:tblStyle w:val="11"/>
        <w:tblW w:w="7800" w:type="dxa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00"/>
        <w:gridCol w:w="1400"/>
        <w:gridCol w:w="3200"/>
        <w:gridCol w:w="1600"/>
      </w:tblGrid>
      <w:tr w14:paraId="5189F62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1600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D15E20">
            <w:pPr>
              <w:spacing w:before="0" w:after="0" w:line="32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  <w:t>日期</w:t>
            </w:r>
          </w:p>
        </w:tc>
        <w:tc>
          <w:tcPr>
            <w:tcW w:w="1400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3A96D9">
            <w:pPr>
              <w:spacing w:before="0" w:after="0" w:line="32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  <w:t>版本</w:t>
            </w:r>
          </w:p>
        </w:tc>
        <w:tc>
          <w:tcPr>
            <w:tcW w:w="3200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3F5E34">
            <w:pPr>
              <w:spacing w:before="0" w:after="0" w:line="32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  <w:t>修订说明</w:t>
            </w:r>
          </w:p>
        </w:tc>
        <w:tc>
          <w:tcPr>
            <w:tcW w:w="1600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56A2C6">
            <w:pPr>
              <w:spacing w:before="0" w:after="0" w:line="32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  <w:t>编写人</w:t>
            </w:r>
          </w:p>
        </w:tc>
      </w:tr>
      <w:tr w14:paraId="494CF7A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16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5F1EC0">
            <w:pPr>
              <w:spacing w:before="0" w:after="0" w:line="280" w:lineRule="auto"/>
            </w:pPr>
            <w:r>
              <w:rPr>
                <w:rFonts w:ascii="微软雅黑" w:hAnsi="微软雅黑" w:eastAsia="微软雅黑" w:cs="微软雅黑"/>
                <w:color w:val="222222"/>
                <w:sz w:val="21"/>
                <w:szCs w:val="21"/>
              </w:rPr>
              <w:t>2026-09-10</w:t>
            </w:r>
          </w:p>
        </w:tc>
        <w:tc>
          <w:tcPr>
            <w:tcW w:w="14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4A146E">
            <w:pPr>
              <w:spacing w:before="0" w:after="0" w:line="280" w:lineRule="auto"/>
            </w:pPr>
            <w:r>
              <w:rPr>
                <w:rFonts w:ascii="微软雅黑" w:hAnsi="微软雅黑" w:eastAsia="微软雅黑" w:cs="微软雅黑"/>
                <w:color w:val="222222"/>
                <w:sz w:val="21"/>
                <w:szCs w:val="21"/>
              </w:rPr>
              <w:t>V1.0</w:t>
            </w:r>
          </w:p>
        </w:tc>
        <w:tc>
          <w:tcPr>
            <w:tcW w:w="3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7209D9">
            <w:pPr>
              <w:spacing w:before="0" w:after="0" w:line="280" w:lineRule="auto"/>
            </w:pPr>
            <w:r>
              <w:rPr>
                <w:rFonts w:ascii="微软雅黑" w:hAnsi="微软雅黑" w:eastAsia="微软雅黑" w:cs="微软雅黑"/>
                <w:color w:val="222222"/>
                <w:sz w:val="21"/>
                <w:szCs w:val="21"/>
              </w:rPr>
              <w:t>首次建立模块一缺陷报告</w:t>
            </w:r>
          </w:p>
        </w:tc>
        <w:tc>
          <w:tcPr>
            <w:tcW w:w="16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A3A59A">
            <w:pPr>
              <w:spacing w:before="0" w:after="0" w:line="280" w:lineRule="auto"/>
              <w:jc w:val="center"/>
              <w:rPr>
                <w:rFonts w:hint="default" w:eastAsia="微软雅黑"/>
                <w:lang w:val="en-US" w:eastAsia="zh-CN"/>
              </w:rPr>
            </w:pPr>
          </w:p>
        </w:tc>
      </w:tr>
    </w:tbl>
    <w:p w14:paraId="32DC29DB">
      <w:r>
        <w:br w:type="page"/>
      </w:r>
    </w:p>
    <w:p w14:paraId="490B8740">
      <w:pPr>
        <w:pStyle w:val="2"/>
        <w:keepNext/>
        <w:spacing w:before="260" w:after="100"/>
      </w:pPr>
      <w:r>
        <w:t>1 引言</w:t>
      </w:r>
    </w:p>
    <w:p w14:paraId="17B5AE6D">
      <w:pPr>
        <w:pStyle w:val="3"/>
        <w:keepNext/>
        <w:spacing w:before="180" w:after="100"/>
      </w:pPr>
      <w:r>
        <w:t>1.1 编写目的</w:t>
      </w:r>
    </w:p>
    <w:p w14:paraId="3FE77502">
      <w:pPr>
        <w:spacing w:before="0" w:after="120" w:line="320" w:lineRule="auto"/>
        <w:ind w:firstLine="420"/>
      </w:pPr>
      <w:r>
        <w:rPr>
          <w:rFonts w:ascii="微软雅黑" w:hAnsi="微软雅黑" w:eastAsia="微软雅黑" w:cs="微软雅黑"/>
          <w:color w:val="222222"/>
          <w:sz w:val="21"/>
          <w:szCs w:val="21"/>
        </w:rPr>
        <w:t>记录 VGGT 模块一坐标转换功能测试中发现并复现的缺陷，为开发定位、修复、回归测试和课程交付提供可追溯依据。</w:t>
      </w:r>
    </w:p>
    <w:p w14:paraId="6170F112">
      <w:pPr>
        <w:pStyle w:val="3"/>
        <w:keepNext/>
        <w:spacing w:before="180" w:after="100"/>
      </w:pPr>
      <w:r>
        <w:t>1.2 项目背景</w:t>
      </w:r>
    </w:p>
    <w:tbl>
      <w:tblPr>
        <w:tblStyle w:val="11"/>
        <w:tblW w:w="9200" w:type="dxa"/>
        <w:tblInd w:w="0" w:type="dxa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46"/>
        <w:gridCol w:w="2943"/>
        <w:gridCol w:w="1646"/>
        <w:gridCol w:w="2965"/>
      </w:tblGrid>
      <w:tr w14:paraId="0596470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DF9584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被测软件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56BEE6">
            <w:pPr>
              <w:spacing w:before="0" w:after="0" w:line="280" w:lineRule="auto"/>
            </w:pPr>
            <w:r>
              <w:rPr>
                <w:rFonts w:ascii="微软雅黑" w:hAnsi="微软雅黑" w:eastAsia="微软雅黑" w:cs="微软雅黑"/>
                <w:color w:val="222222"/>
                <w:sz w:val="21"/>
                <w:szCs w:val="21"/>
              </w:rPr>
              <w:t>VGGT（Visual Geometry Grounded Transformer）</w:t>
            </w:r>
          </w:p>
        </w:tc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484566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测试模块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6F47D8">
            <w:pPr>
              <w:spacing w:before="0" w:after="0" w:line="280" w:lineRule="auto"/>
            </w:pPr>
            <w:r>
              <w:rPr>
                <w:rFonts w:ascii="微软雅黑" w:hAnsi="微软雅黑" w:eastAsia="微软雅黑" w:cs="微软雅黑"/>
                <w:color w:val="222222"/>
                <w:sz w:val="21"/>
                <w:szCs w:val="21"/>
              </w:rPr>
              <w:t>vggt.utils.geometry</w:t>
            </w:r>
          </w:p>
        </w:tc>
      </w:tr>
      <w:tr w14:paraId="6FFCAC3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EDC03B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项目提出方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72BD8B">
            <w:pPr>
              <w:spacing w:before="0" w:after="0" w:line="280" w:lineRule="auto"/>
            </w:pPr>
          </w:p>
        </w:tc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5E12A5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开发方/小组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F0CE0E">
            <w:pPr>
              <w:spacing w:before="0" w:after="0" w:line="280" w:lineRule="auto"/>
            </w:pPr>
          </w:p>
        </w:tc>
      </w:tr>
      <w:tr w14:paraId="6A874B6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394DFD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预期用户/单位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118CE5">
            <w:pPr>
              <w:spacing w:before="0" w:after="0" w:line="280" w:lineRule="auto"/>
            </w:pPr>
          </w:p>
        </w:tc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298D07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测试阶段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C3CA3B">
            <w:pPr>
              <w:spacing w:before="0" w:after="0" w:line="280" w:lineRule="auto"/>
            </w:pPr>
            <w:r>
              <w:rPr>
                <w:rFonts w:ascii="微软雅黑" w:hAnsi="微软雅黑" w:eastAsia="微软雅黑" w:cs="微软雅黑"/>
                <w:color w:val="222222"/>
                <w:sz w:val="21"/>
                <w:szCs w:val="21"/>
              </w:rPr>
              <w:t>模块一功能测试</w:t>
            </w:r>
          </w:p>
        </w:tc>
      </w:tr>
    </w:tbl>
    <w:p w14:paraId="29B9EFF2">
      <w:pPr>
        <w:pStyle w:val="3"/>
        <w:keepNext/>
        <w:spacing w:before="180" w:after="100"/>
      </w:pPr>
      <w:r>
        <w:t>1.3 术语与定义</w:t>
      </w:r>
    </w:p>
    <w:tbl>
      <w:tblPr>
        <w:tblStyle w:val="11"/>
        <w:tblW w:w="9200" w:type="dxa"/>
        <w:tblInd w:w="0" w:type="dxa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00"/>
        <w:gridCol w:w="7500"/>
      </w:tblGrid>
      <w:tr w14:paraId="4A47C7B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69D620">
            <w:pPr>
              <w:spacing w:before="0" w:after="0" w:line="27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术语</w:t>
            </w:r>
          </w:p>
        </w:tc>
        <w:tc>
          <w:tcPr>
            <w:tcW w:w="7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987D94">
            <w:pPr>
              <w:spacing w:before="0" w:after="0" w:line="280" w:lineRule="auto"/>
              <w:jc w:val="center"/>
            </w:pPr>
            <w:r>
              <w:rPr>
                <w:rFonts w:ascii="微软雅黑" w:hAnsi="微软雅黑" w:eastAsia="微软雅黑" w:cs="微软雅黑"/>
                <w:color w:val="222222"/>
                <w:sz w:val="21"/>
                <w:szCs w:val="21"/>
              </w:rPr>
              <w:t>说明</w:t>
            </w:r>
          </w:p>
        </w:tc>
      </w:tr>
      <w:tr w14:paraId="0E74893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B41BAC">
            <w:pPr>
              <w:spacing w:before="0" w:after="0" w:line="27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深度图</w:t>
            </w:r>
          </w:p>
        </w:tc>
        <w:tc>
          <w:tcPr>
            <w:tcW w:w="7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18F6C8">
            <w:pPr>
              <w:spacing w:before="0" w:after="0" w:line="280" w:lineRule="auto"/>
            </w:pPr>
            <w:r>
              <w:rPr>
                <w:rFonts w:ascii="微软雅黑" w:hAnsi="微软雅黑" w:eastAsia="微软雅黑" w:cs="微软雅黑"/>
                <w:color w:val="222222"/>
                <w:sz w:val="21"/>
                <w:szCs w:val="21"/>
              </w:rPr>
              <w:t>每个像素记录场景深度值的二维数组；多帧输入可表示为 (S,H,W) 或 (S,H,W,1)。</w:t>
            </w:r>
          </w:p>
        </w:tc>
      </w:tr>
      <w:tr w14:paraId="2CCBD68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68CE07">
            <w:pPr>
              <w:spacing w:before="0" w:after="0" w:line="27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反投影</w:t>
            </w:r>
          </w:p>
        </w:tc>
        <w:tc>
          <w:tcPr>
            <w:tcW w:w="7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8A0673">
            <w:pPr>
              <w:spacing w:before="0" w:after="0" w:line="280" w:lineRule="auto"/>
            </w:pPr>
            <w:r>
              <w:rPr>
                <w:rFonts w:ascii="微软雅黑" w:hAnsi="微软雅黑" w:eastAsia="微软雅黑" w:cs="微软雅黑"/>
                <w:color w:val="222222"/>
                <w:sz w:val="21"/>
                <w:szCs w:val="21"/>
              </w:rPr>
              <w:t>依据深度、相机内参和外参，将图像像素转换为三维空间坐标。</w:t>
            </w:r>
          </w:p>
        </w:tc>
      </w:tr>
      <w:tr w14:paraId="0022D89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8903E1">
            <w:pPr>
              <w:spacing w:before="0" w:after="0" w:line="27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S / H / W</w:t>
            </w:r>
          </w:p>
        </w:tc>
        <w:tc>
          <w:tcPr>
            <w:tcW w:w="7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4889D7">
            <w:pPr>
              <w:spacing w:before="0" w:after="0" w:line="280" w:lineRule="auto"/>
            </w:pPr>
            <w:r>
              <w:rPr>
                <w:rFonts w:ascii="微软雅黑" w:hAnsi="微软雅黑" w:eastAsia="微软雅黑" w:cs="微软雅黑"/>
                <w:color w:val="222222"/>
                <w:sz w:val="21"/>
                <w:szCs w:val="21"/>
              </w:rPr>
              <w:t>分别表示帧数、图像高度和图像宽度。</w:t>
            </w:r>
          </w:p>
        </w:tc>
      </w:tr>
    </w:tbl>
    <w:p w14:paraId="3B1DCC60">
      <w:pPr>
        <w:pStyle w:val="3"/>
        <w:keepNext/>
        <w:spacing w:before="180" w:after="100"/>
      </w:pPr>
      <w:r>
        <w:t>1.4 参考资料</w:t>
      </w:r>
    </w:p>
    <w:p w14:paraId="291CF4AF">
      <w:pPr>
        <w:pStyle w:val="16"/>
        <w:numPr>
          <w:ilvl w:val="0"/>
          <w:numId w:val="1"/>
        </w:numPr>
        <w:spacing w:after="70" w:line="310" w:lineRule="auto"/>
      </w:pPr>
      <w:r>
        <w:rPr>
          <w:rFonts w:ascii="微软雅黑" w:hAnsi="微软雅黑" w:eastAsia="微软雅黑" w:cs="微软雅黑"/>
          <w:color w:val="222222"/>
          <w:sz w:val="21"/>
          <w:szCs w:val="21"/>
        </w:rPr>
        <w:t>《附录2：缺陷报告模板》</w:t>
      </w:r>
    </w:p>
    <w:p w14:paraId="07912624">
      <w:pPr>
        <w:pStyle w:val="16"/>
        <w:numPr>
          <w:ilvl w:val="0"/>
          <w:numId w:val="1"/>
        </w:numPr>
        <w:spacing w:after="70" w:line="310" w:lineRule="auto"/>
      </w:pPr>
      <w:r>
        <w:rPr>
          <w:rFonts w:ascii="微软雅黑" w:hAnsi="微软雅黑" w:eastAsia="微软雅黑" w:cs="微软雅黑"/>
          <w:color w:val="222222"/>
          <w:sz w:val="21"/>
          <w:szCs w:val="21"/>
        </w:rPr>
        <w:t>vggt-main/vggt/utils/geometry.py（Git 提交 4f092034a0673e4e9d257376d3513cfb629ca3f9）</w:t>
      </w:r>
    </w:p>
    <w:p w14:paraId="3238E1FE">
      <w:pPr>
        <w:pStyle w:val="16"/>
        <w:numPr>
          <w:ilvl w:val="0"/>
          <w:numId w:val="1"/>
        </w:numPr>
        <w:spacing w:after="70" w:line="310" w:lineRule="auto"/>
      </w:pPr>
      <w:r>
        <w:rPr>
          <w:rFonts w:ascii="微软雅黑" w:hAnsi="微软雅黑" w:eastAsia="微软雅黑" w:cs="微软雅黑"/>
          <w:color w:val="222222"/>
          <w:sz w:val="21"/>
          <w:szCs w:val="21"/>
        </w:rPr>
        <w:t>VGGT模块一测试用例清单_待人工填写.xlsx，测试用例 M1-GEO-016</w:t>
      </w:r>
    </w:p>
    <w:p w14:paraId="640A7BD7">
      <w:pPr>
        <w:pStyle w:val="16"/>
        <w:numPr>
          <w:ilvl w:val="0"/>
          <w:numId w:val="1"/>
        </w:numPr>
        <w:spacing w:after="70" w:line="310" w:lineRule="auto"/>
      </w:pPr>
      <w:r>
        <w:rPr>
          <w:rFonts w:ascii="微软雅黑" w:hAnsi="微软雅黑" w:eastAsia="微软雅黑" w:cs="微软雅黑"/>
          <w:color w:val="222222"/>
          <w:sz w:val="21"/>
          <w:szCs w:val="21"/>
        </w:rPr>
        <w:t>test_results/module1/DEF-M1-001_reproduction.txt</w:t>
      </w:r>
    </w:p>
    <w:p w14:paraId="0A380C95">
      <w:pPr>
        <w:pStyle w:val="2"/>
        <w:keepNext/>
        <w:spacing w:before="260" w:after="100"/>
      </w:pPr>
      <w:r>
        <w:t>2 测试环境</w:t>
      </w:r>
    </w:p>
    <w:p w14:paraId="5E694A3D">
      <w:pPr>
        <w:pStyle w:val="3"/>
        <w:keepNext/>
        <w:spacing w:before="180" w:after="100"/>
      </w:pPr>
      <w:r>
        <w:t>2.1 硬件环境</w:t>
      </w:r>
    </w:p>
    <w:tbl>
      <w:tblPr>
        <w:tblStyle w:val="11"/>
        <w:tblW w:w="9200" w:type="dxa"/>
        <w:tblInd w:w="0" w:type="dxa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57"/>
        <w:gridCol w:w="2938"/>
        <w:gridCol w:w="1657"/>
        <w:gridCol w:w="2948"/>
      </w:tblGrid>
      <w:tr w14:paraId="6D830A8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BB9B8E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处理器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15EA77">
            <w:pPr>
              <w:spacing w:before="0" w:after="0" w:line="280" w:lineRule="auto"/>
            </w:pPr>
            <w:r>
              <w:rPr>
                <w:rFonts w:ascii="微软雅黑" w:hAnsi="微软雅黑" w:eastAsia="微软雅黑" w:cs="微软雅黑"/>
                <w:color w:val="222222"/>
                <w:sz w:val="21"/>
                <w:szCs w:val="21"/>
              </w:rPr>
              <w:t>12th Gen Intel(R) Core(TM) i7-12700H</w:t>
            </w:r>
          </w:p>
        </w:tc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A92FC9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内存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3CB363">
            <w:pPr>
              <w:spacing w:before="0" w:after="0" w:line="280" w:lineRule="auto"/>
            </w:pPr>
            <w:r>
              <w:rPr>
                <w:rFonts w:ascii="微软雅黑" w:hAnsi="微软雅黑" w:eastAsia="微软雅黑" w:cs="微软雅黑"/>
                <w:color w:val="222222"/>
                <w:sz w:val="21"/>
                <w:szCs w:val="21"/>
              </w:rPr>
              <w:t>31.8 GB</w:t>
            </w:r>
          </w:p>
        </w:tc>
      </w:tr>
      <w:tr w14:paraId="19CFED3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6CDB98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显卡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D5D923">
            <w:pPr>
              <w:spacing w:before="0" w:after="0" w:line="280" w:lineRule="auto"/>
            </w:pPr>
            <w:r>
              <w:rPr>
                <w:rFonts w:ascii="微软雅黑" w:hAnsi="微软雅黑" w:eastAsia="微软雅黑" w:cs="微软雅黑"/>
                <w:color w:val="222222"/>
                <w:sz w:val="21"/>
                <w:szCs w:val="21"/>
              </w:rPr>
              <w:t>NVIDIA GeForce RTX 3070 Laptop GPU</w:t>
            </w:r>
          </w:p>
        </w:tc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C427B8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驱动版本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ABC41D">
            <w:pPr>
              <w:spacing w:before="0" w:after="0" w:line="280" w:lineRule="auto"/>
            </w:pPr>
            <w:r>
              <w:rPr>
                <w:rFonts w:ascii="微软雅黑" w:hAnsi="微软雅黑" w:eastAsia="微软雅黑" w:cs="微软雅黑"/>
                <w:color w:val="222222"/>
                <w:sz w:val="21"/>
                <w:szCs w:val="21"/>
              </w:rPr>
              <w:t>32.0.16.1047</w:t>
            </w:r>
          </w:p>
        </w:tc>
      </w:tr>
    </w:tbl>
    <w:p w14:paraId="709EEBDF">
      <w:pPr>
        <w:pStyle w:val="3"/>
        <w:keepNext/>
        <w:spacing w:before="180" w:after="100"/>
      </w:pPr>
      <w:r>
        <w:t>2.2 软件环境</w:t>
      </w:r>
    </w:p>
    <w:tbl>
      <w:tblPr>
        <w:tblStyle w:val="11"/>
        <w:tblW w:w="9200" w:type="dxa"/>
        <w:tblInd w:w="0" w:type="dxa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26"/>
        <w:gridCol w:w="3130"/>
        <w:gridCol w:w="1616"/>
        <w:gridCol w:w="2828"/>
      </w:tblGrid>
      <w:tr w14:paraId="42B9218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F98DDE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操作系统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A6EFEA">
            <w:pPr>
              <w:spacing w:before="0" w:after="0" w:line="280" w:lineRule="auto"/>
            </w:pPr>
            <w:r>
              <w:rPr>
                <w:rFonts w:ascii="微软雅黑" w:hAnsi="微软雅黑" w:eastAsia="微软雅黑" w:cs="微软雅黑"/>
                <w:color w:val="222222"/>
                <w:sz w:val="21"/>
                <w:szCs w:val="21"/>
              </w:rPr>
              <w:t>Windows 11 家庭中文版（10.0.26100）</w:t>
            </w:r>
          </w:p>
        </w:tc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3A0258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Conda 环境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DDE9DA">
            <w:pPr>
              <w:spacing w:before="0" w:after="0" w:line="280" w:lineRule="auto"/>
            </w:pPr>
            <w:r>
              <w:rPr>
                <w:rFonts w:ascii="微软雅黑" w:hAnsi="微软雅黑" w:eastAsia="微软雅黑" w:cs="微软雅黑"/>
                <w:color w:val="222222"/>
                <w:sz w:val="21"/>
                <w:szCs w:val="21"/>
              </w:rPr>
              <w:t>Pytorch_Vggt</w:t>
            </w:r>
          </w:p>
        </w:tc>
      </w:tr>
      <w:tr w14:paraId="310A4D0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14B5D3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Python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2ADA4D">
            <w:pPr>
              <w:spacing w:before="0" w:after="0" w:line="280" w:lineRule="auto"/>
            </w:pPr>
            <w:r>
              <w:rPr>
                <w:rFonts w:ascii="微软雅黑" w:hAnsi="微软雅黑" w:eastAsia="微软雅黑" w:cs="微软雅黑"/>
                <w:color w:val="222222"/>
                <w:sz w:val="21"/>
                <w:szCs w:val="21"/>
              </w:rPr>
              <w:t>3.10.20</w:t>
            </w:r>
          </w:p>
        </w:tc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71F369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NumPy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D447C7">
            <w:pPr>
              <w:spacing w:before="0" w:after="0" w:line="280" w:lineRule="auto"/>
            </w:pPr>
            <w:r>
              <w:rPr>
                <w:rFonts w:ascii="微软雅黑" w:hAnsi="微软雅黑" w:eastAsia="微软雅黑" w:cs="微软雅黑"/>
                <w:color w:val="222222"/>
                <w:sz w:val="21"/>
                <w:szCs w:val="21"/>
              </w:rPr>
              <w:t>2.2.6</w:t>
            </w:r>
          </w:p>
        </w:tc>
      </w:tr>
      <w:tr w14:paraId="453824A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48BD62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PyTorch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6367AC">
            <w:pPr>
              <w:spacing w:before="0" w:after="0" w:line="280" w:lineRule="auto"/>
            </w:pPr>
            <w:r>
              <w:rPr>
                <w:rFonts w:ascii="微软雅黑" w:hAnsi="微软雅黑" w:eastAsia="微软雅黑" w:cs="微软雅黑"/>
                <w:color w:val="222222"/>
                <w:sz w:val="21"/>
                <w:szCs w:val="21"/>
              </w:rPr>
              <w:t>2.8.0+cu128</w:t>
            </w:r>
          </w:p>
        </w:tc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EC4B36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CUDA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4DF562">
            <w:pPr>
              <w:spacing w:before="0" w:after="0" w:line="280" w:lineRule="auto"/>
            </w:pPr>
            <w:r>
              <w:rPr>
                <w:rFonts w:ascii="微软雅黑" w:hAnsi="微软雅黑" w:eastAsia="微软雅黑" w:cs="微软雅黑"/>
                <w:color w:val="222222"/>
                <w:sz w:val="21"/>
                <w:szCs w:val="21"/>
              </w:rPr>
              <w:t>12.8</w:t>
            </w:r>
          </w:p>
        </w:tc>
      </w:tr>
      <w:tr w14:paraId="7C900DA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E5CBA2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被测文件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9639D5">
            <w:pPr>
              <w:spacing w:before="0" w:after="0" w:line="280" w:lineRule="auto"/>
            </w:pPr>
            <w:r>
              <w:rPr>
                <w:rFonts w:ascii="微软雅黑" w:hAnsi="微软雅黑" w:eastAsia="微软雅黑" w:cs="微软雅黑"/>
                <w:color w:val="222222"/>
                <w:sz w:val="21"/>
                <w:szCs w:val="21"/>
              </w:rPr>
              <w:t>vggt-main/vggt/utils/geometry.py</w:t>
            </w:r>
          </w:p>
        </w:tc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144293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测试时间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B75033">
            <w:pPr>
              <w:spacing w:before="0" w:after="0" w:line="280" w:lineRule="auto"/>
            </w:pPr>
            <w:r>
              <w:rPr>
                <w:rFonts w:ascii="微软雅黑" w:hAnsi="微软雅黑" w:eastAsia="微软雅黑" w:cs="微软雅黑"/>
                <w:color w:val="222222"/>
                <w:sz w:val="21"/>
                <w:szCs w:val="21"/>
              </w:rPr>
              <w:t>2026-09-10</w:t>
            </w:r>
          </w:p>
        </w:tc>
      </w:tr>
    </w:tbl>
    <w:p w14:paraId="36A4D0BB">
      <w:r>
        <w:br w:type="page"/>
      </w:r>
    </w:p>
    <w:p w14:paraId="1EC68B79">
      <w:pPr>
        <w:pStyle w:val="2"/>
        <w:keepNext/>
        <w:spacing w:before="260" w:after="100"/>
      </w:pPr>
      <w:r>
        <w:t>3 模块一坐标转换测试</w:t>
      </w:r>
    </w:p>
    <w:p w14:paraId="17164893">
      <w:pPr>
        <w:pStyle w:val="3"/>
        <w:keepNext/>
        <w:spacing w:before="180" w:after="100"/>
      </w:pPr>
      <w:r>
        <w:t>3.1 被测软件</w:t>
      </w:r>
    </w:p>
    <w:p w14:paraId="588F1EB0">
      <w:pPr>
        <w:spacing w:before="0" w:after="120" w:line="320" w:lineRule="auto"/>
        <w:ind w:firstLine="420"/>
      </w:pPr>
      <w:r>
        <w:rPr>
          <w:rFonts w:ascii="微软雅黑" w:hAnsi="微软雅黑" w:eastAsia="微软雅黑" w:cs="微软雅黑"/>
          <w:color w:val="222222"/>
          <w:sz w:val="21"/>
          <w:szCs w:val="21"/>
        </w:rPr>
        <w:t>本次测试对象为 VGGT 的坐标转换工具模块 vggt.utils.geometry，重点核对深度图反投影接口对其文档所声明输入形状的兼容性。</w:t>
      </w:r>
    </w:p>
    <w:p w14:paraId="53A8D44D">
      <w:pPr>
        <w:pStyle w:val="3"/>
        <w:keepNext/>
        <w:spacing w:before="180" w:after="100"/>
      </w:pPr>
      <w:r>
        <w:t>3.2 测试策略</w:t>
      </w:r>
    </w:p>
    <w:p w14:paraId="1538C0A6">
      <w:pPr>
        <w:pStyle w:val="16"/>
        <w:numPr>
          <w:numId w:val="0"/>
        </w:numPr>
        <w:spacing w:after="70" w:line="310" w:lineRule="auto"/>
        <w:ind w:left="360" w:leftChars="0"/>
      </w:pPr>
      <w:r>
        <w:rPr>
          <w:rFonts w:hint="eastAsia" w:cs="微软雅黑"/>
          <w:color w:val="222222"/>
          <w:sz w:val="21"/>
          <w:szCs w:val="21"/>
          <w:lang w:val="en-US" w:eastAsia="zh-CN"/>
        </w:rPr>
        <w:t>1、</w:t>
      </w:r>
      <w:r>
        <w:rPr>
          <w:rFonts w:ascii="微软雅黑" w:hAnsi="微软雅黑" w:eastAsia="微软雅黑" w:cs="微软雅黑"/>
          <w:color w:val="222222"/>
          <w:sz w:val="21"/>
          <w:szCs w:val="21"/>
        </w:rPr>
        <w:t>采用等价类方法覆盖文档声明的两类有效输入：(S,H,W) 与 (S,H,W,1)。</w:t>
      </w:r>
    </w:p>
    <w:p w14:paraId="6430DD42">
      <w:pPr>
        <w:pStyle w:val="16"/>
        <w:numPr>
          <w:numId w:val="0"/>
        </w:numPr>
        <w:spacing w:after="70" w:line="310" w:lineRule="auto"/>
        <w:ind w:left="360" w:leftChars="0"/>
      </w:pPr>
      <w:r>
        <w:rPr>
          <w:rFonts w:hint="eastAsia" w:cs="微软雅黑"/>
          <w:color w:val="222222"/>
          <w:sz w:val="21"/>
          <w:szCs w:val="21"/>
          <w:lang w:val="en-US" w:eastAsia="zh-CN"/>
        </w:rPr>
        <w:t>2、</w:t>
      </w:r>
      <w:r>
        <w:rPr>
          <w:rFonts w:ascii="微软雅黑" w:hAnsi="微软雅黑" w:eastAsia="微软雅黑" w:cs="微软雅黑"/>
          <w:color w:val="222222"/>
          <w:sz w:val="21"/>
          <w:szCs w:val="21"/>
        </w:rPr>
        <w:t>采用最小尺寸和非单位宽度两组 (S,H,W) 输入，区分维度被误删与非法 squeeze 两种失败表现。</w:t>
      </w:r>
    </w:p>
    <w:p w14:paraId="472F2440">
      <w:pPr>
        <w:pStyle w:val="16"/>
        <w:numPr>
          <w:numId w:val="0"/>
        </w:numPr>
        <w:spacing w:after="70" w:line="310" w:lineRule="auto"/>
        <w:ind w:left="360" w:leftChars="0"/>
      </w:pPr>
      <w:r>
        <w:rPr>
          <w:rFonts w:hint="eastAsia" w:cs="微软雅黑"/>
          <w:color w:val="222222"/>
          <w:sz w:val="21"/>
          <w:szCs w:val="21"/>
          <w:lang w:val="en-US" w:eastAsia="zh-CN"/>
        </w:rPr>
        <w:t>3、</w:t>
      </w:r>
      <w:r>
        <w:rPr>
          <w:rFonts w:ascii="微软雅黑" w:hAnsi="微软雅黑" w:eastAsia="微软雅黑" w:cs="微软雅黑"/>
          <w:color w:val="222222"/>
          <w:sz w:val="21"/>
          <w:szCs w:val="21"/>
        </w:rPr>
        <w:t>使用相同内外参和四维输入执行对照，排除公共输入或矩阵计算错误。</w:t>
      </w:r>
    </w:p>
    <w:p w14:paraId="1F7DE5A7">
      <w:pPr>
        <w:pStyle w:val="3"/>
        <w:keepNext/>
        <w:spacing w:before="180" w:after="100"/>
      </w:pPr>
      <w:r>
        <w:t>3.3 测试步骤</w:t>
      </w:r>
    </w:p>
    <w:p w14:paraId="5B656DB2">
      <w:pPr>
        <w:spacing w:before="0" w:after="120" w:line="320" w:lineRule="auto"/>
        <w:ind w:firstLine="420" w:firstLineChars="200"/>
        <w:rPr>
          <w:rFonts w:ascii="微软雅黑" w:hAnsi="微软雅黑" w:eastAsia="微软雅黑" w:cs="微软雅黑"/>
          <w:color w:val="222222"/>
          <w:sz w:val="21"/>
          <w:szCs w:val="21"/>
        </w:rPr>
      </w:pPr>
      <w:r>
        <w:rPr>
          <w:rFonts w:ascii="微软雅黑" w:hAnsi="微软雅黑" w:eastAsia="微软雅黑" w:cs="微软雅黑"/>
          <w:color w:val="222222"/>
          <w:sz w:val="21"/>
          <w:szCs w:val="21"/>
        </w:rPr>
        <w:t>1. 在 Pytorch_Vggt 环境中导入 unproject_depth_map_to_point_map。</w:t>
      </w:r>
    </w:p>
    <w:p w14:paraId="58C8D0EC">
      <w:pPr>
        <w:spacing w:before="0" w:after="120" w:line="320" w:lineRule="auto"/>
        <w:rPr>
          <w:rFonts w:ascii="微软雅黑" w:hAnsi="微软雅黑" w:eastAsia="微软雅黑" w:cs="微软雅黑"/>
          <w:color w:val="222222"/>
          <w:sz w:val="21"/>
          <w:szCs w:val="21"/>
        </w:rPr>
      </w:pPr>
      <w:r>
        <w:rPr>
          <w:rFonts w:ascii="微软雅黑" w:hAnsi="微软雅黑" w:eastAsia="微软雅黑" w:cs="微软雅黑"/>
          <w:color w:val="222222"/>
          <w:sz w:val="21"/>
          <w:szCs w:val="21"/>
        </w:rPr>
        <w:t>
</w:t>
      </w:r>
      <w:r>
        <w:rPr>
          <w:rFonts w:hint="eastAsia" w:cs="微软雅黑"/>
          <w:color w:val="222222"/>
          <w:sz w:val="21"/>
          <w:szCs w:val="21"/>
          <w:lang w:val="en-US" w:eastAsia="zh-CN"/>
        </w:rPr>
        <w:t xml:space="preserve">    </w:t>
      </w:r>
      <w:r>
        <w:rPr>
          <w:rFonts w:ascii="微软雅黑" w:hAnsi="微软雅黑" w:eastAsia="微软雅黑" w:cs="微软雅黑"/>
          <w:color w:val="222222"/>
          <w:sz w:val="21"/>
          <w:szCs w:val="21"/>
        </w:rPr>
        <w:t>2. 构造两帧单位内参、单位外参及 shape=(2,1,1) 的三维深度图。
</w:t>
      </w:r>
    </w:p>
    <w:p w14:paraId="1FB00E02">
      <w:pPr>
        <w:spacing w:before="0" w:after="120" w:line="320" w:lineRule="auto"/>
        <w:ind w:firstLine="420" w:firstLineChars="200"/>
        <w:rPr>
          <w:rFonts w:ascii="微软雅黑" w:hAnsi="微软雅黑" w:eastAsia="微软雅黑" w:cs="微软雅黑"/>
          <w:color w:val="222222"/>
          <w:sz w:val="21"/>
          <w:szCs w:val="21"/>
        </w:rPr>
      </w:pPr>
      <w:r>
        <w:rPr>
          <w:rFonts w:ascii="微软雅黑" w:hAnsi="微软雅黑" w:eastAsia="微软雅黑" w:cs="微软雅黑"/>
          <w:color w:val="222222"/>
          <w:sz w:val="21"/>
          <w:szCs w:val="21"/>
        </w:rPr>
        <w:t>3. 调用函数并记录异常。</w:t>
      </w:r>
      <w:bookmarkStart w:id="0" w:name="_GoBack"/>
      <w:bookmarkEnd w:id="0"/>
    </w:p>
    <w:p w14:paraId="71D56925">
      <w:pPr>
        <w:spacing w:before="0" w:after="120" w:line="320" w:lineRule="auto"/>
        <w:rPr>
          <w:rFonts w:ascii="微软雅黑" w:hAnsi="微软雅黑" w:eastAsia="微软雅黑" w:cs="微软雅黑"/>
          <w:color w:val="222222"/>
          <w:sz w:val="21"/>
          <w:szCs w:val="21"/>
        </w:rPr>
      </w:pPr>
      <w:r>
        <w:rPr>
          <w:rFonts w:ascii="微软雅黑" w:hAnsi="微软雅黑" w:eastAsia="微软雅黑" w:cs="微软雅黑"/>
          <w:color w:val="222222"/>
          <w:sz w:val="21"/>
          <w:szCs w:val="21"/>
        </w:rPr>
        <w:t>
</w:t>
      </w:r>
      <w:r>
        <w:rPr>
          <w:rFonts w:hint="eastAsia" w:cs="微软雅黑"/>
          <w:color w:val="222222"/>
          <w:sz w:val="21"/>
          <w:szCs w:val="21"/>
          <w:lang w:val="en-US" w:eastAsia="zh-CN"/>
        </w:rPr>
        <w:t xml:space="preserve">   </w:t>
      </w:r>
      <w:r>
        <w:rPr>
          <w:rFonts w:ascii="微软雅黑" w:hAnsi="微软雅黑" w:eastAsia="微软雅黑" w:cs="微软雅黑"/>
          <w:color w:val="222222"/>
          <w:sz w:val="21"/>
          <w:szCs w:val="21"/>
        </w:rPr>
        <w:t>4. 将宽度改为 2，构造 shape=(2,1,2) 的三维深度图，再次调用并记录异常。
</w:t>
      </w:r>
    </w:p>
    <w:p w14:paraId="77158D9C">
      <w:pPr>
        <w:spacing w:before="0" w:after="120" w:line="320" w:lineRule="auto"/>
        <w:ind w:firstLine="420" w:firstLineChars="200"/>
      </w:pPr>
      <w:r>
        <w:rPr>
          <w:rFonts w:ascii="微软雅黑" w:hAnsi="微软雅黑" w:eastAsia="微软雅黑" w:cs="微软雅黑"/>
          <w:color w:val="222222"/>
          <w:sz w:val="21"/>
          <w:szCs w:val="21"/>
        </w:rPr>
        <w:t>5. 在相同数据末尾增加通道维，构造 shape=(2,1,2,1) 的四维对照输入并校验返回形状和坐标值。</w:t>
      </w:r>
    </w:p>
    <w:p w14:paraId="21D14A42">
      <w:pPr>
        <w:pStyle w:val="3"/>
        <w:keepNext/>
        <w:spacing w:before="180" w:after="100"/>
      </w:pPr>
      <w:r>
        <w:t>3.4 缺陷记录</w:t>
      </w:r>
    </w:p>
    <w:p w14:paraId="37511C11">
      <w:pPr>
        <w:pStyle w:val="4"/>
        <w:keepNext/>
        <w:spacing w:before="180" w:after="100"/>
      </w:pPr>
      <w:r>
        <w:t>3.4.1 unproject_depth_map_to_point_map</w:t>
      </w:r>
    </w:p>
    <w:tbl>
      <w:tblPr>
        <w:tblStyle w:val="11"/>
        <w:tblW w:w="9200" w:type="dxa"/>
        <w:tblInd w:w="0" w:type="dxa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00"/>
        <w:gridCol w:w="2300"/>
        <w:gridCol w:w="2300"/>
        <w:gridCol w:w="2300"/>
      </w:tblGrid>
      <w:tr w14:paraId="0F9BA9A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00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DBBEB6">
            <w:pPr>
              <w:spacing w:before="0" w:after="0" w:line="32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  <w:t>缺陷编号</w:t>
            </w:r>
          </w:p>
        </w:tc>
        <w:tc>
          <w:tcPr>
            <w:tcW w:w="2300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9B6AAB">
            <w:pPr>
              <w:spacing w:before="0" w:after="0" w:line="32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  <w:t>严重程度</w:t>
            </w:r>
          </w:p>
        </w:tc>
        <w:tc>
          <w:tcPr>
            <w:tcW w:w="2300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8B13DA">
            <w:pPr>
              <w:spacing w:before="0" w:after="0" w:line="32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  <w:t>优先级</w:t>
            </w:r>
          </w:p>
        </w:tc>
        <w:tc>
          <w:tcPr>
            <w:tcW w:w="2300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7D208F">
            <w:pPr>
              <w:spacing w:before="0" w:after="0" w:line="32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  <w:t>当前状态</w:t>
            </w:r>
          </w:p>
        </w:tc>
      </w:tr>
      <w:tr w14:paraId="67AE8A5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631E16">
            <w:pPr>
              <w:spacing w:before="0" w:after="0" w:line="32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222222"/>
                <w:sz w:val="21"/>
                <w:szCs w:val="21"/>
              </w:rPr>
              <w:t>DEF-M1-001</w:t>
            </w:r>
          </w:p>
        </w:tc>
        <w:tc>
          <w:tcPr>
            <w:tcW w:w="2300" w:type="dxa"/>
            <w:shd w:val="clear" w:color="auto" w:fill="FCE4D6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B60E35">
            <w:pPr>
              <w:spacing w:before="0" w:after="0" w:line="32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C00000"/>
                <w:sz w:val="21"/>
                <w:szCs w:val="21"/>
              </w:rPr>
              <w:t>高</w:t>
            </w:r>
          </w:p>
        </w:tc>
        <w:tc>
          <w:tcPr>
            <w:tcW w:w="2300" w:type="dxa"/>
            <w:shd w:val="clear" w:color="auto" w:fill="FCE4D6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A3ED7E">
            <w:pPr>
              <w:spacing w:before="0" w:after="0" w:line="32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C00000"/>
                <w:sz w:val="21"/>
                <w:szCs w:val="21"/>
              </w:rPr>
              <w:t>高</w:t>
            </w:r>
          </w:p>
        </w:tc>
        <w:tc>
          <w:tcPr>
            <w:tcW w:w="2300" w:type="dxa"/>
            <w:shd w:val="clear" w:color="auto" w:fill="FFF2C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B202EB">
            <w:pPr>
              <w:spacing w:before="0" w:after="0" w:line="32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222222"/>
                <w:sz w:val="21"/>
                <w:szCs w:val="21"/>
              </w:rPr>
              <w:t>已确认，待修复</w:t>
            </w:r>
          </w:p>
        </w:tc>
      </w:tr>
    </w:tbl>
    <w:p w14:paraId="1157FB7B">
      <w:pPr>
        <w:spacing w:before="0" w:after="100" w:line="320" w:lineRule="auto"/>
      </w:pPr>
    </w:p>
    <w:tbl>
      <w:tblPr>
        <w:tblStyle w:val="11"/>
        <w:tblW w:w="9200" w:type="dxa"/>
        <w:tblInd w:w="0" w:type="dxa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24"/>
        <w:gridCol w:w="1981"/>
        <w:gridCol w:w="1124"/>
        <w:gridCol w:w="4971"/>
      </w:tblGrid>
      <w:tr w14:paraId="1CF0C1B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297427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测试人员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1D47BB">
            <w:pPr>
              <w:spacing w:before="0" w:after="0" w:line="280" w:lineRule="auto"/>
            </w:pPr>
          </w:p>
        </w:tc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D56DB1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测试时间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626C35">
            <w:pPr>
              <w:spacing w:before="0" w:after="0" w:line="280" w:lineRule="auto"/>
            </w:pPr>
            <w:r>
              <w:rPr>
                <w:rFonts w:ascii="微软雅黑" w:hAnsi="微软雅黑" w:eastAsia="微软雅黑" w:cs="微软雅黑"/>
                <w:color w:val="222222"/>
                <w:sz w:val="21"/>
                <w:szCs w:val="21"/>
              </w:rPr>
              <w:t>2026-09-10 18:35:50 +08:00</w:t>
            </w:r>
          </w:p>
        </w:tc>
      </w:tr>
      <w:tr w14:paraId="50C4096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52D51B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功能模块名称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F92B9B">
            <w:pPr>
              <w:spacing w:before="0" w:after="0" w:line="280" w:lineRule="auto"/>
            </w:pPr>
            <w:r>
              <w:rPr>
                <w:rFonts w:ascii="微软雅黑" w:hAnsi="微软雅黑" w:eastAsia="微软雅黑" w:cs="微软雅黑"/>
                <w:color w:val="222222"/>
                <w:sz w:val="21"/>
                <w:szCs w:val="21"/>
              </w:rPr>
              <w:t>坐标转换模块</w:t>
            </w:r>
          </w:p>
        </w:tc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1680A3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功能编号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7C0453">
            <w:pPr>
              <w:spacing w:before="0" w:after="0" w:line="280" w:lineRule="auto"/>
            </w:pPr>
            <w:r>
              <w:rPr>
                <w:rFonts w:ascii="微软雅黑" w:hAnsi="微软雅黑" w:eastAsia="微软雅黑" w:cs="微软雅黑"/>
                <w:color w:val="222222"/>
                <w:sz w:val="21"/>
                <w:szCs w:val="21"/>
              </w:rPr>
              <w:t>geometry.unproject</w:t>
            </w:r>
          </w:p>
        </w:tc>
      </w:tr>
      <w:tr w14:paraId="28C0A40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E542DF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测试项编号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78B220">
            <w:pPr>
              <w:spacing w:before="0" w:after="0" w:line="280" w:lineRule="auto"/>
            </w:pPr>
            <w:r>
              <w:rPr>
                <w:rFonts w:ascii="微软雅黑" w:hAnsi="微软雅黑" w:eastAsia="微软雅黑" w:cs="微软雅黑"/>
                <w:color w:val="222222"/>
                <w:sz w:val="21"/>
                <w:szCs w:val="21"/>
              </w:rPr>
              <w:t>M1-GEO-016</w:t>
            </w:r>
          </w:p>
        </w:tc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BAEA4F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关联用例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1BA86F">
            <w:pPr>
              <w:spacing w:before="0" w:after="0" w:line="280" w:lineRule="auto"/>
            </w:pPr>
            <w:r>
              <w:rPr>
                <w:rFonts w:ascii="微软雅黑" w:hAnsi="微软雅黑" w:eastAsia="微软雅黑" w:cs="微软雅黑"/>
                <w:color w:val="222222"/>
                <w:sz w:val="21"/>
                <w:szCs w:val="21"/>
              </w:rPr>
              <w:t>M1-GEO-016</w:t>
            </w:r>
          </w:p>
        </w:tc>
      </w:tr>
      <w:tr w14:paraId="2910B2D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F14B4B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测试需求</w:t>
            </w:r>
          </w:p>
        </w:tc>
        <w:tc>
          <w:tcPr>
            <w:tcW w:w="7700" w:type="dxa"/>
            <w:gridSpan w:val="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A974C3">
            <w:pPr>
              <w:spacing w:before="0" w:after="0" w:line="280" w:lineRule="auto"/>
            </w:pPr>
            <w:r>
              <w:rPr>
                <w:rFonts w:ascii="微软雅黑" w:hAnsi="微软雅黑" w:eastAsia="微软雅黑" w:cs="微软雅黑"/>
                <w:color w:val="222222"/>
                <w:sz w:val="21"/>
                <w:szCs w:val="21"/>
              </w:rPr>
              <w:t>函数应支持文档声明的 (S,H,W) 和 (S,H,W,1) 两种深度图输入。</w:t>
            </w:r>
          </w:p>
        </w:tc>
      </w:tr>
      <w:tr w14:paraId="6E88625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A4C41A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严重程度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37F2A7">
            <w:pPr>
              <w:spacing w:before="0" w:after="0" w:line="280" w:lineRule="auto"/>
            </w:pPr>
            <w:r>
              <w:rPr>
                <w:rFonts w:ascii="微软雅黑" w:hAnsi="微软雅黑" w:eastAsia="微软雅黑" w:cs="微软雅黑"/>
                <w:color w:val="222222"/>
                <w:sz w:val="21"/>
                <w:szCs w:val="21"/>
              </w:rPr>
              <w:t>高</w:t>
            </w:r>
          </w:p>
        </w:tc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D00B77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优先级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77E5A3">
            <w:pPr>
              <w:spacing w:before="0" w:after="0" w:line="280" w:lineRule="auto"/>
            </w:pPr>
            <w:r>
              <w:rPr>
                <w:rFonts w:ascii="微软雅黑" w:hAnsi="微软雅黑" w:eastAsia="微软雅黑" w:cs="微软雅黑"/>
                <w:color w:val="222222"/>
                <w:sz w:val="21"/>
                <w:szCs w:val="21"/>
              </w:rPr>
              <w:t>高</w:t>
            </w:r>
          </w:p>
        </w:tc>
      </w:tr>
      <w:tr w14:paraId="48DAE63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433A2B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缺陷状态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A86ED7">
            <w:pPr>
              <w:spacing w:before="0" w:after="0" w:line="280" w:lineRule="auto"/>
            </w:pPr>
            <w:r>
              <w:rPr>
                <w:rFonts w:ascii="微软雅黑" w:hAnsi="微软雅黑" w:eastAsia="微软雅黑" w:cs="微软雅黑"/>
                <w:color w:val="222222"/>
                <w:sz w:val="21"/>
                <w:szCs w:val="21"/>
              </w:rPr>
              <w:t>已确认，待修复</w:t>
            </w:r>
          </w:p>
        </w:tc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09247D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指派给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7531C5">
            <w:pPr>
              <w:spacing w:before="0" w:after="0" w:line="280" w:lineRule="auto"/>
              <w:rPr>
                <w:rFonts w:hint="eastAsia" w:eastAsia="微软雅黑"/>
                <w:lang w:eastAsia="zh-CN"/>
              </w:rPr>
            </w:pPr>
          </w:p>
        </w:tc>
      </w:tr>
      <w:tr w14:paraId="3F96D6D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5B2092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抄送给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6D80FF">
            <w:pPr>
              <w:spacing w:before="0" w:after="0" w:line="280" w:lineRule="auto"/>
            </w:pPr>
          </w:p>
        </w:tc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5482ED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发现版本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AA6D5C">
            <w:pPr>
              <w:spacing w:before="0" w:after="0" w:line="280" w:lineRule="auto"/>
            </w:pPr>
            <w:r>
              <w:rPr>
                <w:rFonts w:ascii="微软雅黑" w:hAnsi="微软雅黑" w:eastAsia="微软雅黑" w:cs="微软雅黑"/>
                <w:color w:val="222222"/>
                <w:sz w:val="21"/>
                <w:szCs w:val="21"/>
              </w:rPr>
              <w:t>4f092034a0673e4e9d257376d3513cfb629ca3f9</w:t>
            </w:r>
          </w:p>
        </w:tc>
      </w:tr>
      <w:tr w14:paraId="28ED7AC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CDAA46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缺陷标题</w:t>
            </w:r>
          </w:p>
        </w:tc>
        <w:tc>
          <w:tcPr>
            <w:tcW w:w="7700" w:type="dxa"/>
            <w:gridSpan w:val="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C31C5F">
            <w:pPr>
              <w:spacing w:before="0" w:after="0" w:line="280" w:lineRule="auto"/>
            </w:pPr>
            <w:r>
              <w:rPr>
                <w:rFonts w:ascii="微软雅黑" w:hAnsi="微软雅黑" w:eastAsia="微软雅黑" w:cs="微软雅黑"/>
                <w:color w:val="222222"/>
                <w:sz w:val="21"/>
                <w:szCs w:val="21"/>
              </w:rPr>
              <w:t>unproject_depth_map_to_point_map 无法处理文档声明支持的 (S,H,W) 深度图</w:t>
            </w:r>
          </w:p>
        </w:tc>
      </w:tr>
    </w:tbl>
    <w:p w14:paraId="3529D3AE">
      <w:pPr>
        <w:spacing w:before="0" w:after="80" w:line="320" w:lineRule="auto"/>
      </w:pPr>
    </w:p>
    <w:tbl>
      <w:tblPr>
        <w:tblStyle w:val="11"/>
        <w:tblW w:w="9200" w:type="dxa"/>
        <w:tblInd w:w="0" w:type="dxa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48"/>
        <w:gridCol w:w="7552"/>
      </w:tblGrid>
      <w:tr w14:paraId="59C6573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6F71C9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详细描述</w:t>
            </w:r>
          </w:p>
        </w:tc>
        <w:tc>
          <w:tcPr>
            <w:tcW w:w="7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7B89E2">
            <w:pPr>
              <w:spacing w:before="0" w:after="0" w:line="280" w:lineRule="auto"/>
            </w:pPr>
            <w:r>
              <w:rPr>
                <w:rFonts w:ascii="微软雅黑" w:hAnsi="微软雅黑" w:eastAsia="微软雅黑" w:cs="微软雅黑"/>
                <w:color w:val="222222"/>
                <w:sz w:val="21"/>
                <w:szCs w:val="21"/>
              </w:rPr>
              <w:t>函数文档明确声明 depth_map 可为 (S,H,W,1) 或 (S,H,W)，但实现对每帧数据无条件执行 squeeze(-1)。三维输入下，W=1 时宽度维被删除，W&gt;1 时 squeeze 直接抛出异常，因此文档声明的全部 (S,H,W) 输入都无法正常处理。</w:t>
            </w:r>
          </w:p>
        </w:tc>
      </w:tr>
      <w:tr w14:paraId="517575B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D1914A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复现步骤</w:t>
            </w:r>
          </w:p>
        </w:tc>
        <w:tc>
          <w:tcPr>
            <w:tcW w:w="7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083104">
            <w:pPr>
              <w:spacing w:before="0" w:after="0" w:line="280" w:lineRule="auto"/>
            </w:pPr>
            <w:r>
              <w:rPr>
                <w:rFonts w:ascii="微软雅黑" w:hAnsi="微软雅黑" w:eastAsia="微软雅黑" w:cs="微软雅黑"/>
                <w:color w:val="222222"/>
                <w:sz w:val="21"/>
                <w:szCs w:val="21"/>
              </w:rPr>
              <w:t>1. 构造 depth_map=np.ones((2,1,1))、两帧单位内参和单位外参。
2. 调用 unproject_depth_map_to_point_map。
3. 记录 ValueError。
4. 将 depth_map 改为 np.ones((2,1,2))，再次调用并记录另一 ValueError。
5. 将输入改为 np.ones((2,1,2,1)) 作为对照，函数成功返回。</w:t>
            </w:r>
          </w:p>
        </w:tc>
      </w:tr>
      <w:tr w14:paraId="59C9437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DBDBBF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预期结果</w:t>
            </w:r>
          </w:p>
        </w:tc>
        <w:tc>
          <w:tcPr>
            <w:tcW w:w="7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115C72">
            <w:pPr>
              <w:spacing w:before="0" w:after="0" w:line="280" w:lineRule="auto"/>
            </w:pPr>
            <w:r>
              <w:rPr>
                <w:rFonts w:ascii="微软雅黑" w:hAnsi="微软雅黑" w:eastAsia="微软雅黑" w:cs="微软雅黑"/>
                <w:color w:val="222222"/>
                <w:sz w:val="21"/>
                <w:szCs w:val="21"/>
              </w:rPr>
              <w:t>(S,H,W) 与 (S,H,W,1) 两种输入均应成功，返回 shape=(S,H,W,3) 的世界坐标点图；相同深度数据的两种表示应产生等价结果。</w:t>
            </w:r>
          </w:p>
        </w:tc>
      </w:tr>
      <w:tr w14:paraId="0BDE58C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FDA0E4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实际结果</w:t>
            </w:r>
          </w:p>
        </w:tc>
        <w:tc>
          <w:tcPr>
            <w:tcW w:w="7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9E872B">
            <w:pPr>
              <w:spacing w:before="0" w:after="0" w:line="280" w:lineRule="auto"/>
            </w:pPr>
            <w:r>
              <w:rPr>
                <w:rFonts w:ascii="微软雅黑" w:hAnsi="微软雅黑" w:eastAsia="微软雅黑" w:cs="微软雅黑"/>
                <w:color w:val="222222"/>
                <w:sz w:val="21"/>
                <w:szCs w:val="21"/>
              </w:rPr>
              <w:t>shape=(2,1,1) 时抛出：ValueError: not enough values to unpack (expected 2, got 1)。
shape=(2,1,2) 时抛出：ValueError: cannot select an axis to squeeze out which has size not equal to one。
shape=(2,1,2,1) 的对照输入成功，返回 shape=(2,1,2,3)。</w:t>
            </w:r>
          </w:p>
        </w:tc>
      </w:tr>
      <w:tr w14:paraId="7F5CD52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206CB1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附件</w:t>
            </w:r>
          </w:p>
        </w:tc>
        <w:tc>
          <w:tcPr>
            <w:tcW w:w="7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684EF0">
            <w:pPr>
              <w:spacing w:before="0" w:after="0" w:line="280" w:lineRule="auto"/>
            </w:pPr>
            <w:r>
              <w:rPr>
                <w:rFonts w:ascii="微软雅黑" w:hAnsi="微软雅黑" w:eastAsia="微软雅黑" w:cs="微软雅黑"/>
                <w:color w:val="222222"/>
                <w:sz w:val="21"/>
                <w:szCs w:val="21"/>
              </w:rPr>
              <w:t>test_results/module1/DEF-M1-001_reproduction.txt</w:t>
            </w:r>
          </w:p>
        </w:tc>
      </w:tr>
      <w:tr w14:paraId="2A6E8E2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E37572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关联缺陷</w:t>
            </w:r>
          </w:p>
        </w:tc>
        <w:tc>
          <w:tcPr>
            <w:tcW w:w="7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D71FD2">
            <w:pPr>
              <w:spacing w:before="0" w:after="0" w:line="280" w:lineRule="auto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无</w:t>
            </w:r>
          </w:p>
        </w:tc>
      </w:tr>
      <w:tr w14:paraId="203DCA7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E1FE00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备注</w:t>
            </w:r>
          </w:p>
        </w:tc>
        <w:tc>
          <w:tcPr>
            <w:tcW w:w="7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0F1D95">
            <w:pPr>
              <w:spacing w:before="0" w:after="0" w:line="280" w:lineRule="auto"/>
            </w:pPr>
            <w:r>
              <w:rPr>
                <w:rFonts w:ascii="微软雅黑" w:hAnsi="微软雅黑" w:eastAsia="微软雅黑" w:cs="微软雅黑"/>
                <w:color w:val="222222"/>
                <w:sz w:val="21"/>
                <w:szCs w:val="21"/>
              </w:rPr>
              <w:t>定位位置：geometry.py 中 depth_map[frame_idx].squeeze(-1)。临时规避方式：调用方为三维深度图补充末尾通道维，转换为 (S,H,W,1)。本次未修改被测源码。</w:t>
            </w:r>
          </w:p>
        </w:tc>
      </w:tr>
    </w:tbl>
    <w:p w14:paraId="7DCCACA9">
      <w:r>
        <w:br w:type="page"/>
      </w:r>
    </w:p>
    <w:p w14:paraId="3C8F1E4C">
      <w:pPr>
        <w:pStyle w:val="4"/>
        <w:keepNext/>
        <w:spacing w:before="180" w:after="100"/>
      </w:pPr>
      <w:r>
        <w:t>3.4.2 缺陷处理记录</w:t>
      </w:r>
    </w:p>
    <w:p w14:paraId="3FF938D5">
      <w:pPr>
        <w:spacing w:before="0" w:after="120" w:line="320" w:lineRule="auto"/>
      </w:pPr>
      <w:r>
        <w:rPr>
          <w:rFonts w:ascii="微软雅黑" w:hAnsi="微软雅黑" w:eastAsia="微软雅黑" w:cs="微软雅黑"/>
          <w:i/>
          <w:iCs/>
          <w:color w:val="666666"/>
          <w:sz w:val="21"/>
          <w:szCs w:val="21"/>
        </w:rPr>
        <w:t>以下字段须在开发完成修复及测试人员完成回归测试后填写，本报告当前不作推定。</w:t>
      </w:r>
    </w:p>
    <w:tbl>
      <w:tblPr>
        <w:tblStyle w:val="11"/>
        <w:tblW w:w="9200" w:type="dxa"/>
        <w:tblInd w:w="0" w:type="dxa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69"/>
        <w:gridCol w:w="2931"/>
        <w:gridCol w:w="1669"/>
        <w:gridCol w:w="2931"/>
      </w:tblGrid>
      <w:tr w14:paraId="4D16921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830ECC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解决方案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1A2DA1">
            <w:pPr>
              <w:spacing w:before="0" w:after="0" w:line="280" w:lineRule="auto"/>
            </w:pPr>
          </w:p>
        </w:tc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625C09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解决人员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099A0B">
            <w:pPr>
              <w:spacing w:before="0" w:after="0" w:line="280" w:lineRule="auto"/>
            </w:pPr>
          </w:p>
        </w:tc>
      </w:tr>
      <w:tr w14:paraId="23D2490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5DA2F2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解决日期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CF8F26">
            <w:pPr>
              <w:spacing w:before="0" w:after="0" w:line="280" w:lineRule="auto"/>
            </w:pPr>
          </w:p>
        </w:tc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86A143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解决版本/构建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D22F59">
            <w:pPr>
              <w:spacing w:before="0" w:after="0" w:line="280" w:lineRule="auto"/>
            </w:pPr>
          </w:p>
        </w:tc>
      </w:tr>
      <w:tr w14:paraId="7C157C6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2E6FA1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详细解决方案</w:t>
            </w:r>
          </w:p>
        </w:tc>
        <w:tc>
          <w:tcPr>
            <w:tcW w:w="7700" w:type="dxa"/>
            <w:gridSpan w:val="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6F8753">
            <w:pPr>
              <w:spacing w:before="0" w:after="0" w:line="280" w:lineRule="auto"/>
            </w:pPr>
          </w:p>
        </w:tc>
      </w:tr>
      <w:tr w14:paraId="3023153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2A85ED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关闭人员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A8EB8C">
            <w:pPr>
              <w:spacing w:before="0" w:after="0" w:line="280" w:lineRule="auto"/>
            </w:pPr>
          </w:p>
        </w:tc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DC15CD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关闭/复测日期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6A5E36">
            <w:pPr>
              <w:spacing w:before="0" w:after="0" w:line="280" w:lineRule="auto"/>
            </w:pPr>
          </w:p>
        </w:tc>
      </w:tr>
      <w:tr w14:paraId="4BE4E3B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dxa"/>
            <w:shd w:val="clear" w:color="auto" w:fill="DDEB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6209CB">
            <w:pPr>
              <w:spacing w:before="0" w:after="0" w:line="270" w:lineRule="auto"/>
            </w:pPr>
            <w:r>
              <w:rPr>
                <w:rFonts w:ascii="微软雅黑" w:hAnsi="微软雅黑" w:eastAsia="微软雅黑" w:cs="微软雅黑"/>
                <w:b/>
                <w:bCs/>
                <w:color w:val="17365D"/>
                <w:sz w:val="21"/>
                <w:szCs w:val="21"/>
              </w:rPr>
              <w:t>复测结果</w:t>
            </w:r>
          </w:p>
        </w:tc>
        <w:tc>
          <w:tcPr>
            <w:tcW w:w="7700" w:type="dxa"/>
            <w:gridSpan w:val="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D8320F">
            <w:pPr>
              <w:spacing w:before="0" w:after="0" w:line="280" w:lineRule="auto"/>
            </w:pPr>
          </w:p>
        </w:tc>
      </w:tr>
    </w:tbl>
    <w:p w14:paraId="01ADCE66">
      <w:pPr>
        <w:pStyle w:val="4"/>
        <w:keepNext/>
        <w:spacing w:before="180" w:after="100"/>
      </w:pPr>
      <w:r>
        <w:t>3.4.3 修复建议（非处理结果）</w:t>
      </w:r>
    </w:p>
    <w:p w14:paraId="0A6B4626">
      <w:pPr>
        <w:spacing w:before="0" w:after="120" w:line="320" w:lineRule="auto"/>
        <w:ind w:firstLine="420"/>
      </w:pPr>
      <w:r>
        <w:rPr>
          <w:rFonts w:ascii="微软雅黑" w:hAnsi="微软雅黑" w:eastAsia="微软雅黑" w:cs="微软雅黑"/>
          <w:color w:val="222222"/>
          <w:sz w:val="21"/>
          <w:szCs w:val="21"/>
        </w:rPr>
        <w:t>仅在原始 depth_map 为四维且末尾通道数为 1 时删除通道维；三维输入应直接保留每帧二维 H×W 数据。同时建议增加输入维数、通道数、帧数及内外参数量一致性的显式校验，并为两种有效形状补充自动化回归测试。</w:t>
      </w:r>
    </w:p>
    <w:p w14:paraId="6AFA9C28">
      <w:pPr>
        <w:pStyle w:val="3"/>
        <w:keepNext/>
        <w:spacing w:before="180" w:after="100"/>
      </w:pPr>
      <w:r>
        <w:t>3.5 测试结果分析与结论</w:t>
      </w:r>
    </w:p>
    <w:p w14:paraId="1356FB1C">
      <w:pPr>
        <w:spacing w:before="0" w:after="120" w:line="320" w:lineRule="auto"/>
        <w:ind w:firstLine="420"/>
      </w:pPr>
      <w:r>
        <w:rPr>
          <w:rFonts w:ascii="微软雅黑" w:hAnsi="微软雅黑" w:eastAsia="微软雅黑" w:cs="微软雅黑"/>
          <w:color w:val="222222"/>
          <w:sz w:val="21"/>
          <w:szCs w:val="21"/>
        </w:rPr>
        <w:t>本次执行确认 1 个高严重度、高优先级缺陷。关联用例 M1-GEO-016 对文档声明的 (S,H,W) 输入执行失败，而四维 (S,H,W,1) 对照输入正常，说明问题集中在输入维度处理逻辑。当前该功能不能判定为通过；需完成代码修复后，重新执行两类有效输入、边界尺寸和多帧一致性回归测试，再填写处理记录并决定是否关闭缺陷。</w:t>
      </w:r>
    </w:p>
    <w:p w14:paraId="29B614E9">
      <w:pPr>
        <w:spacing w:before="180" w:after="120" w:line="320" w:lineRule="auto"/>
      </w:pPr>
      <w:r>
        <w:rPr>
          <w:rFonts w:ascii="微软雅黑" w:hAnsi="微软雅黑" w:eastAsia="微软雅黑" w:cs="微软雅黑"/>
          <w:b/>
          <w:bCs/>
          <w:color w:val="C00000"/>
          <w:sz w:val="21"/>
          <w:szCs w:val="21"/>
        </w:rPr>
        <w:t>报告状态：已确认，待修复与复测。</w:t>
      </w:r>
    </w:p>
    <w:sectPr>
      <w:headerReference r:id="rId3" w:type="default"/>
      <w:footerReference r:id="rId4" w:type="default"/>
      <w:pgSz w:w="11906" w:h="16838"/>
      <w:pgMar w:top="1080" w:right="1150" w:bottom="1050" w:left="1150" w:header="500" w:footer="50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00D034">
    <w:pPr>
      <w:jc w:val="center"/>
    </w:pPr>
    <w:r>
      <w:rPr>
        <w:rFonts w:ascii="微软雅黑" w:hAnsi="微软雅黑" w:eastAsia="微软雅黑" w:cs="微软雅黑"/>
        <w:color w:val="7F7F7F"/>
        <w:sz w:val="17"/>
        <w:szCs w:val="17"/>
      </w:rPr>
      <w:t xml:space="preserve">第 </w:t>
    </w:r>
    <w:r>
      <w:rPr>
        <w:rFonts w:ascii="微软雅黑" w:hAnsi="微软雅黑" w:eastAsia="微软雅黑" w:cs="微软雅黑"/>
        <w:color w:val="7F7F7F"/>
        <w:sz w:val="17"/>
        <w:szCs w:val="17"/>
      </w:rPr>
      <w:fldChar w:fldCharType="begin"/>
    </w:r>
    <w:r>
      <w:rPr>
        <w:rFonts w:ascii="微软雅黑" w:hAnsi="微软雅黑" w:eastAsia="微软雅黑" w:cs="微软雅黑"/>
        <w:color w:val="7F7F7F"/>
        <w:sz w:val="17"/>
        <w:szCs w:val="17"/>
      </w:rPr>
      <w:instrText xml:space="preserve">PAGE</w:instrText>
    </w:r>
    <w:r>
      <w:rPr>
        <w:rFonts w:ascii="微软雅黑" w:hAnsi="微软雅黑" w:eastAsia="微软雅黑" w:cs="微软雅黑"/>
        <w:color w:val="7F7F7F"/>
        <w:sz w:val="17"/>
        <w:szCs w:val="17"/>
      </w:rPr>
      <w:fldChar w:fldCharType="separate"/>
    </w:r>
    <w:r>
      <w:rPr>
        <w:rFonts w:ascii="微软雅黑" w:hAnsi="微软雅黑" w:eastAsia="微软雅黑" w:cs="微软雅黑"/>
        <w:color w:val="7F7F7F"/>
        <w:sz w:val="17"/>
        <w:szCs w:val="17"/>
      </w:rPr>
      <w:fldChar w:fldCharType="end"/>
    </w:r>
    <w:r>
      <w:rPr>
        <w:rFonts w:ascii="微软雅黑" w:hAnsi="微软雅黑" w:eastAsia="微软雅黑" w:cs="微软雅黑"/>
        <w:color w:val="7F7F7F"/>
        <w:sz w:val="17"/>
        <w:szCs w:val="17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E94993">
    <w:pPr>
      <w:spacing w:before="0" w:after="0" w:line="320" w:lineRule="auto"/>
      <w:jc w:val="right"/>
    </w:pPr>
    <w:r>
      <w:rPr>
        <w:rFonts w:ascii="微软雅黑" w:hAnsi="微软雅黑" w:eastAsia="微软雅黑" w:cs="微软雅黑"/>
        <w:color w:val="7F7F7F"/>
        <w:sz w:val="17"/>
        <w:szCs w:val="17"/>
      </w:rPr>
      <w:t>VGGT 模块一测试缺陷报告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3ED56BC2"/>
    <w:rsid w:val="52AC74F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color w:val="222222"/>
      <w:sz w:val="21"/>
      <w:szCs w:val="21"/>
    </w:rPr>
  </w:style>
  <w:style w:type="paragraph" w:styleId="2">
    <w:name w:val="heading 1"/>
    <w:next w:val="1"/>
    <w:qFormat/>
    <w:uiPriority w:val="0"/>
    <w:pPr>
      <w:keepNext/>
      <w:spacing w:before="260" w:after="100" w:line="320" w:lineRule="auto"/>
    </w:pPr>
    <w:rPr>
      <w:rFonts w:ascii="微软雅黑" w:hAnsi="微软雅黑" w:eastAsia="微软雅黑" w:cs="微软雅黑"/>
      <w:b/>
      <w:bCs/>
      <w:color w:val="17365D"/>
      <w:sz w:val="30"/>
      <w:szCs w:val="30"/>
    </w:rPr>
  </w:style>
  <w:style w:type="paragraph" w:styleId="3">
    <w:name w:val="heading 2"/>
    <w:next w:val="1"/>
    <w:qFormat/>
    <w:uiPriority w:val="0"/>
    <w:pPr>
      <w:keepNext/>
      <w:spacing w:before="180" w:after="90" w:line="320" w:lineRule="auto"/>
    </w:pPr>
    <w:rPr>
      <w:rFonts w:ascii="微软雅黑" w:hAnsi="微软雅黑" w:eastAsia="微软雅黑" w:cs="微软雅黑"/>
      <w:b/>
      <w:bCs/>
      <w:color w:val="1F4E78"/>
      <w:sz w:val="26"/>
      <w:szCs w:val="26"/>
    </w:rPr>
  </w:style>
  <w:style w:type="paragraph" w:styleId="4">
    <w:name w:val="heading 3"/>
    <w:next w:val="1"/>
    <w:qFormat/>
    <w:uiPriority w:val="0"/>
    <w:pPr>
      <w:keepNext/>
      <w:spacing w:before="140" w:after="80" w:line="320" w:lineRule="auto"/>
    </w:pPr>
    <w:rPr>
      <w:rFonts w:ascii="微软雅黑" w:hAnsi="微软雅黑" w:eastAsia="微软雅黑" w:cs="微软雅黑"/>
      <w:b/>
      <w:bCs/>
      <w:color w:val="1F4E78"/>
      <w:sz w:val="23"/>
      <w:szCs w:val="23"/>
    </w:rPr>
  </w:style>
  <w:style w:type="paragraph" w:styleId="5">
    <w:name w:val="heading 4"/>
    <w:next w:val="1"/>
    <w:qFormat/>
    <w:uiPriority w:val="0"/>
    <w:pPr>
      <w:spacing w:line="320" w:lineRule="auto"/>
    </w:pPr>
    <w:rPr>
      <w:rFonts w:ascii="微软雅黑" w:hAnsi="微软雅黑" w:eastAsia="微软雅黑" w:cs="微软雅黑"/>
      <w:i/>
      <w:iCs/>
      <w:color w:val="2E74B5"/>
      <w:sz w:val="21"/>
      <w:szCs w:val="21"/>
    </w:rPr>
  </w:style>
  <w:style w:type="paragraph" w:styleId="6">
    <w:name w:val="heading 5"/>
    <w:next w:val="1"/>
    <w:qFormat/>
    <w:uiPriority w:val="0"/>
    <w:pPr>
      <w:spacing w:line="320" w:lineRule="auto"/>
    </w:pPr>
    <w:rPr>
      <w:rFonts w:ascii="微软雅黑" w:hAnsi="微软雅黑" w:eastAsia="微软雅黑" w:cs="微软雅黑"/>
      <w:color w:val="2E74B5"/>
      <w:sz w:val="21"/>
      <w:szCs w:val="21"/>
    </w:rPr>
  </w:style>
  <w:style w:type="paragraph" w:styleId="7">
    <w:name w:val="heading 6"/>
    <w:next w:val="1"/>
    <w:qFormat/>
    <w:uiPriority w:val="0"/>
    <w:pPr>
      <w:spacing w:line="320" w:lineRule="auto"/>
    </w:pPr>
    <w:rPr>
      <w:rFonts w:ascii="微软雅黑" w:hAnsi="微软雅黑" w:eastAsia="微软雅黑" w:cs="微软雅黑"/>
      <w:color w:val="1F4D78"/>
      <w:sz w:val="21"/>
      <w:szCs w:val="21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rFonts w:ascii="微软雅黑" w:hAnsi="微软雅黑" w:eastAsia="微软雅黑" w:cs="微软雅黑"/>
      <w:color w:val="222222"/>
      <w:sz w:val="20"/>
      <w:szCs w:val="20"/>
    </w:rPr>
  </w:style>
  <w:style w:type="paragraph" w:styleId="9">
    <w:name w:val="footnote text"/>
    <w:link w:val="17"/>
    <w:semiHidden/>
    <w:unhideWhenUsed/>
    <w:uiPriority w:val="99"/>
    <w:pPr>
      <w:spacing w:after="0" w:line="240" w:lineRule="auto"/>
    </w:pPr>
    <w:rPr>
      <w:rFonts w:ascii="微软雅黑" w:hAnsi="微软雅黑" w:eastAsia="微软雅黑" w:cs="微软雅黑"/>
      <w:color w:val="222222"/>
      <w:sz w:val="20"/>
      <w:szCs w:val="20"/>
    </w:rPr>
  </w:style>
  <w:style w:type="paragraph" w:styleId="10">
    <w:name w:val="Title"/>
    <w:qFormat/>
    <w:uiPriority w:val="0"/>
    <w:pPr>
      <w:spacing w:line="320" w:lineRule="auto"/>
    </w:pPr>
    <w:rPr>
      <w:rFonts w:ascii="微软雅黑" w:hAnsi="微软雅黑" w:eastAsia="微软雅黑" w:cs="微软雅黑"/>
      <w:b/>
      <w:bCs/>
      <w:color w:val="1F4E78"/>
      <w:sz w:val="52"/>
      <w:szCs w:val="52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qFormat/>
    <w:uiPriority w:val="0"/>
    <w:pPr>
      <w:spacing w:line="320" w:lineRule="auto"/>
    </w:pPr>
    <w:rPr>
      <w:rFonts w:ascii="微软雅黑" w:hAnsi="微软雅黑" w:eastAsia="微软雅黑" w:cs="微软雅黑"/>
      <w:color w:val="222222"/>
      <w:sz w:val="21"/>
      <w:szCs w:val="21"/>
    </w:rPr>
  </w:style>
  <w:style w:type="character" w:customStyle="1" w:styleId="17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1513</Words>
  <Characters>2758</Characters>
  <TotalTime>5</TotalTime>
  <ScaleCrop>false</ScaleCrop>
  <LinksUpToDate>false</LinksUpToDate>
  <CharactersWithSpaces>2914</CharactersWithSpaces>
  <Application>WPS Office_12.1.0.28505_F1E327BC-269C-435d-A152-05C5408002CA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2026-09-10T10:45:00Z</dcterms:created>
  <dc:creator>LENOVO</dc:creator>
  <dc:description>依据附录2缺陷报告模板编制的模块一缺陷报告</dc:description>
  <cp:lastModifiedBy>GuoChen</cp:lastModifiedBy>
  <dcterms:modified xsi:type="dcterms:W3CDTF">2026-09-10T11:11:40Z</dcterms:modified>
  <dc:title>VGGT模块一测试缺陷报告_DEF-M1-001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eyJoZGlkIjoiNmRjMzI0NDI2MTk1OWM2MzcwOGZiYWJmMmQ1NDFjZmIiLCJ1c2VySWQiOiI3NTc4MDI0NDgifQ==</vt:lpwstr>
  </property>
  <property fmtid="{D5CDD505-2E9C-101B-9397-08002B2CF9AE}" pid="3" name="KSOProductBuildVer">
    <vt:lpwstr>2052-12.1.0.28505</vt:lpwstr>
  </property>
  <property fmtid="{D5CDD505-2E9C-101B-9397-08002B2CF9AE}" pid="4" name="ICV">
    <vt:lpwstr>AC71B28EB3D14E03A05CF111CA33A91D_12</vt:lpwstr>
  </property>
</Properties>
</file>