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45496497">
      <w:pPr>
        <w:pStyle w:val="000001"/>
      </w:pPr>
      <w:r>
        <w:rPr>
          <w:rFonts w:hint="eastAsia"/>
        </w:rPr>
        <w:t>VGGT 模块一测试操作手册</w:t>
      </w:r>
    </w:p>
    <w:p w14:paraId="637E78E7">
      <w:pPr>
        <w:spacing w:after="80"/>
      </w:pPr>
    </w:p>
    <w:p w14:paraId="7C2B6D4A">
      <w:r>
        <w:rPr>
          <w:rFonts w:hint="eastAsia"/>
        </w:rPr>
        <w:t>版本：1.0（2026-09-14 更新）</w:t>
      </w:r>
    </w:p>
    <w:p w14:paraId="1525925C">
      <w:r>
        <w:rPr>
          <w:rFonts w:hint="eastAsia"/>
        </w:rPr>
        <w:t>适用阶段：软件测试与质量保证实践——模块一</w:t>
      </w:r>
    </w:p>
    <w:p w14:paraId="110009EE">
      <w:r>
        <w:rPr>
          <w:rFonts w:hint="eastAsia"/>
        </w:rPr>
        <w:t>被测模块：vggt-main/vggt/utils/geometry.py</w:t>
      </w:r>
    </w:p>
    <w:p w14:paraId="3657519F">
      <w:r>
        <w:rPr>
          <w:rFonts w:hint="eastAsia"/>
        </w:rPr>
        <w:t>文档状态：33 条用例（32 条正式 + 1 条对照）已实现并执行；30 条 OK、2 条 NG（对应未修复缺陷 DEF-M1-001）</w:t>
      </w:r>
    </w:p>
    <w:p w14:paraId="5400350F">
      <w:pPr>
        <w:spacing w:after="80"/>
      </w:pPr>
    </w:p>
    <w:p w14:paraId="5D56D2F4">
      <w:pPr>
        <w:pStyle w:val="000003"/>
      </w:pPr>
      <w:r>
        <w:rPr>
          <w:rFonts w:hint="eastAsia"/>
        </w:rPr>
        <w:t>1. 手册用途与合规边界</w:t>
      </w:r>
    </w:p>
    <w:p w14:paraId="7B00F2F6">
      <w:pPr>
        <w:spacing w:after="80"/>
      </w:pPr>
    </w:p>
    <w:p w14:paraId="448011E1">
      <w:r>
        <w:rPr>
          <w:rFonts w:hint="eastAsia"/>
        </w:rPr>
        <w:t>本手册说明如何准备环境、启动 VGGT 可视化、接入并运行模块一测试、保存证据以及填写课程附录。</w:t>
      </w:r>
    </w:p>
    <w:p w14:paraId="62C92DEE">
      <w:pPr>
        <w:spacing w:after="80"/>
      </w:pPr>
    </w:p>
    <w:p w14:paraId="4A802D7E">
      <w:r>
        <w:rPr>
          <w:rFonts w:hint="eastAsia"/>
        </w:rPr>
        <w:t>教师后来已明确许可 AI 参与模块一用例设计。附录1当前包含 32 条坐标转换测试用例，覆盖 8 个函数；已生成 33 条 unittest 自动化用例（32 条正式 + 1 条对照），并已完成一次正式执行与结果归档。</w:t>
      </w:r>
      <w:r>
        <w:rPr>
          <w:rFonts w:hint="eastAsia"/>
        </w:rPr>
        <w:t>任何实际结果、是否通过和缺陷状态都必须由真实执行证据支撑。</w:t>
      </w:r>
    </w:p>
    <w:p w14:paraId="68790848">
      <w:pPr>
        <w:spacing w:after="80"/>
      </w:pPr>
    </w:p>
    <w:p w14:paraId="787B50C5">
      <w:pPr>
        <w:pStyle w:val="000003"/>
      </w:pPr>
      <w:r>
        <w:rPr>
          <w:rFonts w:hint="eastAsia"/>
        </w:rPr>
        <w:t>2. 目录与文件</w:t>
      </w:r>
    </w:p>
    <w:p w14:paraId="162BB4C9">
      <w:pPr>
        <w:spacing w:after="80"/>
      </w:pPr>
    </w:p>
    <w:p w14:paraId="0AE79189">
      <w:pPr>
        <w:pStyle w:val="00000a"/>
        <w:numPr>
          <w:ilvl w:val="0"/>
          <w:numId w:val="1"/>
        </w:numPr>
      </w:pPr>
      <w:r>
        <w:rPr>
          <w:rFonts w:hint="eastAsia"/>
        </w:rPr>
        <w:t>vggt-main/：被测软件与现有中文 Gradio 可视化程序，默认保持不变。</w:t>
      </w:r>
    </w:p>
    <w:p w14:paraId="7E590235">
      <w:pPr>
        <w:pStyle w:val="00000a"/>
        <w:numPr>
          <w:ilvl w:val="0"/>
          <w:numId w:val="1"/>
        </w:numPr>
      </w:pPr>
      <w:r>
        <w:rPr>
          <w:rFonts w:hint="eastAsia"/>
        </w:rPr>
        <w:t>vggt_input/：图片序列和视频输入素材。</w:t>
      </w:r>
    </w:p>
    <w:p w14:paraId="292C92E4">
      <w:pPr>
        <w:pStyle w:val="00000a"/>
        <w:numPr>
          <w:ilvl w:val="0"/>
          <w:numId w:val="1"/>
        </w:numPr>
      </w:pPr>
      <w:r>
        <w:rPr>
          <w:rFonts w:hint="eastAsia"/>
        </w:rPr>
        <w:t>vggt_output/：可视化和指标工具生成的可再生产物。</w:t>
      </w:r>
    </w:p>
    <w:p w14:paraId="3C497F38">
      <w:pPr>
        <w:pStyle w:val="00000a"/>
        <w:numPr>
          <w:ilvl w:val="0"/>
          <w:numId w:val="1"/>
        </w:numPr>
      </w:pPr>
      <w:r>
        <w:rPr>
          <w:rFonts w:hint="eastAsia"/>
        </w:rPr>
        <w:t>tests/：模块一坐标转换测试工程（tests/module1_coordinate/，8 个文件 33 条用例）。</w:t>
      </w:r>
    </w:p>
    <w:p w14:paraId="2B968B86">
      <w:pPr>
        <w:pStyle w:val="00000a"/>
        <w:numPr>
          <w:ilvl w:val="0"/>
          <w:numId w:val="1"/>
        </w:numPr>
      </w:pPr>
      <w:r>
        <w:rPr>
          <w:rFonts w:hint="eastAsia"/>
        </w:rPr>
        <w:t>test_results/module1/：测试日志、JUnit XML、截图和复测证据。</w:t>
      </w:r>
    </w:p>
    <w:p w14:paraId="105B764E">
      <w:pPr>
        <w:pStyle w:val="00000a"/>
        <w:numPr>
          <w:ilvl w:val="0"/>
          <w:numId w:val="1"/>
        </w:numPr>
      </w:pPr>
      <w:r>
        <w:rPr>
          <w:rFonts w:hint="eastAsia"/>
        </w:rPr>
        <w:t>deliverables/module1/：测试用例清单、缺陷报告、测试报告、操作手册和检查清单。</w:t>
      </w:r>
    </w:p>
    <w:p w14:paraId="5BD7EE75">
      <w:pPr>
        <w:pStyle w:val="00000a"/>
        <w:numPr>
          <w:ilvl w:val="0"/>
          <w:numId w:val="1"/>
        </w:numPr>
      </w:pPr>
      <w:r>
        <w:rPr>
          <w:rFonts w:hint="eastAsia"/>
        </w:rPr>
        <w:t>run_vggt_demo.ps1：从正确工作目录启动现有 demo_gradio_cn.py。</w:t>
      </w:r>
    </w:p>
    <w:p w14:paraId="256E3109">
      <w:pPr>
        <w:pStyle w:val="00000a"/>
        <w:numPr>
          <w:ilvl w:val="0"/>
          <w:numId w:val="1"/>
        </w:numPr>
      </w:pPr>
      <w:r>
        <w:rPr>
          <w:rFonts w:hint="eastAsia"/>
        </w:rPr>
        <w:t>run_tests.ps1：模块一一键测试入口，已创建并可用。双击运行模块一测试.bat：模块一一键测试的双击入口，已创建并可用。</w:t>
      </w:r>
    </w:p>
    <w:p w14:paraId="43254D85">
      <w:pPr>
        <w:spacing w:after="80"/>
      </w:pPr>
    </w:p>
    <w:p w14:paraId="3564E989">
      <w:pPr>
        <w:pStyle w:val="000003"/>
      </w:pPr>
      <w:r>
        <w:rPr>
          <w:rFonts w:hint="eastAsia"/>
        </w:rPr>
        <w:t>3. 环境准备</w:t>
      </w:r>
    </w:p>
    <w:p w14:paraId="533E8419">
      <w:pPr>
        <w:spacing w:after="80"/>
      </w:pPr>
    </w:p>
    <w:p w14:paraId="13596640">
      <w:pPr>
        <w:pStyle w:val="00000a"/>
        <w:numPr>
          <w:ilvl w:val="0"/>
          <w:numId w:val="2"/>
        </w:numPr>
      </w:pPr>
      <w:r>
        <w:rPr>
          <w:rFonts w:hint="eastAsia"/>
        </w:rPr>
        <w:t>确认 Windows 能正常识别 NVIDIA GPU 和 CUDA。</w:t>
      </w:r>
    </w:p>
    <w:p w14:paraId="3B796043">
      <w:pPr>
        <w:pStyle w:val="00000a"/>
        <w:numPr>
          <w:ilvl w:val="0"/>
          <w:numId w:val="2"/>
        </w:numPr>
      </w:pPr>
      <w:r>
        <w:rPr>
          <w:rFonts w:hint="eastAsia"/>
        </w:rPr>
        <w:t>确认 Conda 环境 Pytorch_Vggt 存在，其 Python 默认路径为 D:\anaconda3\envs\Pytorch_Vggt\python.exe。</w:t>
      </w:r>
    </w:p>
    <w:p w14:paraId="256E9F09">
      <w:pPr>
        <w:pStyle w:val="00000a"/>
        <w:numPr>
          <w:ilvl w:val="0"/>
          <w:numId w:val="2"/>
        </w:numPr>
      </w:pPr>
      <w:r>
        <w:rPr>
          <w:rFonts w:hint="eastAsia"/>
        </w:rPr>
        <w:t>确认模型权重位于 E:\0_work\1shijian\model.pt（本工程上一级）。</w:t>
      </w:r>
    </w:p>
    <w:p w14:paraId="1AC95A8F">
      <w:pPr>
        <w:pStyle w:val="00000a"/>
        <w:numPr>
          <w:ilvl w:val="0"/>
          <w:numId w:val="2"/>
        </w:numPr>
      </w:pPr>
      <w:r>
        <w:rPr>
          <w:rFonts w:hint="eastAsia"/>
        </w:rPr>
        <w:t>确认 Software_testing/vggt-main/requirements.txt 和 requirements_demo.txt 中的依赖已安装。</w:t>
      </w:r>
    </w:p>
    <w:p w14:paraId="73AB272B">
      <w:pPr>
        <w:pStyle w:val="00000a"/>
        <w:numPr>
          <w:ilvl w:val="0"/>
          <w:numId w:val="2"/>
        </w:numPr>
      </w:pPr>
      <w:r>
        <w:rPr>
          <w:rFonts w:hint="eastAsia"/>
        </w:rPr>
        <w:t>模型权重体积较大，不应提交到课程 Git 仓库；应在 README 中记录合法获取方式、存放位置和必要的校验信息。</w:t>
      </w:r>
    </w:p>
    <w:p w14:paraId="0DFBC0A3">
      <w:pPr>
        <w:spacing w:after="80"/>
      </w:pPr>
    </w:p>
    <w:p w14:paraId="7892FE71">
      <w:pPr>
        <w:pStyle w:val="000003"/>
      </w:pPr>
      <w:r>
        <w:rPr>
          <w:rFonts w:hint="eastAsia"/>
        </w:rPr>
        <w:t>4. 启动和停止可视化</w:t>
      </w:r>
    </w:p>
    <w:p w14:paraId="1ADCE671">
      <w:pPr>
        <w:spacing w:after="80"/>
      </w:pPr>
    </w:p>
    <w:p w14:paraId="2A95ED86">
      <w:pPr>
        <w:pStyle w:val="000004"/>
      </w:pPr>
      <w:r>
        <w:rPr>
          <w:rFonts w:hint="eastAsia"/>
        </w:rPr>
        <w:t>4.1 推荐方式</w:t>
      </w:r>
    </w:p>
    <w:p w14:paraId="44C9F900">
      <w:pPr>
        <w:spacing w:after="80"/>
      </w:pPr>
    </w:p>
    <w:p w14:paraId="7DAC3B45">
      <w:r>
        <w:rPr>
          <w:rFonts w:hint="eastAsia"/>
        </w:rPr>
        <w:t>在 Software_testing 根目录打开 PowerShell，运行：</w:t>
      </w:r>
    </w:p>
    <w:p w14:paraId="1FF5A342">
      <w:pPr>
        <w:spacing w:after="80"/>
      </w:pPr>
    </w:p>
    <w:p w14:paraId="52676FA7">
      <w:pPr>
        <w:shd w:val="clear" w:fill="F3F4F6"/>
        <w:spacing w:after="0"/>
      </w:pPr>
      <w:r>
        <w:rPr>
          <w:rFonts w:ascii="Consolas" w:hAnsi="Consolas" w:eastAsia="Consolas" w:cs="Consolas"/>
          <w:sz w:val="19"/>
          <w:szCs w:val="19"/>
        </w:rPr>
        <w:t>powershell -ExecutionPolicy Bypass -File .\run_vggt_demo.ps1</w:t>
      </w:r>
    </w:p>
    <w:p w14:paraId="6C5C5667">
      <w:pPr>
        <w:spacing w:after="80"/>
      </w:pPr>
    </w:p>
    <w:p w14:paraId="5449C307">
      <w:r>
        <w:rPr>
          <w:rFonts w:hint="eastAsia"/>
        </w:rPr>
        <w:t>脚本会检查模型权重和 Python，自动把当前工作目录切换到 vggt-main，然后调用原始 demo_gradio_cn.py。</w:t>
      </w:r>
    </w:p>
    <w:p w14:paraId="7671F884">
      <w:pPr>
        <w:spacing w:after="80"/>
      </w:pPr>
    </w:p>
    <w:p w14:paraId="7D58C228">
      <w:r>
        <w:rPr>
          <w:rFonts w:hint="eastAsia"/>
        </w:rPr>
        <w:t>如需指定 Python：</w:t>
      </w:r>
    </w:p>
    <w:p w14:paraId="1F962A9E">
      <w:pPr>
        <w:spacing w:after="80"/>
      </w:pPr>
    </w:p>
    <w:p w14:paraId="4900F919">
      <w:pPr>
        <w:shd w:val="clear" w:fill="F3F4F6"/>
        <w:spacing w:after="0"/>
      </w:pPr>
      <w:r>
        <w:rPr>
          <w:rFonts w:ascii="Consolas" w:hAnsi="Consolas" w:eastAsia="Consolas" w:cs="Consolas"/>
          <w:sz w:val="19"/>
          <w:szCs w:val="19"/>
        </w:rPr>
        <w:t>.\run_vggt_demo.ps1 -PythonExecutable "D:\anaconda3\envs\Pytorch_Vggt\python.exe"</w:t>
      </w:r>
    </w:p>
    <w:p w14:paraId="6B38C568">
      <w:pPr>
        <w:spacing w:after="80"/>
      </w:pPr>
    </w:p>
    <w:p w14:paraId="5057B2DB">
      <w:pPr>
        <w:pStyle w:val="000004"/>
      </w:pPr>
      <w:r>
        <w:rPr>
          <w:rFonts w:hint="eastAsia"/>
        </w:rPr>
        <w:t>4.2 直接运行原程序</w:t>
      </w:r>
    </w:p>
    <w:p w14:paraId="721FAA2C">
      <w:pPr>
        <w:spacing w:after="80"/>
      </w:pPr>
    </w:p>
    <w:p w14:paraId="27FDF819">
      <w:pPr>
        <w:shd w:val="clear" w:fill="F3F4F6"/>
        <w:spacing w:after="0"/>
      </w:pPr>
      <w:r>
        <w:rPr>
          <w:rFonts w:ascii="Consolas" w:hAnsi="Consolas" w:eastAsia="Consolas" w:cs="Consolas"/>
          <w:sz w:val="19"/>
          <w:szCs w:val="19"/>
        </w:rPr>
        <w:t>Set-Location "E:\0_work\1shijian\Software_testing\vggt-main"</w:t>
      </w:r>
    </w:p>
    <w:p w14:paraId="28DB1AF1">
      <w:pPr>
        <w:shd w:val="clear" w:fill="F3F4F6"/>
        <w:spacing w:after="0"/>
      </w:pPr>
      <w:r>
        <w:rPr>
          <w:rFonts w:ascii="Consolas" w:hAnsi="Consolas" w:eastAsia="Consolas" w:cs="Consolas"/>
          <w:sz w:val="19"/>
          <w:szCs w:val="19"/>
        </w:rPr>
        <w:t>&amp; "D:\anaconda3\envs\Pytorch_Vggt\python.exe" ".\demo_gradio_cn.py"</w:t>
      </w:r>
    </w:p>
    <w:p w14:paraId="4ADC6212">
      <w:pPr>
        <w:spacing w:after="80"/>
      </w:pPr>
    </w:p>
    <w:p w14:paraId="1A8089CF">
      <w:r>
        <w:rPr>
          <w:rFonts w:hint="eastAsia"/>
        </w:rPr>
        <w:t>不要从其他工作目录直接调用该 Python 文件，否则脚本中现有的相对路径可能无法解析。</w:t>
      </w:r>
    </w:p>
    <w:p w14:paraId="34C8BDD8">
      <w:pPr>
        <w:spacing w:after="80"/>
      </w:pPr>
    </w:p>
    <w:p w14:paraId="44A5154A">
      <w:pPr>
        <w:pStyle w:val="000004"/>
      </w:pPr>
      <w:r>
        <w:rPr>
          <w:rFonts w:hint="eastAsia"/>
        </w:rPr>
        <w:t>4.3 停止服务</w:t>
      </w:r>
    </w:p>
    <w:p w14:paraId="665C2E78">
      <w:pPr>
        <w:spacing w:after="80"/>
      </w:pPr>
    </w:p>
    <w:p w14:paraId="7097495B">
      <w:r>
        <w:rPr>
          <w:rFonts w:hint="eastAsia"/>
        </w:rPr>
        <w:t>回到启动服务的终端并按 Ctrl+C。确认 Python 进程退出后再清理本次运行产物。不要在模型仍写文件时强行删除输出目录。</w:t>
      </w:r>
    </w:p>
    <w:p w14:paraId="125FA26B">
      <w:pPr>
        <w:spacing w:after="80"/>
      </w:pPr>
    </w:p>
    <w:p w14:paraId="5DE730C4">
      <w:pPr>
        <w:pStyle w:val="000003"/>
      </w:pPr>
      <w:r>
        <w:rPr>
          <w:rFonts w:hint="eastAsia"/>
        </w:rPr>
        <w:t>5. 可视化基本操作</w:t>
      </w:r>
    </w:p>
    <w:p w14:paraId="7FBC14C5">
      <w:pPr>
        <w:spacing w:after="80"/>
      </w:pPr>
    </w:p>
    <w:p w14:paraId="282B1326">
      <w:pPr>
        <w:pStyle w:val="00000a"/>
        <w:numPr>
          <w:ilvl w:val="0"/>
          <w:numId w:val="2"/>
        </w:numPr>
      </w:pPr>
      <w:r>
        <w:rPr>
          <w:rFonts w:hint="eastAsia"/>
        </w:rPr>
        <w:t>等待终端显示模型加载完成和本地 Gradio 地址。</w:t>
      </w:r>
    </w:p>
    <w:p w14:paraId="12CB657B">
      <w:pPr>
        <w:pStyle w:val="00000a"/>
        <w:numPr>
          <w:ilvl w:val="0"/>
          <w:numId w:val="2"/>
        </w:numPr>
      </w:pPr>
      <w:r>
        <w:rPr>
          <w:rFonts w:hint="eastAsia"/>
        </w:rPr>
        <w:t>在浏览器中打开该地址。</w:t>
      </w:r>
    </w:p>
    <w:p w14:paraId="5DD8E5BD">
      <w:pPr>
        <w:pStyle w:val="00000a"/>
        <w:numPr>
          <w:ilvl w:val="0"/>
          <w:numId w:val="2"/>
        </w:numPr>
      </w:pPr>
      <w:r>
        <w:rPr>
          <w:rFonts w:hint="eastAsia"/>
        </w:rPr>
        <w:t>可上传 vggt_input/single_cartoon/images/ 中的单张图片进行快速人工确认，也可选择其他现有图片序列或视频。</w:t>
      </w:r>
    </w:p>
    <w:p w14:paraId="491D5239">
      <w:pPr>
        <w:pStyle w:val="00000a"/>
        <w:numPr>
          <w:ilvl w:val="0"/>
          <w:numId w:val="2"/>
        </w:numPr>
      </w:pPr>
      <w:r>
        <w:rPr>
          <w:rFonts w:hint="eastAsia"/>
        </w:rPr>
        <w:t>点击 Reconstruct，等待三维重建完成。</w:t>
      </w:r>
    </w:p>
    <w:p w14:paraId="3F2E45D0">
      <w:pPr>
        <w:pStyle w:val="00000a"/>
        <w:numPr>
          <w:ilvl w:val="0"/>
          <w:numId w:val="2"/>
        </w:numPr>
      </w:pPr>
      <w:r>
        <w:rPr>
          <w:rFonts w:hint="eastAsia"/>
        </w:rPr>
        <w:t>确认页面显示三维模型、运行状态和深度图；可切换相机显示、置信度阈值和预测模式观察界面行为。</w:t>
      </w:r>
    </w:p>
    <w:p w14:paraId="4DA725F1">
      <w:pPr>
        <w:pStyle w:val="00000a"/>
        <w:numPr>
          <w:ilvl w:val="0"/>
          <w:numId w:val="2"/>
        </w:numPr>
      </w:pPr>
      <w:r>
        <w:rPr>
          <w:rFonts w:hint="eastAsia"/>
        </w:rPr>
        <w:t>确认运行产物位于本次 input_images_... 工作目录，并按现有逻辑备份至 vggt_output/gradio/。</w:t>
      </w:r>
    </w:p>
    <w:p w14:paraId="63EC01FD">
      <w:pPr>
        <w:spacing w:after="80"/>
      </w:pPr>
    </w:p>
    <w:p w14:paraId="7E13221C">
      <w:r>
        <w:rPr>
          <w:rFonts w:hint="eastAsia"/>
        </w:rPr>
        <w:t>本节仅用于确认外围改动没有破坏既有可视化功能，不计入模块一的 30 条正式测试用例。</w:t>
      </w:r>
    </w:p>
    <w:p w14:paraId="1C4BCA8A">
      <w:pPr>
        <w:spacing w:after="80"/>
      </w:pPr>
    </w:p>
    <w:p w14:paraId="256D2109">
      <w:pPr>
        <w:pStyle w:val="000003"/>
      </w:pPr>
      <w:r>
        <w:rPr>
          <w:rFonts w:hint="eastAsia"/>
        </w:rPr>
        <w:t>6. 建立模块一测试工程</w:t>
      </w:r>
    </w:p>
    <w:p w14:paraId="3B5AC575">
      <w:pPr>
        <w:spacing w:after="80"/>
      </w:pPr>
    </w:p>
    <w:p w14:paraId="6E95276C">
      <w:pPr>
        <w:pStyle w:val="00000a"/>
        <w:numPr>
          <w:ilvl w:val="0"/>
          <w:numId w:val="2"/>
        </w:numPr>
      </w:pPr>
      <w:r>
        <w:rPr>
          <w:rFonts w:hint="eastAsia"/>
        </w:rPr>
        <w:t>评审附录1中现有的 32 条用例及 M1-GEO-001 至 M1-GEO-032 编号规则。</w:t>
      </w:r>
    </w:p>
    <w:p w14:paraId="17C8998F">
      <w:pPr>
        <w:pStyle w:val="00000a"/>
        <w:numPr>
          <w:ilvl w:val="0"/>
          <w:numId w:val="2"/>
        </w:numPr>
      </w:pPr>
      <w:r>
        <w:rPr>
          <w:rFonts w:hint="eastAsia"/>
        </w:rPr>
        <w:t>确认每条用例的输入、预期结果和浮点比较容差适合当前代码版本。</w:t>
      </w:r>
    </w:p>
    <w:p w14:paraId="1287A35F">
      <w:pPr>
        <w:pStyle w:val="00000a"/>
        <w:numPr>
          <w:ilvl w:val="0"/>
          <w:numId w:val="2"/>
        </w:numPr>
      </w:pPr>
      <w:r>
        <w:rPr>
          <w:rFonts w:hint="eastAsia"/>
        </w:rPr>
        <w:t>保留“备注”列中的等价类、边界值、错误推测、判定表和组合覆盖标记。</w:t>
      </w:r>
    </w:p>
    <w:p w14:paraId="27B32C81">
      <w:pPr>
        <w:pStyle w:val="00000a"/>
        <w:numPr>
          <w:ilvl w:val="0"/>
          <w:numId w:val="2"/>
        </w:numPr>
      </w:pPr>
      <w:r>
        <w:rPr>
          <w:rFonts w:hint="eastAsia"/>
        </w:rPr>
        <w:t>在 tests/ 中实现对应 pytest 测试，至少 24 条实现自动化，建议全部自动化。</w:t>
      </w:r>
    </w:p>
    <w:p w14:paraId="6E6F31CA">
      <w:pPr>
        <w:pStyle w:val="00000a"/>
        <w:numPr>
          <w:ilvl w:val="0"/>
          <w:numId w:val="2"/>
        </w:numPr>
      </w:pPr>
      <w:r>
        <w:rPr>
          <w:rFonts w:hint="eastAsia"/>
        </w:rPr>
        <w:t>创建根目录 run_tests.ps1，设置 vggt-main 的导入路径并统一运行全部测试。</w:t>
      </w:r>
    </w:p>
    <w:p w14:paraId="67598A24">
      <w:pPr>
        <w:pStyle w:val="00000a"/>
        <w:numPr>
          <w:ilvl w:val="0"/>
          <w:numId w:val="2"/>
        </w:numPr>
      </w:pPr>
      <w:r>
        <w:rPr>
          <w:rFonts w:hint="eastAsia"/>
        </w:rPr>
        <w:t>测试代码不得导入 demo_gradio_cn.py；该脚本导入时会加载模型并启动网页服务，不适合作为单元测试依赖。</w:t>
      </w:r>
    </w:p>
    <w:p w14:paraId="06C98FD9">
      <w:pPr>
        <w:pStyle w:val="00000a"/>
        <w:numPr>
          <w:ilvl w:val="0"/>
          <w:numId w:val="2"/>
        </w:numPr>
      </w:pPr>
      <w:r>
        <w:rPr>
          <w:rFonts w:hint="eastAsia"/>
        </w:rPr>
        <w:t>为每项测试建立“需求—用例—测试函数—执行结果—缺陷”的可追溯关系。</w:t>
      </w:r>
    </w:p>
    <w:p w14:paraId="24B1A7EA">
      <w:pPr>
        <w:spacing w:after="80"/>
      </w:pPr>
    </w:p>
    <w:p w14:paraId="2FD89E3E">
      <w:pPr>
        <w:pStyle w:val="000003"/>
      </w:pPr>
      <w:r>
        <w:rPr>
          <w:rFonts w:hint="eastAsia"/>
        </w:rPr>
        <w:t>7. 运行人工编写的测试</w:t>
      </w:r>
    </w:p>
    <w:p w14:paraId="4D92E6B0">
      <w:pPr>
        <w:spacing w:after="80"/>
      </w:pPr>
    </w:p>
    <w:p w14:paraId="741D1A2F">
      <w:r>
        <w:rPr>
          <w:rFonts w:hint="eastAsia"/>
        </w:rPr>
        <w:t>人工完成 run_tests.ps1 后，在仓库根目录运行：</w:t>
      </w:r>
    </w:p>
    <w:p w14:paraId="0A49EABF">
      <w:pPr>
        <w:spacing w:after="80"/>
      </w:pPr>
    </w:p>
    <w:p w14:paraId="4F80B588">
      <w:pPr>
        <w:shd w:val="clear" w:fill="F3F4F6"/>
        <w:spacing w:after="0"/>
      </w:pPr>
      <w:r>
        <w:rPr>
          <w:rFonts w:ascii="Consolas" w:hAnsi="Consolas" w:eastAsia="Consolas" w:cs="Consolas"/>
          <w:sz w:val="19"/>
          <w:szCs w:val="19"/>
        </w:rPr>
        <w:t>powershell -ExecutionPolicy Bypass -File .\run_tests.ps1</w:t>
      </w:r>
    </w:p>
    <w:p w14:paraId="6DC8913B">
      <w:pPr>
        <w:spacing w:after="80"/>
      </w:pPr>
    </w:p>
    <w:p w14:paraId="2812B690">
      <w:r>
        <w:rPr>
          <w:rFonts w:hint="eastAsia"/>
        </w:rPr>
        <w:t>一键入口至少应完成以下工作：</w:t>
      </w:r>
    </w:p>
    <w:p w14:paraId="4E6ADF33">
      <w:pPr>
        <w:spacing w:after="80"/>
      </w:pPr>
    </w:p>
    <w:p w14:paraId="382C5F26">
      <w:pPr>
        <w:pStyle w:val="00000a"/>
        <w:numPr>
          <w:ilvl w:val="0"/>
          <w:numId w:val="1"/>
        </w:numPr>
      </w:pPr>
      <w:r>
        <w:rPr>
          <w:rFonts w:hint="eastAsia"/>
        </w:rPr>
        <w:t>检查测试依赖；</w:t>
      </w:r>
    </w:p>
    <w:p w14:paraId="24CEDF4E">
      <w:pPr>
        <w:pStyle w:val="00000a"/>
        <w:numPr>
          <w:ilvl w:val="0"/>
          <w:numId w:val="1"/>
        </w:numPr>
      </w:pPr>
      <w:r>
        <w:rPr>
          <w:rFonts w:hint="eastAsia"/>
        </w:rPr>
        <w:t>运行全部人工编写的自动化用例；</w:t>
      </w:r>
    </w:p>
    <w:p w14:paraId="5DD8B5E9">
      <w:pPr>
        <w:pStyle w:val="00000a"/>
        <w:numPr>
          <w:ilvl w:val="0"/>
          <w:numId w:val="1"/>
        </w:numPr>
      </w:pPr>
      <w:r>
        <w:rPr>
          <w:rFonts w:hint="eastAsia"/>
        </w:rPr>
        <w:t>在终端输出用例总数、通过数、失败数和跳过数；</w:t>
      </w:r>
    </w:p>
    <w:p w14:paraId="0C7D503C">
      <w:pPr>
        <w:pStyle w:val="00000a"/>
        <w:numPr>
          <w:ilvl w:val="0"/>
          <w:numId w:val="1"/>
        </w:numPr>
      </w:pPr>
      <w:r>
        <w:rPr>
          <w:rFonts w:hint="eastAsia"/>
        </w:rPr>
        <w:t>把 JUnit XML 和完整日志保存至 test_results/module1/；</w:t>
      </w:r>
    </w:p>
    <w:p w14:paraId="356EB151">
      <w:pPr>
        <w:pStyle w:val="00000a"/>
        <w:numPr>
          <w:ilvl w:val="0"/>
          <w:numId w:val="1"/>
        </w:numPr>
      </w:pPr>
      <w:r>
        <w:rPr>
          <w:rFonts w:hint="eastAsia"/>
        </w:rPr>
        <w:t>以非零退出码表示测试失败。</w:t>
      </w:r>
    </w:p>
    <w:p w14:paraId="4B243555">
      <w:pPr>
        <w:spacing w:after="80"/>
      </w:pPr>
    </w:p>
    <w:p w14:paraId="4D0147F7">
      <w:r>
        <w:rPr>
          <w:rFonts w:hint="eastAsia"/>
        </w:rPr>
        <w:t>run_tests.ps1 与 33 条用例均已实现并提交；直接运行即可。</w:t>
      </w:r>
    </w:p>
    <w:p w14:paraId="6F486FF6">
      <w:pPr>
        <w:spacing w:after="80"/>
      </w:pPr>
    </w:p>
    <w:p w14:paraId="55CA6881">
      <w:pPr>
        <w:pStyle w:val="000003"/>
      </w:pPr>
      <w:r>
        <w:rPr>
          <w:rFonts w:hint="eastAsia"/>
        </w:rPr>
        <w:t>8. 填写测试用例清单</w:t>
      </w:r>
    </w:p>
    <w:p w14:paraId="7403470E">
      <w:pPr>
        <w:spacing w:after="80"/>
      </w:pPr>
    </w:p>
    <w:p w14:paraId="2F318DA5">
      <w:pPr>
        <w:pStyle w:val="00000a"/>
        <w:numPr>
          <w:ilvl w:val="0"/>
          <w:numId w:val="2"/>
        </w:numPr>
      </w:pPr>
      <w:r>
        <w:rPr>
          <w:rFonts w:hint="eastAsia"/>
        </w:rPr>
        <w:t>打开 VGGT模块一测试用例清单.xlsx。</w:t>
      </w:r>
    </w:p>
    <w:p w14:paraId="6EE6AA64">
      <w:pPr>
        <w:pStyle w:val="00000a"/>
        <w:numPr>
          <w:ilvl w:val="0"/>
          <w:numId w:val="2"/>
        </w:numPr>
      </w:pPr>
      <w:r>
        <w:rPr>
          <w:rFonts w:hint="eastAsia"/>
        </w:rPr>
        <w:t>在“文档信息”页补全产品版本、项目编号、拟制人、评审人、批准人和日期。</w:t>
      </w:r>
    </w:p>
    <w:p w14:paraId="035D6632">
      <w:pPr>
        <w:pStyle w:val="00000a"/>
        <w:numPr>
          <w:ilvl w:val="0"/>
          <w:numId w:val="2"/>
        </w:numPr>
      </w:pPr>
      <w:r>
        <w:rPr>
          <w:rFonts w:hint="eastAsia"/>
        </w:rPr>
        <w:t>“测试用例”页含 33 条执行记录；评审测试编号、测试项、重要级别、预置条件、输入、步骤、预期结果和测试方法。</w:t>
      </w:r>
    </w:p>
    <w:p w14:paraId="7724DC62">
      <w:pPr>
        <w:pStyle w:val="00000a"/>
        <w:numPr>
          <w:ilvl w:val="0"/>
          <w:numId w:val="2"/>
        </w:numPr>
      </w:pPr>
      <w:r>
        <w:rPr>
          <w:rFonts w:hint="eastAsia"/>
        </w:rPr>
        <w:t>测试编号应使用小组统一规则，并能关联测试函数和缺陷编号。</w:t>
      </w:r>
    </w:p>
    <w:p w14:paraId="7E9F7A4B">
      <w:pPr>
        <w:pStyle w:val="00000a"/>
        <w:numPr>
          <w:ilvl w:val="0"/>
          <w:numId w:val="2"/>
        </w:numPr>
      </w:pPr>
      <w:r>
        <w:rPr>
          <w:rFonts w:hint="eastAsia"/>
        </w:rPr>
        <w:t>实际结果和状态已按 2026-09-14 的真实执行回填（30 条 OK、2 条 NG）；不得把“可自动化”误认为已经实现或已经通过。</w:t>
      </w:r>
    </w:p>
    <w:p w14:paraId="5B816E08">
      <w:pPr>
        <w:pStyle w:val="00000a"/>
        <w:numPr>
          <w:ilvl w:val="0"/>
          <w:numId w:val="2"/>
        </w:numPr>
      </w:pPr>
      <w:r>
        <w:rPr>
          <w:rFonts w:hint="eastAsia"/>
        </w:rPr>
        <w:t>检查首页统计与测试日志一致。不得用手工修改汇总数字掩盖明细差异。</w:t>
      </w:r>
    </w:p>
    <w:p w14:paraId="7DC857BB">
      <w:pPr>
        <w:spacing w:after="80"/>
      </w:pPr>
    </w:p>
    <w:p w14:paraId="41732016">
      <w:pPr>
        <w:pStyle w:val="000003"/>
      </w:pPr>
      <w:r>
        <w:rPr>
          <w:rFonts w:hint="eastAsia"/>
        </w:rPr>
        <w:t>9. 缺陷记录与复测</w:t>
      </w:r>
    </w:p>
    <w:p w14:paraId="634A0474">
      <w:pPr>
        <w:spacing w:after="80"/>
      </w:pPr>
    </w:p>
    <w:p w14:paraId="087E9047">
      <w:pPr>
        <w:pStyle w:val="00000a"/>
        <w:numPr>
          <w:ilvl w:val="0"/>
          <w:numId w:val="2"/>
        </w:numPr>
      </w:pPr>
      <w:r>
        <w:rPr>
          <w:rFonts w:hint="eastAsia"/>
        </w:rPr>
        <w:t>测试失败后先排除用例、环境和数据问题，再判断是否为软件缺陷。</w:t>
      </w:r>
    </w:p>
    <w:p w14:paraId="6883259D">
      <w:pPr>
        <w:pStyle w:val="00000a"/>
        <w:numPr>
          <w:ilvl w:val="0"/>
          <w:numId w:val="2"/>
        </w:numPr>
      </w:pPr>
      <w:r>
        <w:rPr>
          <w:rFonts w:hint="eastAsia"/>
        </w:rPr>
        <w:t>对有效缺陷记录测试环境、软件版本、关联用例、复现步骤、预期结果、实际结果、严重程度、优先级、附件和发现人。</w:t>
      </w:r>
    </w:p>
    <w:p w14:paraId="77360741">
      <w:pPr>
        <w:pStyle w:val="00000a"/>
        <w:numPr>
          <w:ilvl w:val="0"/>
          <w:numId w:val="2"/>
        </w:numPr>
      </w:pPr>
      <w:r>
        <w:rPr>
          <w:rFonts w:hint="eastAsia"/>
        </w:rPr>
        <w:t>保存能够证明问题的终端日志、截图或最小输入，附件名称包含缺陷编号。</w:t>
      </w:r>
    </w:p>
    <w:p w14:paraId="7B58467F">
      <w:pPr>
        <w:pStyle w:val="00000a"/>
        <w:numPr>
          <w:ilvl w:val="0"/>
          <w:numId w:val="2"/>
        </w:numPr>
      </w:pPr>
      <w:r>
        <w:rPr>
          <w:rFonts w:hint="eastAsia"/>
        </w:rPr>
        <w:t>修复时记录解决者、解决日期、修复提交、解决方案和影响范围。</w:t>
      </w:r>
    </w:p>
    <w:p w14:paraId="71C840B1">
      <w:pPr>
        <w:pStyle w:val="00000a"/>
        <w:numPr>
          <w:ilvl w:val="0"/>
          <w:numId w:val="2"/>
        </w:numPr>
      </w:pPr>
      <w:r>
        <w:rPr>
          <w:rFonts w:hint="eastAsia"/>
        </w:rPr>
        <w:t>使用原失败用例复测，并执行相关回归测试。</w:t>
      </w:r>
    </w:p>
    <w:p w14:paraId="366EE1BA">
      <w:pPr>
        <w:pStyle w:val="00000a"/>
        <w:numPr>
          <w:ilvl w:val="0"/>
          <w:numId w:val="2"/>
        </w:numPr>
      </w:pPr>
      <w:r>
        <w:rPr>
          <w:rFonts w:hint="eastAsia"/>
        </w:rPr>
        <w:t>只有复测通过后才能关闭缺陷。模块一最终至少需要 3 个真实、有效且有修复验证的缺陷，不得虚构或拆分同一问题凑数。</w:t>
      </w:r>
    </w:p>
    <w:p w14:paraId="48268529">
      <w:pPr>
        <w:spacing w:after="80"/>
      </w:pPr>
    </w:p>
    <w:p w14:paraId="1C811E88">
      <w:pPr>
        <w:pStyle w:val="000003"/>
      </w:pPr>
      <w:r>
        <w:rPr>
          <w:rFonts w:hint="eastAsia"/>
        </w:rPr>
        <w:t>10. 测试报告填写</w:t>
      </w:r>
    </w:p>
    <w:p w14:paraId="3D49C4FA">
      <w:pPr>
        <w:spacing w:after="80"/>
      </w:pPr>
    </w:p>
    <w:p w14:paraId="7714DA36">
      <w:r>
        <w:rPr>
          <w:rFonts w:hint="eastAsia"/>
        </w:rPr>
        <w:t>按照附录3依次填写：被测对象概述、测试范围、测试策略、测试环境、用例总览、5–8 个典型用例、需求—用例分布、自动化架构、关键实现、执行结果、缺陷摘要、典型缺陷根因、质量结论和成员贡献度。</w:t>
      </w:r>
    </w:p>
    <w:p w14:paraId="094A2A94">
      <w:pPr>
        <w:spacing w:after="80"/>
      </w:pPr>
    </w:p>
    <w:p w14:paraId="765A8A12">
      <w:r>
        <w:rPr>
          <w:rFonts w:hint="eastAsia"/>
        </w:rPr>
        <w:t>报告中的用例数、通过数、失败数、通过率和缺陷数必须与 Excel、JUnit XML、日志及缺陷报告一致。成员贡献度总和必须等于 100%，并能由个人 Git 提交记录支撑。</w:t>
      </w:r>
    </w:p>
    <w:p w14:paraId="17AC65BC">
      <w:pPr>
        <w:spacing w:after="80"/>
      </w:pPr>
    </w:p>
    <w:p w14:paraId="30E4AAE9">
      <w:pPr>
        <w:pStyle w:val="000003"/>
      </w:pPr>
      <w:r>
        <w:rPr>
          <w:rFonts w:hint="eastAsia"/>
        </w:rPr>
        <w:t>11. 证据截图与文件命名</w:t>
      </w:r>
    </w:p>
    <w:p w14:paraId="529CC2DA">
      <w:pPr>
        <w:spacing w:after="80"/>
      </w:pPr>
    </w:p>
    <w:p w14:paraId="612E92B6">
      <w:pPr>
        <w:pStyle w:val="00000a"/>
        <w:numPr>
          <w:ilvl w:val="0"/>
          <w:numId w:val="1"/>
        </w:numPr>
      </w:pPr>
      <w:r>
        <w:rPr>
          <w:rFonts w:hint="eastAsia"/>
        </w:rPr>
        <w:t>截图应包含可识别的测试编号、时间、版本或终端命令。</w:t>
      </w:r>
    </w:p>
    <w:p w14:paraId="1A157E1D">
      <w:pPr>
        <w:pStyle w:val="00000a"/>
        <w:numPr>
          <w:ilvl w:val="0"/>
          <w:numId w:val="1"/>
        </w:numPr>
      </w:pPr>
      <w:r>
        <w:rPr>
          <w:rFonts w:hint="eastAsia"/>
        </w:rPr>
        <w:t>建议使用“编号_简短说明_日期”的命名方式。</w:t>
      </w:r>
    </w:p>
    <w:p w14:paraId="53030778">
      <w:pPr>
        <w:pStyle w:val="00000a"/>
        <w:numPr>
          <w:ilvl w:val="0"/>
          <w:numId w:val="1"/>
        </w:numPr>
      </w:pPr>
      <w:r>
        <w:rPr>
          <w:rFonts w:hint="eastAsia"/>
        </w:rPr>
        <w:t>原始日志保留完整版本，报告中只引用必要片段。</w:t>
      </w:r>
    </w:p>
    <w:p w14:paraId="13E4914B">
      <w:pPr>
        <w:pStyle w:val="00000a"/>
        <w:numPr>
          <w:ilvl w:val="0"/>
          <w:numId w:val="1"/>
        </w:numPr>
      </w:pPr>
      <w:r>
        <w:rPr>
          <w:rFonts w:hint="eastAsia"/>
        </w:rPr>
        <w:t>不在截图、日志或报告中暴露密码、令牌、本地证书和其他敏感信息。</w:t>
      </w:r>
    </w:p>
    <w:p w14:paraId="2E766839">
      <w:pPr>
        <w:pStyle w:val="00000a"/>
        <w:numPr>
          <w:ilvl w:val="0"/>
          <w:numId w:val="1"/>
        </w:numPr>
      </w:pPr>
      <w:r>
        <w:rPr>
          <w:rFonts w:hint="eastAsia"/>
        </w:rPr>
        <w:t>不把可再生的大型 GLB、点云、缓存和模型权重提交到仓库。</w:t>
      </w:r>
    </w:p>
    <w:p w14:paraId="4C810C88">
      <w:pPr>
        <w:spacing w:after="80"/>
      </w:pPr>
    </w:p>
    <w:p w14:paraId="5C915B1E">
      <w:pPr>
        <w:pStyle w:val="000003"/>
      </w:pPr>
      <w:r>
        <w:rPr>
          <w:rFonts w:hint="eastAsia"/>
        </w:rPr>
        <w:t>12. 常见问题</w:t>
      </w:r>
    </w:p>
    <w:p w14:paraId="7ADA7B8F">
      <w:pPr>
        <w:spacing w:after="80"/>
      </w:pPr>
    </w:p>
    <w:p w14:paraId="6C5CB36C">
      <w:pPr>
        <w:pStyle w:val="000004"/>
      </w:pPr>
      <w:r>
        <w:rPr>
          <w:rFonts w:hint="eastAsia"/>
        </w:rPr>
        <w:t>找不到模型权重</w:t>
      </w:r>
    </w:p>
    <w:p w14:paraId="0A93527B">
      <w:pPr>
        <w:spacing w:after="80"/>
      </w:pPr>
    </w:p>
    <w:p w14:paraId="3DA6E40E">
      <w:r>
        <w:rPr>
          <w:rFonts w:hint="eastAsia"/>
        </w:rPr>
        <w:t>确认 model.pt 位于本工程上一级目录 E:\0_work\1shijian\。</w:t>
      </w:r>
      <w:r>
        <w:rPr>
          <w:rFonts w:hint="eastAsia"/>
        </w:rPr>
        <w:t>外层启动脚本会在启动前检查该路径。</w:t>
      </w:r>
    </w:p>
    <w:p w14:paraId="5C6C9FBC">
      <w:pPr>
        <w:spacing w:after="80"/>
      </w:pPr>
    </w:p>
    <w:p w14:paraId="11357417">
      <w:pPr>
        <w:pStyle w:val="000004"/>
      </w:pPr>
      <w:r>
        <w:rPr>
          <w:rFonts w:hint="eastAsia"/>
        </w:rPr>
        <w:t>找不到 Python 或依赖</w:t>
      </w:r>
    </w:p>
    <w:p w14:paraId="3FCA50B4">
      <w:pPr>
        <w:spacing w:after="80"/>
      </w:pPr>
    </w:p>
    <w:p w14:paraId="285EE2B6">
      <w:r>
        <w:rPr>
          <w:rFonts w:hint="eastAsia"/>
        </w:rPr>
        <w:t>通过 -PythonExecutable 指定 Pytorch_Vggt 环境中的 python.exe，并在该环境中安装项目依赖。</w:t>
      </w:r>
    </w:p>
    <w:p w14:paraId="36248214">
      <w:pPr>
        <w:spacing w:after="80"/>
      </w:pPr>
    </w:p>
    <w:p w14:paraId="2071D80E">
      <w:pPr>
        <w:pStyle w:val="000004"/>
      </w:pPr>
      <w:r>
        <w:rPr>
          <w:rFonts w:hint="eastAsia"/>
        </w:rPr>
        <w:t>相对路径或示例素材报错</w:t>
      </w:r>
    </w:p>
    <w:p w14:paraId="4FADAD98">
      <w:pPr>
        <w:spacing w:after="80"/>
      </w:pPr>
    </w:p>
    <w:p w14:paraId="000F16A8">
      <w:r>
        <w:rPr>
          <w:rFonts w:hint="eastAsia"/>
        </w:rPr>
        <w:t>使用 run_vggt_demo.ps1，或先进入 vggt-main 再直接运行 Python 文件。</w:t>
      </w:r>
    </w:p>
    <w:p w14:paraId="2E783166">
      <w:pPr>
        <w:spacing w:after="80"/>
      </w:pPr>
    </w:p>
    <w:p w14:paraId="54872E23">
      <w:pPr>
        <w:pStyle w:val="000004"/>
      </w:pPr>
      <w:r>
        <w:rPr>
          <w:rFonts w:hint="eastAsia"/>
        </w:rPr>
        <w:t>端口被占用</w:t>
      </w:r>
    </w:p>
    <w:p w14:paraId="72C811AB">
      <w:pPr>
        <w:spacing w:after="80"/>
      </w:pPr>
    </w:p>
    <w:p w14:paraId="4BC87B33">
      <w:r>
        <w:rPr>
          <w:rFonts w:hint="eastAsia"/>
        </w:rPr>
        <w:t>检查是否仍有上一次启动的服务。当前程序会尝试处理默认端口冲突，仍失败时应先正常停止旧进程再重试。</w:t>
      </w:r>
    </w:p>
    <w:p w14:paraId="69F350D3">
      <w:pPr>
        <w:spacing w:after="80"/>
      </w:pPr>
    </w:p>
    <w:p w14:paraId="0091D24A">
      <w:pPr>
        <w:pStyle w:val="000004"/>
      </w:pPr>
      <w:r>
        <w:rPr>
          <w:rFonts w:hint="eastAsia"/>
        </w:rPr>
        <w:t>CUDA 不可用或显存不足</w:t>
      </w:r>
    </w:p>
    <w:p w14:paraId="2EADF5B8">
      <w:pPr>
        <w:spacing w:after="80"/>
      </w:pPr>
    </w:p>
    <w:p w14:paraId="0ED806EA">
      <w:r>
        <w:rPr>
          <w:rFonts w:hint="eastAsia"/>
        </w:rPr>
        <w:t>确认启动程序使用的是正确 Conda 环境和 GPU。关闭其他占用显存的任务，并先用单张图片进行功能确认。</w:t>
      </w:r>
    </w:p>
    <w:p w14:paraId="2C92DEE4">
      <w:pPr>
        <w:spacing w:after="80"/>
      </w:pPr>
    </w:p>
    <w:p w14:paraId="1EDBDE68">
      <w:pPr>
        <w:pStyle w:val="000004"/>
      </w:pPr>
      <w:r>
        <w:rPr>
          <w:rFonts w:hint="eastAsia"/>
        </w:rPr>
        <w:t>测试统计不一致</w:t>
      </w:r>
    </w:p>
    <w:p w14:paraId="3CA3F659">
      <w:pPr>
        <w:spacing w:after="80"/>
      </w:pPr>
    </w:p>
    <w:p w14:paraId="67ACB280">
      <w:r>
        <w:rPr>
          <w:rFonts w:hint="eastAsia"/>
        </w:rPr>
        <w:t>以原始执行日志和 JUnit XML 为依据，逐条核对 Excel 的实际结果和状态；不要直接修改报告汇总数字。</w:t>
      </w:r>
    </w:p>
    <w:p w14:paraId="05F65902">
      <w:pPr>
        <w:spacing w:after="80"/>
      </w:pPr>
    </w:p>
    <w:p w14:paraId="15F801B1">
      <w:pPr>
        <w:pStyle w:val="000003"/>
      </w:pPr>
      <w:r>
        <w:rPr>
          <w:rFonts w:hint="eastAsia"/>
        </w:rPr>
        <w:t>13. 输出清理</w:t>
      </w:r>
    </w:p>
    <w:p w14:paraId="32312C31">
      <w:pPr>
        <w:spacing w:after="80"/>
      </w:pPr>
    </w:p>
    <w:p w14:paraId="7B2374D4">
      <w:pPr>
        <w:pStyle w:val="00000a"/>
        <w:numPr>
          <w:ilvl w:val="0"/>
          <w:numId w:val="2"/>
        </w:numPr>
      </w:pPr>
      <w:r>
        <w:rPr>
          <w:rFonts w:hint="eastAsia"/>
        </w:rPr>
        <w:t>确认需要保留的日志、截图和缺陷证据已经归档。</w:t>
      </w:r>
    </w:p>
    <w:p w14:paraId="7A81EFB2">
      <w:pPr>
        <w:pStyle w:val="00000a"/>
        <w:numPr>
          <w:ilvl w:val="0"/>
          <w:numId w:val="2"/>
        </w:numPr>
      </w:pPr>
      <w:r>
        <w:rPr>
          <w:rFonts w:hint="eastAsia"/>
        </w:rPr>
        <w:t>确认 Gradio 服务已停止。</w:t>
      </w:r>
    </w:p>
    <w:p w14:paraId="253D8C9F">
      <w:pPr>
        <w:pStyle w:val="00000a"/>
        <w:numPr>
          <w:ilvl w:val="0"/>
          <w:numId w:val="2"/>
        </w:numPr>
      </w:pPr>
      <w:r>
        <w:rPr>
          <w:rFonts w:hint="eastAsia"/>
        </w:rPr>
        <w:t>只清理确认可再生的 input_images_...、GLB、点云和临时缓存。</w:t>
      </w:r>
    </w:p>
    <w:p w14:paraId="36CDACB4">
      <w:pPr>
        <w:pStyle w:val="00000a"/>
        <w:numPr>
          <w:ilvl w:val="0"/>
          <w:numId w:val="2"/>
        </w:numPr>
      </w:pPr>
      <w:r>
        <w:rPr>
          <w:rFonts w:hint="eastAsia"/>
        </w:rPr>
        <w:t>保留 vggt_output/README.md、.gitkeep 和正式测试证据。</w:t>
      </w:r>
    </w:p>
    <w:p w14:paraId="2D64E703">
      <w:pPr>
        <w:pStyle w:val="00000a"/>
        <w:numPr>
          <w:ilvl w:val="0"/>
          <w:numId w:val="2"/>
        </w:numPr>
      </w:pPr>
      <w:r>
        <w:rPr>
          <w:rFonts w:hint="eastAsia"/>
        </w:rPr>
        <w:t>清理后运行 Git 状态检查，确认没有误删源码或意外加入大文件。</w:t>
      </w:r>
    </w:p>
    <w:p w14:paraId="4A9CFE80">
      <w:pPr>
        <w:spacing w:after="80"/>
      </w:pPr>
    </w:p>
    <w:p w14:paraId="63AD8F9A">
      <w:pPr>
        <w:pStyle w:val="000003"/>
      </w:pPr>
      <w:r>
        <w:rPr>
          <w:rFonts w:hint="eastAsia"/>
        </w:rPr>
        <w:t>14. PPT 与演示视频</w:t>
      </w:r>
    </w:p>
    <w:p w14:paraId="01CA572B">
      <w:pPr>
        <w:spacing w:after="80"/>
      </w:pPr>
    </w:p>
    <w:p w14:paraId="707110F1">
      <w:r>
        <w:rPr>
          <w:rFonts w:hint="eastAsia"/>
        </w:rPr>
        <w:t>模块一 PPT 建议控制在 10–12 页、讲解 5–8 分钟，突出被测模块、主要策略、关键数字、一个典型缺陷和一个有价值的测试难点，不直接复制测试报告全文。</w:t>
      </w:r>
    </w:p>
    <w:p w14:paraId="1E25F51D">
      <w:pPr>
        <w:spacing w:after="80"/>
      </w:pPr>
    </w:p>
    <w:p w14:paraId="09873E09">
      <w:r>
        <w:rPr>
          <w:rFonts w:hint="eastAsia"/>
        </w:rPr>
        <w:t>演示视频应展示 VGGT 核心功能、人工编写的一键测试入口、真实执行结果和典型缺陷证据。录制前关闭含密码、账号或私人路径信息的窗口。</w:t>
      </w:r>
    </w:p>
    <w:p w14:paraId="174826BA">
      <w:pPr>
        <w:spacing w:after="80"/>
      </w:pPr>
    </w:p>
    <w:p w14:paraId="453CB596">
      <w:pPr>
        <w:pStyle w:val="000003"/>
      </w:pPr>
      <w:r>
        <w:rPr>
          <w:rFonts w:hint="eastAsia"/>
        </w:rPr>
        <w:t>15. 提交前检查</w:t>
      </w:r>
    </w:p>
    <w:p w14:paraId="62F49817">
      <w:pPr>
        <w:spacing w:after="80"/>
      </w:pPr>
    </w:p>
    <w:p w14:paraId="2973974A">
      <w:r>
        <w:rPr>
          <w:rFonts w:hint="eastAsia"/>
        </w:rPr>
        <w:t>提交前逐项核对 交付检查清单.md。特别确认：用例不少于 30 条、自动化不少于 24 条、至少两种设计方法、至少 3 个有效缺陷、统计一致、贡献度合计 100%、成员提交记录独立，并且 vggt-main 没有无关改动。</w:t>
      </w:r>
    </w:p>
    <w:p w14:paraId="4BBBEC39">
      <w:pPr>
        <w:spacing w:after="80"/>
      </w:pPr>
    </w:p>
    <w:sectPr>
      <w:footerReference r:id="rId6" w:type="default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0">
    <w:p w14:paraId="61BC6B80">
      <w:pPr>
        <w:spacing w:after="0" w:line="240" w:lineRule="auto"/>
      </w:pPr>
      <w:r>
        <w:rPr>
          <w:rStyle w:val="000010"/>
        </w:rPr>
        <w:endnoteRef/>
      </w:r>
      <w:r>
        <w:continuationSeparator/>
      </w:r>
    </w:p>
  </w:endnote>
  <w:endnote w:type="separator" w:id="1">
    <w:p w14:paraId="08A6E3F8">
      <w:pPr>
        <w:spacing w:after="0" w:line="240" w:lineRule="auto"/>
      </w:pPr>
      <w:r>
        <w:rPr>
          <w:rStyle w:val="000010"/>
        </w:rPr>
        <w:endnoteRef/>
      </w:r>
      <w:r>
        <w:separator/>
      </w:r>
    </w:p>
  </w:endnote>
</w:endnotes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071011B">
    <w:pPr>
      <w:jc w:val="center"/>
    </w:pPr>
    <w:r>
      <w:rPr>
        <w:rFonts w:hint="eastAsia"/>
      </w:rPr>
      <w:t xml:space="preserve">VGGT 模块一测试操作手册  · 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0">
    <w:p w14:paraId="15C85AF0">
      <w:pPr>
        <w:spacing w:after="0" w:line="240" w:lineRule="auto"/>
      </w:pPr>
      <w:r>
        <w:rPr>
          <w:rStyle w:val="00000d"/>
        </w:rPr>
        <w:footnoteRef/>
      </w:r>
      <w:r>
        <w:continuationSeparator/>
      </w:r>
    </w:p>
  </w:footnote>
  <w:footnote w:type="separator" w:id="1">
    <w:p w14:paraId="3CCF9089">
      <w:pPr>
        <w:spacing w:after="0" w:line="240" w:lineRule="auto"/>
      </w:pPr>
      <w:r>
        <w:rPr>
          <w:rStyle w:val="00000d"/>
        </w:rPr>
        <w:footnoteRef/>
      </w: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1"/>
  <w:evenAndOddHeaders w:val="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cs="Microsoft YaHei"/>
        <w:color w:val="1F2937"/>
        <w:sz w:val="21"/>
        <w:szCs w:val="21"/>
      </w:rPr>
    </w:rPrDefault>
    <w:pPrDefault/>
  </w:docDefaults>
  <w:style w:type="character" w:styleId="000012">
    <w:name w:val="Endnote Text Char"/>
    <w:basedOn w:val="00000c"/>
    <w:link w:val="000011"/>
    <w:uiPriority w:val="99"/>
    <w:semiHidden w:val="1"/>
    <w:unhideWhenUsed w:val="1"/>
    <w:rPr>
      <w:sz w:val="20"/>
      <w:szCs w:val="20"/>
    </w:rPr>
  </w:style>
  <w:style w:type="character" w:styleId="00000f">
    <w:name w:val="Footnote Text Char"/>
    <w:basedOn w:val="00000c"/>
    <w:link w:val="00000e"/>
    <w:uiPriority w:val="99"/>
    <w:semiHidden w:val="1"/>
    <w:unhideWhenUsed w:val="1"/>
    <w:rPr>
      <w:sz w:val="20"/>
      <w:szCs w:val="20"/>
    </w:rPr>
  </w:style>
  <w:style w:type="paragraph" w:styleId="000007">
    <w:name w:val="Heading 5"/>
    <w:basedOn w:val="000002"/>
    <w:next w:val="000002"/>
    <w:qFormat w:val="1"/>
    <w:rPr>
      <w:color w:val="2E74B5"/>
    </w:rPr>
  </w:style>
  <w:style w:type="paragraph" w:styleId="000011">
    <w:name w:val="endnote text"/>
    <w:basedOn w:val="000002"/>
    <w:link w:val="000012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paragraph" w:styleId="000005">
    <w:name w:val="Heading 3"/>
    <w:basedOn w:val="000002"/>
    <w:next w:val="000002"/>
    <w:qFormat w:val="1"/>
    <w:rPr>
      <w:color w:val="1F4D78"/>
      <w:sz w:val="24"/>
      <w:szCs w:val="24"/>
    </w:rPr>
  </w:style>
  <w:style w:type="paragraph" w:styleId="000001">
    <w:name w:val="Title"/>
    <w:basedOn w:val="000002"/>
    <w:next w:val="000002"/>
    <w:qFormat w:val="1"/>
    <w:pPr>
      <w:spacing w:after="360"/>
      <w:jc w:val="center"/>
      <w:outlineLvl w:val="0"/>
    </w:pPr>
    <w:rPr>
      <w:rFonts w:ascii="Microsoft YaHei" w:hAnsi="Microsoft YaHei" w:eastAsia="Microsoft YaHei" w:cs="Microsoft YaHei"/>
      <w:b w:val="1"/>
      <w:bCs w:val="1"/>
      <w:color w:val="111827"/>
      <w:sz w:val="38"/>
      <w:szCs w:val="38"/>
    </w:rPr>
  </w:style>
  <w:style w:type="paragraph" w:styleId="000004">
    <w:name w:val="Heading 2"/>
    <w:basedOn w:val="000002"/>
    <w:next w:val="000002"/>
    <w:qFormat w:val="1"/>
    <w:pPr>
      <w:spacing w:before="200" w:after="100"/>
      <w:outlineLvl w:val="1"/>
    </w:pPr>
    <w:rPr>
      <w:rFonts w:ascii="Microsoft YaHei" w:hAnsi="Microsoft YaHei" w:eastAsia="Microsoft YaHei" w:cs="Microsoft YaHei"/>
      <w:b w:val="1"/>
      <w:bCs w:val="1"/>
      <w:color w:val="374151"/>
      <w:sz w:val="24"/>
      <w:szCs w:val="24"/>
    </w:rPr>
  </w:style>
  <w:style w:type="paragraph" w:styleId="000008">
    <w:name w:val="Heading 6"/>
    <w:basedOn w:val="000002"/>
    <w:next w:val="000002"/>
    <w:qFormat w:val="1"/>
    <w:rPr>
      <w:color w:val="1F4D78"/>
    </w:rPr>
  </w:style>
  <w:style w:type="paragraph" w:styleId="000009">
    <w:name w:val="Strong"/>
    <w:basedOn w:val="000002"/>
    <w:next w:val="000002"/>
    <w:qFormat w:val="1"/>
    <w:rPr>
      <w:b w:val="1"/>
      <w:bCs w:val="1"/>
    </w:rPr>
  </w:style>
  <w:style w:type="paragraph" w:styleId="000006">
    <w:name w:val="Heading 4"/>
    <w:basedOn w:val="000002"/>
    <w:next w:val="000002"/>
    <w:qFormat w:val="1"/>
    <w:rPr>
      <w:i w:val="1"/>
      <w:iCs w:val="1"/>
      <w:color w:val="2E74B5"/>
    </w:rPr>
  </w:style>
  <w:style w:type="paragraph" w:styleId="00000a">
    <w:name w:val="List Paragraph"/>
    <w:basedOn w:val="000002"/>
    <w:qFormat w:val="1"/>
  </w:style>
  <w:style w:type="character" w:styleId="00000d">
    <w:name w:val="footnote reference"/>
    <w:basedOn w:val="00000c"/>
    <w:uiPriority w:val="99"/>
    <w:semiHidden w:val="1"/>
    <w:unhideWhenUsed w:val="1"/>
    <w:rPr>
      <w:vertAlign w:val="superscript"/>
    </w:rPr>
  </w:style>
  <w:style w:type="character" w:styleId="00000b">
    <w:name w:val="Hyperlink"/>
    <w:basedOn w:val="00000c"/>
    <w:uiPriority w:val="99"/>
    <w:unhideWhenUsed w:val="1"/>
    <w:rPr>
      <w:color w:val="0563C1"/>
      <w:u w:val="single"/>
    </w:rPr>
  </w:style>
  <w:style w:type="character" w:styleId="000010">
    <w:name w:val="endnote reference"/>
    <w:basedOn w:val="00000c"/>
    <w:uiPriority w:val="99"/>
    <w:semiHidden w:val="1"/>
    <w:unhideWhenUsed w:val="1"/>
    <w:rPr>
      <w:vertAlign w:val="superscript"/>
    </w:rPr>
  </w:style>
  <w:style w:type="paragraph" w:styleId="00000e">
    <w:name w:val="footnote text"/>
    <w:basedOn w:val="000002"/>
    <w:link w:val="00000f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paragraph" w:styleId="000003">
    <w:name w:val="Heading 1"/>
    <w:basedOn w:val="000002"/>
    <w:next w:val="000002"/>
    <w:qFormat w:val="1"/>
    <w:pPr>
      <w:pBdr>
        <w:bottom w:val="single" w:color="9CA3AF" w:sz="4" w:space="1"/>
      </w:pBdr>
      <w:spacing w:before="280" w:after="140"/>
      <w:outlineLvl w:val="0"/>
    </w:pPr>
    <w:rPr>
      <w:rFonts w:ascii="Microsoft YaHei" w:hAnsi="Microsoft YaHei" w:eastAsia="Microsoft YaHei" w:cs="Microsoft YaHei"/>
      <w:b w:val="1"/>
      <w:bCs w:val="1"/>
      <w:color w:val="1F4E78"/>
      <w:sz w:val="29"/>
      <w:szCs w:val="29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endnotes" Target="endnotes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6" Type="http://schemas.openxmlformats.org/officeDocument/2006/relationships/footer" Target="footer1.xml" /><Relationship Id="rId4" Type="http://schemas.openxmlformats.org/officeDocument/2006/relationships/fontTable" Target="fontTable.xml" /><Relationship Id="rId5" Type="http://schemas.openxmlformats.org/officeDocument/2006/relationships/numbering" Target="numbering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2026-09-14T18:22:58Z</dcterms:created>
  <dcterms:modified xsi:type="dcterms:W3CDTF">2026-09-14T18:22:58Z</dcterms:modified>
</cp:coreProperties>
</file>