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00"/>
        <w:jc w:val="center"/>
      </w:pPr>
      <w:r>
        <w:rPr>
          <w:rFonts w:ascii="Arial Unicode MS" w:hAnsi="Arial Unicode MS" w:eastAsia="Arial Unicode MS"/>
          <w:b/>
          <w:color w:val="215A8E"/>
          <w:sz w:val="22"/>
        </w:rPr>
        <w:t>研究与工程讨论稿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color w:val="17324D"/>
          <w:sz w:val="56"/>
        </w:rPr>
        <w:t>Hyper-Decept 博弈框架</w:t>
        <w:br/>
        <w:t>与数据集构建方案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color w:val="5E6E7E"/>
          <w:sz w:val="26"/>
        </w:rPr>
        <w:t>从开放环仿真到可追溯、解释引导的闭环攻防博弈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21"/>
              </w:rPr>
              <w:t>文档状态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262E"/>
                <w:sz w:val="21"/>
              </w:rPr>
              <w:t>v0.1 · 内部讨论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21"/>
              </w:rPr>
              <w:t>形成日期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262E"/>
                <w:sz w:val="21"/>
              </w:rPr>
              <w:t>2026-07-23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21"/>
              </w:rPr>
              <w:t>目标截稿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262E"/>
                <w:sz w:val="21"/>
              </w:rPr>
              <w:t>2026-09-10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24D"/>
                <w:sz w:val="21"/>
              </w:rPr>
              <w:t>讨论目标</w:t>
            </w:r>
          </w:p>
        </w:tc>
        <w:tc>
          <w:tcPr>
            <w:tcW w:type="dxa" w:w="65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20262E"/>
                <w:sz w:val="21"/>
              </w:rPr>
              <w:t>冻结创新边界、主实验矩阵、结果留痕与近期分工</w:t>
            </w:r>
          </w:p>
        </w:tc>
      </w:tr>
    </w:tbl>
    <w:p>
      <w:pPr>
        <w:spacing w:before="680"/>
        <w:jc w:val="center"/>
      </w:pPr>
      <w:r>
        <w:rPr>
          <w:rFonts w:ascii="Arial Unicode MS" w:hAnsi="Arial Unicode MS" w:eastAsia="Arial Unicode MS"/>
          <w:i/>
          <w:color w:val="5E6E7E"/>
          <w:sz w:val="19"/>
        </w:rPr>
        <w:t>内部材料 · 结论需由可复现实验与文献检索支持</w:t>
      </w:r>
    </w:p>
    <w:p>
      <w:r>
        <w:br w:type="page"/>
      </w:r>
    </w:p>
    <w:p>
      <w:pPr>
        <w:spacing w:before="40" w:after="160"/>
      </w:pPr>
      <w:r>
        <w:rPr>
          <w:rFonts w:ascii="Arial Unicode MS" w:hAnsi="Arial Unicode MS" w:eastAsia="Arial Unicode MS"/>
          <w:b/>
          <w:color w:val="17324D"/>
          <w:sz w:val="34"/>
        </w:rPr>
        <w:t>一页结论</w:t>
      </w:r>
    </w:p>
    <w:p>
      <w:r>
        <w:rPr>
          <w:rFonts w:ascii="Arial Unicode MS" w:hAnsi="Arial Unicode MS" w:eastAsia="Arial Unicode MS"/>
          <w:color w:val="20262E"/>
          <w:sz w:val="21"/>
        </w:rPr>
        <w:t>建议把项目拆成两条相互供数、但贡献边界清晰的论文线：</w:t>
      </w:r>
    </w:p>
    <w:p>
      <w:pPr>
        <w:pStyle w:val="ListNumber"/>
      </w:pPr>
      <w:r>
        <w:rPr>
          <w:rFonts w:ascii="Arial Unicode MS" w:hAnsi="Arial Unicode MS" w:eastAsia="Arial Unicode MS"/>
          <w:b/>
          <w:color w:val="20262E"/>
          <w:sz w:val="21"/>
        </w:rPr>
        <w:t>检测与白盒解释论文（Paper A）</w:t>
      </w:r>
      <w:r>
        <w:rPr>
          <w:rFonts w:ascii="Arial Unicode MS" w:hAnsi="Arial Unicode MS" w:eastAsia="Arial Unicode MS"/>
          <w:color w:val="20262E"/>
          <w:sz w:val="21"/>
        </w:rPr>
        <w:t>：回答“谁是协同欺骗账号、为什么这样判断、它在团伙中扮演什么角色”。核心是跨维检测与四维解释质量：预测保真、几何保真、角色保真、证据可追溯。</w:t>
      </w:r>
    </w:p>
    <w:p>
      <w:pPr>
        <w:pStyle w:val="ListNumber"/>
      </w:pPr>
      <w:r>
        <w:rPr>
          <w:rFonts w:ascii="Arial Unicode MS" w:hAnsi="Arial Unicode MS" w:eastAsia="Arial Unicode MS"/>
          <w:b/>
          <w:color w:val="20262E"/>
          <w:sz w:val="21"/>
        </w:rPr>
        <w:t>闭环博弈与动态监测论文（Paper B）</w:t>
      </w:r>
      <w:r>
        <w:rPr>
          <w:rFonts w:ascii="Arial Unicode MS" w:hAnsi="Arial Unicode MS" w:eastAsia="Arial Unicode MS"/>
          <w:color w:val="20262E"/>
          <w:sz w:val="21"/>
        </w:rPr>
        <w:t>：回答“攻击者在被监测和干预后如何适应，防御者应在何时、对谁、采取何种干预，才能以较低代价压制传播，同时给人类专家留下可复核证据”。核心不是“再换一个检测模型”，而是把现有开放环沙箱改造成可观测、可干预、可反事实评估的闭环安全博弈。</w:t>
      </w:r>
    </w:p>
    <w:p>
      <w:r>
        <w:rPr>
          <w:rFonts w:ascii="Arial Unicode MS" w:hAnsi="Arial Unicode MS" w:eastAsia="Arial Unicode MS"/>
          <w:color w:val="20262E"/>
          <w:sz w:val="21"/>
        </w:rPr>
        <w:t>可信的创新叙事应建立在真实、可复现实验上，而不是“讲得唬人”。建议使用暂定名称：</w:t>
      </w:r>
    </w:p>
    <w:p>
      <w:pPr>
        <w:spacing w:before="100" w:after="160"/>
        <w:ind w:left="317" w:right="259"/>
        <w:shd w:fill="EAF2F8"/>
        <w:pBdr>
          <w:left w:val="single" w:sz="18" w:color="215A8E" w:space="8"/>
        </w:pBdr>
      </w:pPr>
      <w:r>
        <w:rPr>
          <w:rFonts w:ascii="Arial Unicode MS" w:hAnsi="Arial Unicode MS" w:eastAsia="Arial Unicode MS"/>
          <w:b/>
          <w:color w:val="20262E"/>
          <w:sz w:val="22"/>
        </w:rPr>
        <w:t>TRACE-Game：面向协同欺骗的可追溯闭环攻防博弈框架</w:t>
      </w:r>
    </w:p>
    <w:p>
      <w:pPr>
        <w:spacing w:before="100" w:after="160"/>
        <w:ind w:left="317" w:right="259"/>
        <w:shd w:fill="EAF2F8"/>
        <w:pBdr>
          <w:left w:val="single" w:sz="18" w:color="215A8E" w:space="8"/>
        </w:pBdr>
      </w:pPr>
      <w:r>
        <w:rPr>
          <w:rFonts w:ascii="Arial Unicode MS" w:hAnsi="Arial Unicode MS" w:eastAsia="Arial Unicode MS"/>
          <w:color w:val="20262E"/>
          <w:sz w:val="22"/>
        </w:rPr>
        <w:t>Trajectory-aware, Role-aware, Attribution-grounded, Counterfactual, Expert-in-the-loop Game</w:t>
      </w:r>
    </w:p>
    <w:p>
      <w:r>
        <w:rPr>
          <w:rFonts w:ascii="Arial Unicode MS" w:hAnsi="Arial Unicode MS" w:eastAsia="Arial Unicode MS"/>
          <w:color w:val="20262E"/>
          <w:sz w:val="21"/>
        </w:rPr>
        <w:t>主叙事是：平台并不能看到攻击者的隐藏提示词或私有协同，只能看到流式文本、行为和关系图；攻击者会在干预后改变节奏、角色和协作结构；防御者必须在延迟观测和预算约束下，用动态检测和白盒证据做连续决策。最终输出不是一个分数，而是供专家复核的“账号—角色—行为—传播链—模型依据—干预结果”证据包。</w:t>
      </w:r>
    </w:p>
    <w:p>
      <w:pPr>
        <w:pStyle w:val="Heading1"/>
      </w:pPr>
      <w:r>
        <w:t>1. 当前项目已经做到什么程度</w:t>
      </w:r>
    </w:p>
    <w:p>
      <w:pPr>
        <w:pStyle w:val="Heading2"/>
      </w:pPr>
      <w:r>
        <w:t>1.1 论文现稿已有内容</w:t>
      </w:r>
    </w:p>
    <w:p>
      <w:r>
        <w:rPr>
          <w:rFonts w:ascii="Arial Unicode MS" w:hAnsi="Arial Unicode MS" w:eastAsia="Arial Unicode MS"/>
          <w:color w:val="20262E"/>
          <w:sz w:val="21"/>
        </w:rPr>
        <w:t>现有 CIKM short 稿件已经提出并实现：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26 维跨模态特征与 XGBoost 二分类；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四类心理/情感信号：Empathy Gap、Dark Triad、Emotion Volatility、Frictionless Contagion；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HGT 与 Poincaré 空间的层级结构表示；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Louvain 团伙发现、DPMM 非参数角色发现；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SHAP 后验解释；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TwiBot-22 与受控仿真两类实验叙事；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prebunking、debunking、ban 等平台干预背景。</w:t>
      </w:r>
    </w:p>
    <w:p>
      <w:r>
        <w:rPr>
          <w:rFonts w:ascii="Arial Unicode MS" w:hAnsi="Arial Unicode MS" w:eastAsia="Arial Unicode MS"/>
          <w:color w:val="20262E"/>
          <w:sz w:val="21"/>
        </w:rPr>
        <w:t>现稿同时把以下内容写进了 future work：</w:t>
      </w:r>
      <w:r>
        <w:rPr>
          <w:rFonts w:ascii="Arial Unicode MS" w:hAnsi="Arial Unicode MS" w:eastAsia="Arial Unicode MS"/>
          <w:b/>
          <w:color w:val="20262E"/>
          <w:sz w:val="21"/>
        </w:rPr>
        <w:t>主动多智能体对抗、实时干预、流式双曲图引擎</w:t>
      </w:r>
      <w:r>
        <w:rPr>
          <w:rFonts w:ascii="Arial Unicode MS" w:hAnsi="Arial Unicode MS" w:eastAsia="Arial Unicode MS"/>
          <w:color w:val="20262E"/>
          <w:sz w:val="21"/>
        </w:rPr>
        <w:t>。这正好为 Paper B 留出了清晰空间。</w:t>
      </w:r>
    </w:p>
    <w:p>
      <w:pPr>
        <w:pStyle w:val="Heading2"/>
      </w:pPr>
      <w:r>
        <w:t>1.2 仓库已有能力</w:t>
      </w:r>
    </w:p>
    <w:p>
      <w:r>
        <w:rPr>
          <w:rFonts w:ascii="Arial Unicode MS" w:hAnsi="Arial Unicode MS" w:eastAsia="Arial Unicode MS"/>
          <w:color w:val="20262E"/>
          <w:sz w:val="21"/>
        </w:rPr>
        <w:t>仓库中已存在：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72 人合成演示数据，以及 110 人、1000 人相关生成/配置痕迹；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10 人、72 人、100 人、约 200—500 人、1000 人、3600 人、5500 人乃至百万智能体的脚本或配置基础；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常见设置：30 timestep，部分 Reddit 对齐实验 40 timestep，原框架干预示例 100 timestep；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reflection、shared_reflection、detection 开关；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prebunking、debunking、ban 干预；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TaskBlackboard 任务创建/承接审计；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原始动作、平台统计、聚类结果、检测结果等输出；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twinbot_adapter_dynamic.py</w:t>
      </w:r>
      <w:r>
        <w:rPr>
          <w:rFonts w:ascii="Arial Unicode MS" w:hAnsi="Arial Unicode MS" w:eastAsia="Arial Unicode MS"/>
          <w:color w:val="20262E"/>
          <w:sz w:val="21"/>
        </w:rPr>
        <w:t>：可按总人数抽样 TwiBot-22，并限制每人动作数和关注边数；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当前 72 人单 timestep 技术基线：60 good、12 bad；坏内容触达 41 名正常用户；独立检测结果 accuracy 0.9306、bot recall 0.5833、attack escape rate 0.4167。</w:t>
      </w:r>
    </w:p>
    <w:p>
      <w:pPr>
        <w:pStyle w:val="Heading2"/>
      </w:pPr>
      <w:r>
        <w:t>1.3 当前不能直接宣称已经完成的内容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当前可见的 72 人结果只有 1 timestep，不能证明“多轮动态博弈”；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TwiBot-22 的论文结果与本地可复现实验之间还需要逐项对账；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现有框架仍有硬编码输出路径，尚未形成统一 run 目录；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当前检测更接近离线/周期性检测，尚未形成严格的逐 timestep 闭环；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“八类角色”目前包含明显的事后语义命名，需要补角色保真验证；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SHAP 说明的是模型归因，不等同于证据因果性；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数据规模脚本存在不等于规模实验已经跑通；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若对比表中的基线数字来自文献而非同一划分复跑，论文中必须明确来源。</w:t>
      </w:r>
    </w:p>
    <w:p>
      <w:pPr>
        <w:pStyle w:val="Heading1"/>
      </w:pPr>
      <w:r>
        <w:t>2. 如何把原框架改造成自己的创新</w:t>
      </w:r>
    </w:p>
    <w:p>
      <w:pPr>
        <w:pStyle w:val="Heading2"/>
      </w:pPr>
      <w:r>
        <w:t>2.1 原框架与新框架的本质差异</w:t>
      </w:r>
    </w:p>
    <w:p>
      <w:r>
        <w:rPr>
          <w:rFonts w:ascii="Arial Unicode MS" w:hAnsi="Arial Unicode MS" w:eastAsia="Arial Unicode MS"/>
          <w:color w:val="20262E"/>
          <w:sz w:val="21"/>
        </w:rPr>
        <w:t>原框架主要回答：恶意智能体是否会形成协同行为，平台干预能否影响传播，LLM 能否从完整轨迹识别恶意账号。</w:t>
      </w:r>
    </w:p>
    <w:p>
      <w:r>
        <w:rPr>
          <w:rFonts w:ascii="Arial Unicode MS" w:hAnsi="Arial Unicode MS" w:eastAsia="Arial Unicode MS"/>
          <w:color w:val="20262E"/>
          <w:sz w:val="21"/>
        </w:rPr>
        <w:t>新框架应回答：在部分可观测、检测延迟、干预预算与误伤成本同时存在时，攻击者与防御者如何连续适应；防御端如何把动态风险、角色变化和可追溯证据联合用于策略选择。</w:t>
      </w:r>
    </w:p>
    <w:p>
      <w:r>
        <w:rPr>
          <w:rFonts w:ascii="Arial Unicode MS" w:hAnsi="Arial Unicode MS" w:eastAsia="Arial Unicode MS"/>
          <w:color w:val="20262E"/>
          <w:sz w:val="21"/>
        </w:rPr>
        <w:t>闭环为：</w:t>
      </w:r>
    </w:p>
    <w:p>
      <w:pPr>
        <w:spacing w:before="140" w:after="80"/>
      </w:pPr>
      <w:r>
        <w:rPr>
          <w:rFonts w:ascii="Arial Unicode MS" w:hAnsi="Arial Unicode MS" w:eastAsia="Arial Unicode MS"/>
          <w:b/>
          <w:color w:val="20262E"/>
          <w:sz w:val="22"/>
        </w:rPr>
        <w:t>环境演化 → 流式事件 → 动态检测 → 四维解释 → 防御决策 → 平台干预 → 攻击者适应 → 新一轮环境演化</w:t>
      </w:r>
    </w:p>
    <w:p>
      <w:pPr>
        <w:pStyle w:val="Heading2"/>
      </w:pPr>
      <w:r>
        <w:t>2.2 攻击端需要更真实</w:t>
      </w:r>
    </w:p>
    <w:p>
      <w:r>
        <w:rPr>
          <w:rFonts w:ascii="Arial Unicode MS" w:hAnsi="Arial Unicode MS" w:eastAsia="Arial Unicode MS"/>
          <w:color w:val="20262E"/>
          <w:sz w:val="21"/>
        </w:rPr>
        <w:t>攻击者不再只有 good/bad 两类，而应至少包含以下状态：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潜伏者：低活跃、正常内容占比高，等待触发；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领导者：发布目标和任务，但降低直接扩散痕迹；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桥接者：跨社区传播；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放大者：点赞、转发、评论协同；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替补者：同伴被封禁后接管任务；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伪装者：根据风险反馈降低情绪异常、改变文风和节奏。</w:t>
      </w:r>
    </w:p>
    <w:p>
      <w:r>
        <w:rPr>
          <w:rFonts w:ascii="Arial Unicode MS" w:hAnsi="Arial Unicode MS" w:eastAsia="Arial Unicode MS"/>
          <w:color w:val="20262E"/>
          <w:sz w:val="21"/>
        </w:rPr>
        <w:t>攻击策略至少有三个可控维度：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协同结构：中心化、去中心化、混合；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适应机制：无反思、自反思、共享反思；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规避机制：降频、角色轮换、边重连、内容改写、休眠后再激活。</w:t>
      </w:r>
    </w:p>
    <w:p>
      <w:pPr>
        <w:pStyle w:val="Heading2"/>
      </w:pPr>
      <w:r>
        <w:t>2.3 防御端需要更真实</w:t>
      </w:r>
    </w:p>
    <w:p>
      <w:r>
        <w:rPr>
          <w:rFonts w:ascii="Arial Unicode MS" w:hAnsi="Arial Unicode MS" w:eastAsia="Arial Unicode MS"/>
          <w:color w:val="20262E"/>
          <w:sz w:val="21"/>
        </w:rPr>
        <w:t>防御者不能使用攻击者私有提示、真实标签或完整未来轨迹。每轮只能读取截止当前时刻的平台可见事件，并受到：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观测延迟；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检测调用预算；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干预预算；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误伤成本；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专家复核容量；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不同干预的冷却时间和副作用；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模型漂移与攻击者适应。</w:t>
      </w:r>
    </w:p>
    <w:p>
      <w:r>
        <w:rPr>
          <w:rFonts w:ascii="Arial Unicode MS" w:hAnsi="Arial Unicode MS" w:eastAsia="Arial Unicode MS"/>
          <w:color w:val="20262E"/>
          <w:sz w:val="21"/>
        </w:rPr>
        <w:t>动作空间可设为：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不动作；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进入观察名单；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降低推荐/限流；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添加事实核查或争议信息提示；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请求专家复核；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临时冻结；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封禁账号或切断团伙关键边。</w:t>
      </w:r>
    </w:p>
    <w:p>
      <w:pPr>
        <w:pStyle w:val="Heading2"/>
      </w:pPr>
      <w:r>
        <w:t>2.4 四维解释如何进入闭环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62E"/>
          <w:sz w:val="21"/>
        </w:rPr>
        <w:t>预测保真</w:t>
      </w:r>
      <w:r>
        <w:rPr>
          <w:rFonts w:ascii="Arial Unicode MS" w:hAnsi="Arial Unicode MS" w:eastAsia="Arial Unicode MS"/>
          <w:color w:val="20262E"/>
          <w:sz w:val="21"/>
        </w:rPr>
        <w:t>：解释选出的特征/事件能否重构或保持原预测；用 deletion/insertion、局部代理一致性或 top-k evidence sufficiency 衡量。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62E"/>
          <w:sz w:val="21"/>
        </w:rPr>
        <w:t>几何保真</w:t>
      </w:r>
      <w:r>
        <w:rPr>
          <w:rFonts w:ascii="Arial Unicode MS" w:hAnsi="Arial Unicode MS" w:eastAsia="Arial Unicode MS"/>
          <w:color w:val="20262E"/>
          <w:sz w:val="21"/>
        </w:rPr>
        <w:t>：解释中的层级位置、邻居与传播链是否忠实于模型的双曲几何；用邻域保持率、层级次序一致性、距离相关性衡量。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62E"/>
          <w:sz w:val="21"/>
        </w:rPr>
        <w:t>角色保真</w:t>
      </w:r>
      <w:r>
        <w:rPr>
          <w:rFonts w:ascii="Arial Unicode MS" w:hAnsi="Arial Unicode MS" w:eastAsia="Arial Unicode MS"/>
          <w:color w:val="20262E"/>
          <w:sz w:val="21"/>
        </w:rPr>
        <w:t>：角色名称是否对应可观察职责，而非仅给聚类贴标签；用已知合成真值、任务黑板真值、跨 seed 稳定性和角色互换检测衡量。</w:t>
      </w:r>
    </w:p>
    <w:p>
      <w:pPr>
        <w:pStyle w:val="ListBullet"/>
      </w:pPr>
      <w:r>
        <w:rPr>
          <w:rFonts w:ascii="Arial Unicode MS" w:hAnsi="Arial Unicode MS" w:eastAsia="Arial Unicode MS"/>
          <w:b/>
          <w:color w:val="20262E"/>
          <w:sz w:val="21"/>
        </w:rPr>
        <w:t>证据可追溯</w:t>
      </w:r>
      <w:r>
        <w:rPr>
          <w:rFonts w:ascii="Arial Unicode MS" w:hAnsi="Arial Unicode MS" w:eastAsia="Arial Unicode MS"/>
          <w:color w:val="20262E"/>
          <w:sz w:val="21"/>
        </w:rPr>
        <w:t>：每条结论能否追溯到原始事件、时间、账号、内容、边、模型版本和干预；用 evidence coverage、provenance completeness、hash verification 衡量。</w:t>
      </w:r>
    </w:p>
    <w:p>
      <w:r>
        <w:rPr>
          <w:rFonts w:ascii="Arial Unicode MS" w:hAnsi="Arial Unicode MS" w:eastAsia="Arial Unicode MS"/>
          <w:color w:val="20262E"/>
          <w:sz w:val="21"/>
        </w:rPr>
        <w:t>关键点：解释不是论文末尾的一张 SHAP 图，而是防御策略的输入，也是专家审计的交付物。</w:t>
      </w:r>
    </w:p>
    <w:p>
      <w:pPr>
        <w:pStyle w:val="Heading1"/>
      </w:pPr>
      <w:r>
        <w:t>3. 仿真数据集的构建方案</w:t>
      </w:r>
    </w:p>
    <w:p>
      <w:pPr>
        <w:pStyle w:val="Heading2"/>
      </w:pPr>
      <w:r>
        <w:t>3.1 数据集不是单个 DB，而是“场景—轨迹—证据—结果”包</w:t>
      </w:r>
    </w:p>
    <w:p>
      <w:r>
        <w:rPr>
          <w:rFonts w:ascii="Arial Unicode MS" w:hAnsi="Arial Unicode MS" w:eastAsia="Arial Unicode MS"/>
          <w:color w:val="20262E"/>
          <w:sz w:val="21"/>
        </w:rPr>
        <w:t>每次运行应包含：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config_resolved.yaml</w:t>
      </w:r>
      <w:r>
        <w:rPr>
          <w:rFonts w:ascii="Arial Unicode MS" w:hAnsi="Arial Unicode MS" w:eastAsia="Arial Unicode MS"/>
          <w:color w:val="20262E"/>
          <w:sz w:val="21"/>
        </w:rPr>
        <w:t>：展开后的全部参数；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run_manifest.json</w:t>
      </w:r>
      <w:r>
        <w:rPr>
          <w:rFonts w:ascii="Arial Unicode MS" w:hAnsi="Arial Unicode MS" w:eastAsia="Arial Unicode MS"/>
          <w:color w:val="20262E"/>
          <w:sz w:val="21"/>
        </w:rPr>
        <w:t>：run_id、时间、代码提交、环境、模型、随机种子、输入哈希；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initial_agents.csv</w:t>
      </w:r>
      <w:r>
        <w:rPr>
          <w:rFonts w:ascii="Arial Unicode MS" w:hAnsi="Arial Unicode MS" w:eastAsia="Arial Unicode MS"/>
          <w:color w:val="20262E"/>
          <w:sz w:val="21"/>
        </w:rPr>
        <w:t>：身份、角色真值、画像、初始社区、活动参数；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initial_graph.*</w:t>
      </w:r>
      <w:r>
        <w:rPr>
          <w:rFonts w:ascii="Arial Unicode MS" w:hAnsi="Arial Unicode MS" w:eastAsia="Arial Unicode MS"/>
          <w:color w:val="20262E"/>
          <w:sz w:val="21"/>
        </w:rPr>
        <w:t>：初始关注和推荐关系；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events.jsonl</w:t>
      </w:r>
      <w:r>
        <w:rPr>
          <w:rFonts w:ascii="Arial Unicode MS" w:hAnsi="Arial Unicode MS" w:eastAsia="Arial Unicode MS"/>
          <w:color w:val="20262E"/>
          <w:sz w:val="21"/>
        </w:rPr>
        <w:t>：逐事件时间、actor、action、target、content_id；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graph_snapshots/</w:t>
      </w:r>
      <w:r>
        <w:rPr>
          <w:rFonts w:ascii="Arial Unicode MS" w:hAnsi="Arial Unicode MS" w:eastAsia="Arial Unicode MS"/>
          <w:color w:val="20262E"/>
          <w:sz w:val="21"/>
        </w:rPr>
        <w:t>：按 checkpoint 保存节点、边和属性；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task_blackboard_audit.json</w:t>
      </w:r>
      <w:r>
        <w:rPr>
          <w:rFonts w:ascii="Arial Unicode MS" w:hAnsi="Arial Unicode MS" w:eastAsia="Arial Unicode MS"/>
          <w:color w:val="20262E"/>
          <w:sz w:val="21"/>
        </w:rPr>
        <w:t>：真实协同任务创建与承接；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detector_snapshots.jsonl</w:t>
      </w:r>
      <w:r>
        <w:rPr>
          <w:rFonts w:ascii="Arial Unicode MS" w:hAnsi="Arial Unicode MS" w:eastAsia="Arial Unicode MS"/>
          <w:color w:val="20262E"/>
          <w:sz w:val="21"/>
        </w:rPr>
        <w:t>：每个检测时点的风险和预测；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explanations.jsonl</w:t>
      </w:r>
      <w:r>
        <w:rPr>
          <w:rFonts w:ascii="Arial Unicode MS" w:hAnsi="Arial Unicode MS" w:eastAsia="Arial Unicode MS"/>
          <w:color w:val="20262E"/>
          <w:sz w:val="21"/>
        </w:rPr>
        <w:t>：四维解释与证据引用；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interventions.jsonl</w:t>
      </w:r>
      <w:r>
        <w:rPr>
          <w:rFonts w:ascii="Arial Unicode MS" w:hAnsi="Arial Unicode MS" w:eastAsia="Arial Unicode MS"/>
          <w:color w:val="20262E"/>
          <w:sz w:val="21"/>
        </w:rPr>
        <w:t>：决策、原因、对象、成本、执行结果；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metrics_by_timestep.csv</w:t>
      </w:r>
      <w:r>
        <w:rPr>
          <w:rFonts w:ascii="Arial Unicode MS" w:hAnsi="Arial Unicode MS" w:eastAsia="Arial Unicode MS"/>
          <w:color w:val="20262E"/>
          <w:sz w:val="21"/>
        </w:rPr>
        <w:t>：传播、检测、误伤、成本、角色变化；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final_metrics.json</w:t>
      </w:r>
      <w:r>
        <w:rPr>
          <w:rFonts w:ascii="Arial Unicode MS" w:hAnsi="Arial Unicode MS" w:eastAsia="Arial Unicode MS"/>
          <w:color w:val="20262E"/>
          <w:sz w:val="21"/>
        </w:rPr>
        <w:t>：整轮汇总；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stdout.log</w:t>
      </w:r>
      <w:r>
        <w:rPr>
          <w:rFonts w:ascii="Arial Unicode MS" w:hAnsi="Arial Unicode MS" w:eastAsia="Arial Unicode MS"/>
          <w:color w:val="20262E"/>
          <w:sz w:val="21"/>
        </w:rPr>
        <w:t>、</w:t>
      </w:r>
      <w:r>
        <w:rPr>
          <w:rFonts w:ascii="Courier New" w:hAnsi="Courier New" w:eastAsia="Arial Unicode MS"/>
          <w:color w:val="17324D"/>
          <w:sz w:val="18"/>
        </w:rPr>
        <w:t>stderr.log</w:t>
      </w:r>
      <w:r>
        <w:rPr>
          <w:rFonts w:ascii="Arial Unicode MS" w:hAnsi="Arial Unicode MS" w:eastAsia="Arial Unicode MS"/>
          <w:color w:val="20262E"/>
          <w:sz w:val="21"/>
        </w:rPr>
        <w:t>、资源占用和失败信息；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artifact_index.json</w:t>
      </w:r>
      <w:r>
        <w:rPr>
          <w:rFonts w:ascii="Arial Unicode MS" w:hAnsi="Arial Unicode MS" w:eastAsia="Arial Unicode MS"/>
          <w:color w:val="20262E"/>
          <w:sz w:val="21"/>
        </w:rPr>
        <w:t>：所有文件路径、大小和 SHA-256。</w:t>
      </w:r>
    </w:p>
    <w:p>
      <w:pPr>
        <w:pStyle w:val="Heading2"/>
      </w:pPr>
      <w:r>
        <w:t>3.2 人数与轮次</w:t>
      </w:r>
    </w:p>
    <w:p>
      <w:r>
        <w:rPr>
          <w:rFonts w:ascii="Arial Unicode MS" w:hAnsi="Arial Unicode MS" w:eastAsia="Arial Unicode MS"/>
          <w:color w:val="20262E"/>
          <w:sz w:val="21"/>
        </w:rPr>
        <w:t>建议不要一开始把所有格子跑满。采用三级矩阵：</w:t>
      </w:r>
    </w:p>
    <w:p>
      <w:pPr>
        <w:spacing w:before="140" w:after="80"/>
      </w:pPr>
      <w:r>
        <w:rPr>
          <w:rFonts w:ascii="Arial Unicode MS" w:hAnsi="Arial Unicode MS" w:eastAsia="Arial Unicode MS"/>
          <w:b/>
          <w:color w:val="20262E"/>
          <w:sz w:val="22"/>
        </w:rPr>
        <w:t>开发集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N = 10、50、100；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 = 5 做冒烟，T = 30 做完整技术验证；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每个条件 2 个 seed；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用途：排错、验证闭环、录制短演示。</w:t>
      </w:r>
    </w:p>
    <w:p>
      <w:pPr>
        <w:spacing w:before="140" w:after="80"/>
      </w:pPr>
      <w:r>
        <w:rPr>
          <w:rFonts w:ascii="Arial Unicode MS" w:hAnsi="Arial Unicode MS" w:eastAsia="Arial Unicode MS"/>
          <w:b/>
          <w:color w:val="20262E"/>
          <w:sz w:val="22"/>
        </w:rPr>
        <w:t>主实验集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N = 100、500、1000；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 = 30 和 50 两组；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每个关键条件至少 5 个 seed；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这是论文统计检验的主体。</w:t>
      </w:r>
    </w:p>
    <w:p>
      <w:pPr>
        <w:spacing w:before="140" w:after="80"/>
      </w:pPr>
      <w:r>
        <w:rPr>
          <w:rFonts w:ascii="Arial Unicode MS" w:hAnsi="Arial Unicode MS" w:eastAsia="Arial Unicode MS"/>
          <w:b/>
          <w:color w:val="20262E"/>
          <w:sz w:val="22"/>
        </w:rPr>
        <w:t>扩展性集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N = 2000、5000；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 = 30；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先跑 3 个 seed；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简化 LLM 调用：仅恶意/关键智能体使用高成本模型，其余使用缓存、规则或小模型；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用途：证明吞吐、存储、延迟与关键指标趋势，不承担全部机制结论。</w:t>
      </w:r>
    </w:p>
    <w:p>
      <w:r>
        <w:rPr>
          <w:rFonts w:ascii="Arial Unicode MS" w:hAnsi="Arial Unicode MS" w:eastAsia="Arial Unicode MS"/>
          <w:color w:val="20262E"/>
          <w:sz w:val="21"/>
        </w:rPr>
        <w:t>不建议把“50 轮两组”解释为简单重复两遍。应明确为 T=30 与 T=50 两个时域设置；每个设置再用多个随机种子重复。</w:t>
      </w:r>
    </w:p>
    <w:p>
      <w:pPr>
        <w:pStyle w:val="Heading2"/>
      </w:pPr>
      <w:r>
        <w:t>3.3 主实验因子</w:t>
      </w:r>
    </w:p>
    <w:p>
      <w:r>
        <w:rPr>
          <w:rFonts w:ascii="Arial Unicode MS" w:hAnsi="Arial Unicode MS" w:eastAsia="Arial Unicode MS"/>
          <w:color w:val="20262E"/>
          <w:sz w:val="21"/>
        </w:rPr>
        <w:t>主效应优先保留五类：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协同：none / centralized / decentralized；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适应：off / reflection / shared reflection；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动态防御：none / static periodic / risk-triggered / explanation-guided；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干预：warning / downrank / debunk / ban（主文可选择 2—3 个）；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攻击比例：5% / 10% / 20%。</w:t>
      </w:r>
    </w:p>
    <w:p>
      <w:r>
        <w:rPr>
          <w:rFonts w:ascii="Arial Unicode MS" w:hAnsi="Arial Unicode MS" w:eastAsia="Arial Unicode MS"/>
          <w:color w:val="20262E"/>
          <w:sz w:val="21"/>
        </w:rPr>
        <w:t>其余参数固定或放附录。全因子组合太大，建议先使用分阶段消融：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固定 10% 攻击者，比较闭环防御；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固定最佳防御，比较协同与适应；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固定核心条件，比较规模和攻击比例；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用消融验证解释是否真正改善防御决策。</w:t>
      </w:r>
    </w:p>
    <w:p>
      <w:pPr>
        <w:pStyle w:val="Heading2"/>
      </w:pPr>
      <w:r>
        <w:t>3.4 1000 人推荐配置</w:t>
      </w:r>
    </w:p>
    <w:p>
      <w:r>
        <w:rPr>
          <w:rFonts w:ascii="Arial Unicode MS" w:hAnsi="Arial Unicode MS" w:eastAsia="Arial Unicode MS"/>
          <w:color w:val="20262E"/>
          <w:sz w:val="21"/>
        </w:rPr>
        <w:t>推荐的第一版正式配置：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1000 人，其中 900 benign、100 deceptive；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4 个社区；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30 timestep 与 50 timestep；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centralized 与 decentralized 两种协同；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reflection/shared reflection 分开设置；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防御启动暖身期 5 timestep；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检测窗口 5 timestep，步长 1 或 5；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干预预算：每轮最多处理 1%、3%、5% 账号三档；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detector threshold 不要只用 0.5，需用验证集选择并报告；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5 个 seed：42、43、44、45、46；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temperature 主实验固定为 0 或较低值，稳健性实验再提高；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保存 t=0、5、10、15、20、25、30（以及 40、50）的图快照；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每轮结束保存原始事件，不能只保存 summary。</w:t>
      </w:r>
    </w:p>
    <w:p>
      <w:pPr>
        <w:pStyle w:val="Heading2"/>
      </w:pPr>
      <w:r>
        <w:t>3.5 数据划分与泄漏防护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按 campaign 或 scenario 划分训练/验证/测试，不能把同一场景不同时间片随机打散；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画像模板、提示词模板和内容种子也要跨划分隔离；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同一账号的不同时间片不能同时出现在训练和测试；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合成数据的角色真值只能用于评测，不得进入在线防御器输入；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测试时隐藏任务黑板和私有协同信息，任务黑板只用于角色保真和追溯性评分；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每个拆分保存 ID 清单与哈希。</w:t>
      </w:r>
    </w:p>
    <w:p>
      <w:pPr>
        <w:pStyle w:val="Heading1"/>
      </w:pPr>
      <w:r>
        <w:t>4. TwiBot-22 真实数据的使用方式</w:t>
      </w:r>
    </w:p>
    <w:p>
      <w:r>
        <w:rPr>
          <w:rFonts w:ascii="Arial Unicode MS" w:hAnsi="Arial Unicode MS" w:eastAsia="Arial Unicode MS"/>
          <w:color w:val="20262E"/>
          <w:sz w:val="21"/>
        </w:rPr>
        <w:t>TwiBot-22 用于证明检测与解释能落到真实社交图上，不用于证明在线干预的真实因果效果，因为它不是平台在线随机实验。</w:t>
      </w:r>
    </w:p>
    <w:p>
      <w:r>
        <w:rPr>
          <w:rFonts w:ascii="Arial Unicode MS" w:hAnsi="Arial Unicode MS" w:eastAsia="Arial Unicode MS"/>
          <w:color w:val="20262E"/>
          <w:sz w:val="21"/>
        </w:rPr>
        <w:t>建议分两阶段：</w:t>
      </w:r>
    </w:p>
    <w:p>
      <w:pPr>
        <w:pStyle w:val="ListNumber"/>
      </w:pPr>
      <w:r>
        <w:rPr>
          <w:rFonts w:ascii="Arial Unicode MS" w:hAnsi="Arial Unicode MS" w:eastAsia="Arial Unicode MS"/>
          <w:b/>
          <w:color w:val="20262E"/>
          <w:sz w:val="21"/>
        </w:rPr>
        <w:t>立即完成访问与原始数据归档</w:t>
      </w:r>
      <w:r>
        <w:rPr>
          <w:rFonts w:ascii="Arial Unicode MS" w:hAnsi="Arial Unicode MS" w:eastAsia="Arial Unicode MS"/>
          <w:color w:val="20262E"/>
          <w:sz w:val="21"/>
        </w:rPr>
        <w:t>。当前官方资料显示 TwiBot-22 是包含用户、推文、标签和图关系的大规模基准；完整数据应通过官方渠道获取，并遵守其研究用途和许可要求。</w:t>
      </w:r>
    </w:p>
    <w:p>
      <w:pPr>
        <w:pStyle w:val="ListNumber"/>
      </w:pPr>
      <w:r>
        <w:rPr>
          <w:rFonts w:ascii="Arial Unicode MS" w:hAnsi="Arial Unicode MS" w:eastAsia="Arial Unicode MS"/>
          <w:b/>
          <w:color w:val="20262E"/>
          <w:sz w:val="21"/>
        </w:rPr>
        <w:t>框架跑通后做真实数据验证</w:t>
      </w:r>
      <w:r>
        <w:rPr>
          <w:rFonts w:ascii="Arial Unicode MS" w:hAnsi="Arial Unicode MS" w:eastAsia="Arial Unicode MS"/>
          <w:color w:val="20262E"/>
          <w:sz w:val="21"/>
        </w:rPr>
        <w:t>。用现有动态适配器抽取 N=120、500、1000、5000 的固定子集；每个子集保存抽样 seed、core user ID、boundary node 规则、动作与关注截断参数。</w:t>
      </w:r>
    </w:p>
    <w:p>
      <w:r>
        <w:rPr>
          <w:rFonts w:ascii="Arial Unicode MS" w:hAnsi="Arial Unicode MS" w:eastAsia="Arial Unicode MS"/>
          <w:color w:val="20262E"/>
          <w:sz w:val="21"/>
        </w:rPr>
        <w:t>适配器当前默认可控参数包括：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total_sample_size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max_actions=50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max_follows=100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Courier New" w:hAnsi="Courier New" w:eastAsia="Arial Unicode MS"/>
          <w:color w:val="17324D"/>
          <w:sz w:val="18"/>
        </w:rPr>
        <w:t>random_seed=42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是否抓取 boundary profile。</w:t>
      </w:r>
    </w:p>
    <w:p>
      <w:r>
        <w:rPr>
          <w:rFonts w:ascii="Arial Unicode MS" w:hAnsi="Arial Unicode MS" w:eastAsia="Arial Unicode MS"/>
          <w:color w:val="20262E"/>
          <w:sz w:val="21"/>
        </w:rPr>
        <w:t>需要补强：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输出 sampled core IDs 和 sampled bot IDs；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输出原始文件哈希与适配器代码提交；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记录丢失推文、缺失画像、截断比例；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保持一个固定 benchmark split，不要每次重新随机抽样；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 xml:space="preserve">“TwiBot”拼写统一，避免代码中的 </w:t>
      </w:r>
      <w:r>
        <w:rPr>
          <w:rFonts w:ascii="Courier New" w:hAnsi="Courier New" w:eastAsia="Arial Unicode MS"/>
          <w:color w:val="17324D"/>
          <w:sz w:val="18"/>
        </w:rPr>
        <w:t>twinbot</w:t>
      </w:r>
      <w:r>
        <w:rPr>
          <w:rFonts w:ascii="Arial Unicode MS" w:hAnsi="Arial Unicode MS" w:eastAsia="Arial Unicode MS"/>
          <w:color w:val="20262E"/>
          <w:sz w:val="21"/>
        </w:rPr>
        <w:t xml:space="preserve"> 与论文名混用造成复现困惑。</w:t>
      </w:r>
    </w:p>
    <w:p>
      <w:pPr>
        <w:pStyle w:val="Heading1"/>
      </w:pPr>
      <w:r>
        <w:t>5. 评价指标</w:t>
      </w:r>
    </w:p>
    <w:p>
      <w:pPr>
        <w:pStyle w:val="Heading2"/>
      </w:pPr>
      <w:r>
        <w:t>5.1 检测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AUROC、AUPRC、F1、precision、recall；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attack escape rate；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time-to-detect；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early-detection AUC；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按角色、规模、协同机制分层结果。</w:t>
      </w:r>
    </w:p>
    <w:p>
      <w:pPr>
        <w:pStyle w:val="Heading2"/>
      </w:pPr>
      <w:r>
        <w:t>5.2 传播和干预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欺骗内容曝光量、传播深度、传播速度；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触达正常用户数；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团伙任务完成率；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干预前后相对下降；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benign utility loss；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false intervention rate；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单位收益成本与总干预预算。</w:t>
      </w:r>
    </w:p>
    <w:p>
      <w:pPr>
        <w:pStyle w:val="Heading2"/>
      </w:pPr>
      <w:r>
        <w:t>5.3 动态适应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检测后降频幅度；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角色切换率；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网络重连率；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替补接管成功率；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攻防后悔值或累计效用；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跨窗口概念漂移。</w:t>
      </w:r>
    </w:p>
    <w:p>
      <w:pPr>
        <w:pStyle w:val="Heading2"/>
      </w:pPr>
      <w:r>
        <w:t>5.4 四维解释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预测保真：top-k sufficiency、comprehensiveness、局部一致性；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几何保真：邻域保持、距离秩相关、层级顺序一致；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角色保真：与任务真值的 NMI/ARI/F1、跨 seed 稳定性；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可追溯：证据覆盖率、字段完整率、哈希校验通过率、人工复核一致率。</w:t>
      </w:r>
    </w:p>
    <w:p>
      <w:pPr>
        <w:pStyle w:val="Heading1"/>
      </w:pPr>
      <w:r>
        <w:t>6. 必做对照和消融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原生 LLM detector；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旧的静态情感计算 + 网络角色分类；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动态检测但无解释参与决策；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动态检测 + SHAP；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动态检测 + 四维解释；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四维解释 + 专家/规则策略；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oracle detector（性能上界，只用于分析）；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无防御与随机干预；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去掉心理特征、去掉双曲几何、去掉角色、去掉任务审计；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static periodic 与 risk-triggered 的等预算比较。</w:t>
      </w:r>
    </w:p>
    <w:p>
      <w:r>
        <w:rPr>
          <w:rFonts w:ascii="Arial Unicode MS" w:hAnsi="Arial Unicode MS" w:eastAsia="Arial Unicode MS"/>
          <w:color w:val="20262E"/>
          <w:sz w:val="21"/>
        </w:rPr>
        <w:t>最关键实验：</w:t>
      </w:r>
    </w:p>
    <w:p>
      <w:pPr>
        <w:spacing w:before="100" w:after="160"/>
        <w:ind w:left="317" w:right="259"/>
        <w:shd w:fill="EAF2F8"/>
        <w:pBdr>
          <w:left w:val="single" w:sz="18" w:color="215A8E" w:space="8"/>
        </w:pBdr>
      </w:pPr>
      <w:r>
        <w:rPr>
          <w:rFonts w:ascii="Arial Unicode MS" w:hAnsi="Arial Unicode MS" w:eastAsia="Arial Unicode MS"/>
          <w:color w:val="20262E"/>
          <w:sz w:val="22"/>
        </w:rPr>
        <w:t>在相同干预预算与误伤约束下，解释引导的闭环防御是否比仅风险分数、静态周期检测和原生 LLM detector 更早发现关键角色，并更有效降低欺骗传播？</w:t>
      </w:r>
    </w:p>
    <w:p>
      <w:pPr>
        <w:pStyle w:val="Heading1"/>
      </w:pPr>
      <w:r>
        <w:t>7. 结果保存与演示视频设计</w:t>
      </w:r>
    </w:p>
    <w:p>
      <w:r>
        <w:rPr>
          <w:rFonts w:ascii="Arial Unicode MS" w:hAnsi="Arial Unicode MS" w:eastAsia="Arial Unicode MS"/>
          <w:color w:val="20262E"/>
          <w:sz w:val="21"/>
        </w:rPr>
        <w:t>统一目录：</w:t>
      </w:r>
    </w:p>
    <w:p>
      <w:r>
        <w:rPr>
          <w:rFonts w:ascii="Courier New" w:hAnsi="Courier New" w:eastAsia="Arial Unicode MS"/>
          <w:color w:val="17324D"/>
          <w:sz w:val="18"/>
        </w:rPr>
        <w:t>runs/{experiment_id}/{condition_id}/seed_{seed}/{run_id}/</w:t>
      </w:r>
    </w:p>
    <w:p>
      <w:r>
        <w:rPr>
          <w:rFonts w:ascii="Arial Unicode MS" w:hAnsi="Arial Unicode MS" w:eastAsia="Arial Unicode MS"/>
          <w:color w:val="20262E"/>
          <w:sz w:val="21"/>
        </w:rPr>
        <w:t xml:space="preserve">其中 </w:t>
      </w:r>
      <w:r>
        <w:rPr>
          <w:rFonts w:ascii="Courier New" w:hAnsi="Courier New" w:eastAsia="Arial Unicode MS"/>
          <w:color w:val="17324D"/>
          <w:sz w:val="18"/>
        </w:rPr>
        <w:t>run_id</w:t>
      </w:r>
      <w:r>
        <w:rPr>
          <w:rFonts w:ascii="Arial Unicode MS" w:hAnsi="Arial Unicode MS" w:eastAsia="Arial Unicode MS"/>
          <w:color w:val="20262E"/>
          <w:sz w:val="21"/>
        </w:rPr>
        <w:t xml:space="preserve"> 建议为：</w:t>
      </w:r>
    </w:p>
    <w:p>
      <w:r>
        <w:rPr>
          <w:rFonts w:ascii="Courier New" w:hAnsi="Courier New" w:eastAsia="Arial Unicode MS"/>
          <w:color w:val="17324D"/>
          <w:sz w:val="18"/>
        </w:rPr>
        <w:t>YYYYMMDD-HHMMSS_N{N}_T{T}_{attack}_{defense}_s{seed}_{gitshort}</w:t>
      </w:r>
    </w:p>
    <w:p>
      <w:r>
        <w:rPr>
          <w:rFonts w:ascii="Arial Unicode MS" w:hAnsi="Arial Unicode MS" w:eastAsia="Arial Unicode MS"/>
          <w:color w:val="20262E"/>
          <w:sz w:val="21"/>
        </w:rPr>
        <w:t>运行原则：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原始数据只追加，不覆盖；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summary 可重算；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所有图表必须能由原始事件重新生成；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每次运行先写 manifest，再启动模型；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每个 checkpoint 做原子保存；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失败运行也保存配置、日志和失败阶段；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大文件保存内容哈希，必要时只在 Git 中提交索引；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禁止把输出写到个人 Windows 盘符或未记录的临时目录。</w:t>
      </w:r>
    </w:p>
    <w:p>
      <w:r>
        <w:rPr>
          <w:rFonts w:ascii="Arial Unicode MS" w:hAnsi="Arial Unicode MS" w:eastAsia="Arial Unicode MS"/>
          <w:color w:val="20262E"/>
          <w:sz w:val="21"/>
        </w:rPr>
        <w:t>演示视频脚本建议展示：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初始网络与角色；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欺骗任务在任务黑板上创建和被承接；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风险随时间上升；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解释定位领导者、桥接者与关键证据；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防御动作执行；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攻击者降频、换角或替补；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干预前后的传播曲线与专家证据包。</w:t>
      </w:r>
    </w:p>
    <w:p>
      <w:pPr>
        <w:pStyle w:val="Heading1"/>
      </w:pPr>
      <w:r>
        <w:t>8. 从现在到 9 月 10 日的倒排计划</w:t>
      </w:r>
    </w:p>
    <w:p>
      <w:pPr>
        <w:pStyle w:val="Heading2"/>
      </w:pPr>
      <w:r>
        <w:t>7 月 23—26 日：冻结问题和证据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提交/确认 TwiBot-22 官方数据访问，当天完成；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冻结 Paper A / Paper B 的贡献边界；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建立统一 run schema 与 manifest；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修复硬编码输出路径；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用 N=10、T=5 完成闭环冒烟。</w:t>
      </w:r>
    </w:p>
    <w:p>
      <w:r>
        <w:rPr>
          <w:rFonts w:ascii="Arial Unicode MS" w:hAnsi="Arial Unicode MS" w:eastAsia="Arial Unicode MS"/>
          <w:color w:val="20262E"/>
          <w:sz w:val="21"/>
        </w:rPr>
        <w:t>验收：一条命令产生完整 run 目录，能重放攻击、检测、解释和干预时间线。</w:t>
      </w:r>
    </w:p>
    <w:p>
      <w:pPr>
        <w:pStyle w:val="Heading2"/>
      </w:pPr>
      <w:r>
        <w:t>7 月 27—8 月 2 日：最小闭环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接入流式窗口检测；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四维解释先实现可计算的最小版本；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加入 risk-triggered 和 explanation-guided 两个策略；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N=50/100，T=30，各 2 个 seed。</w:t>
      </w:r>
    </w:p>
    <w:p>
      <w:r>
        <w:rPr>
          <w:rFonts w:ascii="Arial Unicode MS" w:hAnsi="Arial Unicode MS" w:eastAsia="Arial Unicode MS"/>
          <w:color w:val="20262E"/>
          <w:sz w:val="21"/>
        </w:rPr>
        <w:t>验收：相同预算下输出传播、误伤、延迟与解释指标。</w:t>
      </w:r>
    </w:p>
    <w:p>
      <w:pPr>
        <w:pStyle w:val="Heading2"/>
      </w:pPr>
      <w:r>
        <w:t>8 月 3—12 日：主实验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N=100/500/1000；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T=30/50；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关键条件 5 seeds；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完成主对照和核心消融；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每天生成自动汇总表，避免最后才发现数据缺失。</w:t>
      </w:r>
    </w:p>
    <w:p>
      <w:pPr>
        <w:pStyle w:val="Heading2"/>
      </w:pPr>
      <w:r>
        <w:t>8 月 13—20 日：扩展性与真实数据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N=2000/5000 扩展性；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固定 TwiBot-22 子集；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跑检测、团伙、角色和四维解释；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核对 Paper A 表格是否可从本地结果复现。</w:t>
      </w:r>
    </w:p>
    <w:p>
      <w:pPr>
        <w:pStyle w:val="Heading2"/>
      </w:pPr>
      <w:r>
        <w:t>8 月 21—28 日：统计、图表和初稿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置信区间、显著性与效应量；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失败案例和误伤案例；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完成方法、实验、限制章节；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准备演示视频初版。</w:t>
      </w:r>
    </w:p>
    <w:p>
      <w:pPr>
        <w:pStyle w:val="Heading2"/>
      </w:pPr>
      <w:r>
        <w:t>8 月 29—9 月 4 日：内部审稿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检查所有 claim—evidence 对应；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补消融与审稿人最可能追问的实验；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匿名化、引用、许可证和伦理说明。</w:t>
      </w:r>
    </w:p>
    <w:p>
      <w:pPr>
        <w:pStyle w:val="Heading2"/>
      </w:pPr>
      <w:r>
        <w:t>9 月 5—9 日：冻结与投稿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代码和结果冻结；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从干净环境复跑最小实验；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图表、附录、补充材料和视频终检；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9 月 9 日完成最终上传，预留一天处理系统问题。</w:t>
      </w:r>
    </w:p>
    <w:p>
      <w:pPr>
        <w:pStyle w:val="Heading1"/>
      </w:pPr>
      <w:r>
        <w:t>9. 你现在要做什么</w:t>
      </w:r>
    </w:p>
    <w:p>
      <w:r>
        <w:rPr>
          <w:rFonts w:ascii="Arial Unicode MS" w:hAnsi="Arial Unicode MS" w:eastAsia="Arial Unicode MS"/>
          <w:color w:val="20262E"/>
          <w:sz w:val="21"/>
        </w:rPr>
        <w:t>今天按顺序完成：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使用学校机构邮箱确认 TwiBot-22 官方访问方式并申请/下载；不要等待框架完成后再申请。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确认服务器：GPU 型号与数量、可用磁盘、模型服务地址、DeepSeek API 额度与并发限制。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与团队确认 Paper B 的唯一主问题：是否同意“部分可观测、预算约束、解释引导的闭环攻防博弈”。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确认第一轮固定设置：N=10、T=5 冒烟；N=100、T=30 小实验；N=1000、T=30/50 正式实验。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确认攻击者比例和主干预：建议 10% 攻击者，主文先比较 downrank/debunk/ban 中的两类。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指定一个共享存储根目录，禁止个人路径；确定结果保留周期和备份位置。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把 DS API 的调用限制、价格/额度和密钥配置方式告诉负责跑仿真的人；密钥不能写进 YAML 或 Git。</w:t>
      </w:r>
    </w:p>
    <w:p>
      <w:r>
        <w:rPr>
          <w:rFonts w:ascii="Arial Unicode MS" w:hAnsi="Arial Unicode MS" w:eastAsia="Arial Unicode MS"/>
          <w:color w:val="20262E"/>
          <w:sz w:val="21"/>
        </w:rPr>
        <w:t>团队需要在 24 小时内共同确认：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Paper A / B 各自三条贡献；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主实验矩阵；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服务器与 API 预算；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TwiBot-22 是否已获得；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每项任务 owner；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每两天一次的可运行交付物，而不是只汇报文字进度。</w:t>
      </w:r>
    </w:p>
    <w:p>
      <w:pPr>
        <w:pStyle w:val="Heading1"/>
      </w:pPr>
      <w:r>
        <w:t>10. 第一次讨论会需要拍板的问题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Paper B 是偏安全、社交计算还是多智能体系统？目标 venue 决定写法和实验重点。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防御策略由规则、强化学习、bandit 还是 LLM 决策？建议先以可复现的规则/bandit 做主方法，LLM 策略作为对照或扩展。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“实时”定义为每事件、每 timestep，还是每 5 timestep 窗口？建议先定义为 timestep 级流式更新。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是否允许防御器使用文本大模型？建议允许，但设置调用预算并与轻量检测器等预算比较。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1000 人场景的 LLM 覆盖范围？建议异构：关键攻击者与抽样正常用户调用 LLM，其余使用缓存/代理策略。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人类专家实验是否来得及？最低可做 2—3 名领域人员的小规模证据包复核，并报告一致性与耗时。</w:t>
      </w:r>
    </w:p>
    <w:p>
      <w:pPr>
        <w:pStyle w:val="ListNumber"/>
      </w:pPr>
      <w:r>
        <w:rPr>
          <w:rFonts w:ascii="Arial Unicode MS" w:hAnsi="Arial Unicode MS" w:eastAsia="Arial Unicode MS"/>
          <w:color w:val="20262E"/>
          <w:sz w:val="21"/>
        </w:rPr>
        <w:t>主张“四维解释首次提出”前必须做系统文献检索；当前只能写“我们提出四维评估框架”，不能未经检索直接使用“首次”。</w:t>
      </w:r>
    </w:p>
    <w:p>
      <w:pPr>
        <w:pStyle w:val="Heading1"/>
      </w:pPr>
      <w:r>
        <w:t>11. 当前风险登记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时间风险：距截稿不足两个月；对策是先闭环、后规模，先核心矩阵、后扩展。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成本风险：1000×50 的全 LLM 调用可能不可承受；对策是异构代理、缓存和分层采样。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复现风险：当前存在硬编码路径与未统一输出；对策是 run schema 和 manifest 优先于大规模运行。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真实性风险：合成数据可能出现提示词标签泄漏；对策是模板隔离、跨场景划分和 adversarial paraphrase。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解释风险：SHAP 不等于因果证据；对策是反事实删除、角色真值和 provenance audit。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论文风险：两篇贡献重叠；对策是 Paper A 固定为检测/解释，Paper B 固定为闭环决策/动态适应。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真实数据风险：TwiBot-22 不能验证在线干预因果；对策是只用于外部有效性和解释展示。</w:t>
      </w:r>
    </w:p>
    <w:p>
      <w:pPr>
        <w:pStyle w:val="Heading1"/>
      </w:pPr>
      <w:r>
        <w:t>附录 A：建议实验编号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E0：N=10、T=5，闭环冒烟；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E1：N=100、T=30，四种防御等预算比较；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E2：N=500/1000、T=30/50，规模和时域；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E3：中心化/去中心化 × reflection/shared reflection；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E4：解释维度消融；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E5：攻击比例 5%/10%/20%；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E6：N=2000/5000 扩展性；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R1：TwiBot-22 固定 120/500/1000/5000 子集；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H1：人类专家证据包复核。</w:t>
      </w:r>
    </w:p>
    <w:p>
      <w:pPr>
        <w:pStyle w:val="Heading1"/>
      </w:pPr>
      <w:r>
        <w:t>附录 B：资料依据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本地论文：</w:t>
      </w:r>
      <w:r>
        <w:rPr>
          <w:rFonts w:ascii="Courier New" w:hAnsi="Courier New" w:eastAsia="Arial Unicode MS"/>
          <w:color w:val="17324D"/>
          <w:sz w:val="18"/>
        </w:rPr>
        <w:t>CIKM_short_HyperDecept.pdf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本地项目说明：</w:t>
      </w:r>
      <w:r>
        <w:rPr>
          <w:rFonts w:ascii="Courier New" w:hAnsi="Courier New" w:eastAsia="Arial Unicode MS"/>
          <w:color w:val="17324D"/>
          <w:sz w:val="18"/>
        </w:rPr>
        <w:t>README.md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原框架说明：</w:t>
      </w:r>
      <w:r>
        <w:rPr>
          <w:rFonts w:ascii="Courier New" w:hAnsi="Courier New" w:eastAsia="Arial Unicode MS"/>
          <w:color w:val="17324D"/>
          <w:sz w:val="18"/>
        </w:rPr>
        <w:t>MultiAgent4Collusion-master/README_Framework.md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TwiBot 适配：</w:t>
      </w:r>
      <w:r>
        <w:rPr>
          <w:rFonts w:ascii="Courier New" w:hAnsi="Courier New" w:eastAsia="Arial Unicode MS"/>
          <w:color w:val="17324D"/>
          <w:sz w:val="18"/>
        </w:rPr>
        <w:t>data_processing/twinbot_adapter_dynamic.py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仿真主脚本：</w:t>
      </w:r>
      <w:r>
        <w:rPr>
          <w:rFonts w:ascii="Courier New" w:hAnsi="Courier New" w:eastAsia="Arial Unicode MS"/>
          <w:color w:val="17324D"/>
          <w:sz w:val="18"/>
        </w:rPr>
        <w:t>MultiAgent4Collusion-master/scripts/twitter_simulation/align_with_real_world/twitter_simulation_large.py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任务审计：</w:t>
      </w:r>
      <w:r>
        <w:rPr>
          <w:rFonts w:ascii="Courier New" w:hAnsi="Courier New" w:eastAsia="Arial Unicode MS"/>
          <w:color w:val="17324D"/>
          <w:sz w:val="18"/>
        </w:rPr>
        <w:t>task_audit_logger.py</w:t>
      </w:r>
      <w:r>
        <w:rPr>
          <w:rFonts w:ascii="Arial Unicode MS" w:hAnsi="Arial Unicode MS" w:eastAsia="Arial Unicode MS"/>
          <w:color w:val="20262E"/>
          <w:sz w:val="21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color w:val="20262E"/>
          <w:sz w:val="21"/>
        </w:rPr>
        <w:t>TwiBot-22 官方网站与 NeurIPS 2022 论文/补充材料。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E6E7E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color w:val="5E6E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5E6E7E"/>
        <w:sz w:val="17"/>
      </w:rPr>
      <w:t>HYPER-DECEPT · INTERNAL DISCUSSION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 Unicode MS" w:hAnsi="Arial Unicode MS" w:eastAsia="Arial Unicode MS"/>
      <w:color w:val="20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15A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15A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59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59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Hyper-Decept 博弈框架与数据集构建方案</dc:title>
  <dc:subject>闭环攻防博弈、仿真数据集、TwiBot-22 与实验留痕</dc:subject>
  <dc:creator>Hyper-Decept 项目组</dc:creator>
  <cp:keywords>Hyper-Decept, multi-agent game, dataset, explainability, TwiBot-22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