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BD965">
      <w:pPr>
        <w:spacing w:before="0" w:after="0"/>
        <w:jc w:val="center"/>
      </w:pPr>
      <w:r>
        <w:rPr>
          <w:rFonts w:ascii="Calibri" w:hAnsi="Calibri"/>
          <w:b/>
          <w:i w:val="0"/>
          <w:color w:val="1F4E79"/>
          <w:sz w:val="16"/>
        </w:rPr>
        <w:t>INSTITUTIONAL RESEARCH REVIEW / APPROVAL SHEET</w:t>
      </w:r>
    </w:p>
    <w:p w14:paraId="2A714F52">
      <w:pPr>
        <w:spacing w:before="0" w:after="40"/>
        <w:jc w:val="center"/>
      </w:pPr>
      <w:r>
        <w:rPr>
          <w:rFonts w:ascii="Calibri" w:hAnsi="Calibri"/>
          <w:b/>
          <w:i w:val="0"/>
          <w:color w:val="1C2D40"/>
          <w:sz w:val="33"/>
        </w:rPr>
        <w:t>Human Study of HyperTrace AI Explanations</w:t>
      </w:r>
    </w:p>
    <w:p w14:paraId="6A4B0C26">
      <w:pPr>
        <w:spacing w:before="0" w:after="80"/>
        <w:jc w:val="center"/>
      </w:pPr>
      <w:r>
        <w:rPr>
          <w:rFonts w:ascii="Calibri" w:hAnsi="Calibri"/>
          <w:b w:val="0"/>
          <w:i/>
          <w:color w:val="5A626C"/>
          <w:sz w:val="18"/>
        </w:rPr>
        <w:t>Minimal-risk behavioral study submitted for institutional review and official endorsement.</w:t>
      </w:r>
    </w:p>
    <w:tbl>
      <w:tblPr>
        <w:tblStyle w:val="32"/>
        <w:tblW w:w="10178" w:type="dxa"/>
        <w:tblInd w:w="0" w:type="dxa"/>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Layout w:type="fixed"/>
        <w:tblCellMar>
          <w:top w:w="0" w:type="dxa"/>
          <w:left w:w="108" w:type="dxa"/>
          <w:bottom w:w="0" w:type="dxa"/>
          <w:right w:w="108" w:type="dxa"/>
        </w:tblCellMar>
      </w:tblPr>
      <w:tblGrid>
        <w:gridCol w:w="2050"/>
        <w:gridCol w:w="8128"/>
      </w:tblGrid>
      <w:tr w14:paraId="41C017C5">
        <w:tblPrEx>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CellMar>
            <w:top w:w="0" w:type="dxa"/>
            <w:left w:w="108" w:type="dxa"/>
            <w:bottom w:w="0" w:type="dxa"/>
            <w:right w:w="108" w:type="dxa"/>
          </w:tblCellMar>
        </w:tblPrEx>
        <w:tc>
          <w:tcPr>
            <w:tcW w:w="2050" w:type="dxa"/>
            <w:shd w:val="clear" w:color="auto" w:fill="EEF3F8"/>
            <w:tcMar>
              <w:top w:w="70" w:type="dxa"/>
              <w:left w:w="100" w:type="dxa"/>
              <w:bottom w:w="70" w:type="dxa"/>
              <w:right w:w="100" w:type="dxa"/>
            </w:tcMar>
            <w:vAlign w:val="center"/>
          </w:tcPr>
          <w:p w14:paraId="0BEF3051">
            <w:pPr>
              <w:spacing w:after="0"/>
            </w:pPr>
            <w:r>
              <w:rPr>
                <w:rFonts w:ascii="Calibri" w:hAnsi="Calibri"/>
                <w:b/>
                <w:i w:val="0"/>
                <w:color w:val="1C2D40"/>
                <w:sz w:val="17"/>
              </w:rPr>
              <w:t>Applicant / Department</w:t>
            </w:r>
          </w:p>
        </w:tc>
        <w:tc>
          <w:tcPr>
            <w:tcW w:w="8128" w:type="dxa"/>
            <w:tcMar>
              <w:top w:w="70" w:type="dxa"/>
              <w:left w:w="100" w:type="dxa"/>
              <w:bottom w:w="70" w:type="dxa"/>
              <w:right w:w="100" w:type="dxa"/>
            </w:tcMar>
            <w:vAlign w:val="center"/>
          </w:tcPr>
          <w:p w14:paraId="0F0DC27D">
            <w:pPr>
              <w:spacing w:after="0"/>
            </w:pPr>
            <w:r>
              <w:rPr>
                <w:rFonts w:hint="eastAsia" w:eastAsia="宋体"/>
                <w:b w:val="0"/>
                <w:i w:val="0"/>
                <w:color w:val="1C2D40"/>
                <w:sz w:val="17"/>
                <w:lang w:val="en-US" w:eastAsia="zh-CN"/>
              </w:rPr>
              <w:t>xiaoyang,Xing   School of Computer Science and Technology, TongjiUniversity</w:t>
            </w:r>
          </w:p>
        </w:tc>
      </w:tr>
      <w:tr w14:paraId="4575063F">
        <w:tblPrEx>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CellMar>
            <w:top w:w="0" w:type="dxa"/>
            <w:left w:w="108" w:type="dxa"/>
            <w:bottom w:w="0" w:type="dxa"/>
            <w:right w:w="108" w:type="dxa"/>
          </w:tblCellMar>
        </w:tblPrEx>
        <w:tc>
          <w:tcPr>
            <w:tcW w:w="2050" w:type="dxa"/>
            <w:shd w:val="clear" w:color="auto" w:fill="EEF3F8"/>
            <w:tcMar>
              <w:top w:w="70" w:type="dxa"/>
              <w:left w:w="100" w:type="dxa"/>
              <w:bottom w:w="70" w:type="dxa"/>
              <w:right w:w="100" w:type="dxa"/>
            </w:tcMar>
            <w:vAlign w:val="center"/>
          </w:tcPr>
          <w:p w14:paraId="46DF0373">
            <w:pPr>
              <w:spacing w:after="0"/>
            </w:pPr>
            <w:r>
              <w:rPr>
                <w:rFonts w:ascii="Calibri" w:hAnsi="Calibri"/>
                <w:b/>
                <w:i w:val="0"/>
                <w:color w:val="1C2D40"/>
                <w:sz w:val="17"/>
              </w:rPr>
              <w:t>Principal Investigator</w:t>
            </w:r>
          </w:p>
        </w:tc>
        <w:tc>
          <w:tcPr>
            <w:tcW w:w="8128" w:type="dxa"/>
            <w:tcMar>
              <w:top w:w="70" w:type="dxa"/>
              <w:left w:w="100" w:type="dxa"/>
              <w:bottom w:w="70" w:type="dxa"/>
              <w:right w:w="100" w:type="dxa"/>
            </w:tcMar>
            <w:vAlign w:val="center"/>
          </w:tcPr>
          <w:p w14:paraId="7802154E">
            <w:pPr>
              <w:spacing w:after="0"/>
            </w:pPr>
            <w:r>
              <w:rPr>
                <w:rFonts w:ascii="Calibri" w:hAnsi="Calibri"/>
                <w:b w:val="0"/>
                <w:i w:val="0"/>
                <w:color w:val="1C2D40"/>
                <w:sz w:val="17"/>
              </w:rPr>
              <w:t>___</w:t>
            </w:r>
            <w:r>
              <w:rPr>
                <w:rFonts w:hint="eastAsia" w:eastAsia="宋体"/>
                <w:b w:val="0"/>
                <w:i w:val="0"/>
                <w:color w:val="1C2D40"/>
                <w:sz w:val="17"/>
                <w:lang w:val="en-US" w:eastAsia="zh-CN"/>
              </w:rPr>
              <w:t>xiaoyang,Xing</w:t>
            </w:r>
            <w:r>
              <w:rPr>
                <w:rFonts w:ascii="Calibri" w:hAnsi="Calibri"/>
                <w:b w:val="0"/>
                <w:i w:val="0"/>
                <w:color w:val="1C2D40"/>
                <w:sz w:val="17"/>
              </w:rPr>
              <w:t>__  Email / phone: ___</w:t>
            </w:r>
            <w:r>
              <w:rPr>
                <w:rFonts w:hint="eastAsia" w:eastAsia="宋体"/>
                <w:b w:val="0"/>
                <w:i w:val="0"/>
                <w:color w:val="1C2D40"/>
                <w:sz w:val="17"/>
                <w:lang w:val="en-US" w:eastAsia="zh-CN"/>
              </w:rPr>
              <w:t>2454203@tongji.edu.cn</w:t>
            </w:r>
            <w:r>
              <w:rPr>
                <w:rFonts w:ascii="Calibri" w:hAnsi="Calibri"/>
                <w:b w:val="0"/>
                <w:i w:val="0"/>
                <w:color w:val="1C2D40"/>
                <w:sz w:val="17"/>
              </w:rPr>
              <w:t>___</w:t>
            </w:r>
          </w:p>
        </w:tc>
      </w:tr>
      <w:tr w14:paraId="0A4BC1AB">
        <w:tblPrEx>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CellMar>
            <w:top w:w="0" w:type="dxa"/>
            <w:left w:w="108" w:type="dxa"/>
            <w:bottom w:w="0" w:type="dxa"/>
            <w:right w:w="108" w:type="dxa"/>
          </w:tblCellMar>
        </w:tblPrEx>
        <w:tc>
          <w:tcPr>
            <w:tcW w:w="2050" w:type="dxa"/>
            <w:shd w:val="clear" w:color="auto" w:fill="EEF3F8"/>
            <w:tcMar>
              <w:top w:w="70" w:type="dxa"/>
              <w:left w:w="100" w:type="dxa"/>
              <w:bottom w:w="70" w:type="dxa"/>
              <w:right w:w="100" w:type="dxa"/>
            </w:tcMar>
            <w:vAlign w:val="center"/>
          </w:tcPr>
          <w:p w14:paraId="5B47E3BE">
            <w:pPr>
              <w:spacing w:after="0"/>
            </w:pPr>
            <w:r>
              <w:rPr>
                <w:rFonts w:ascii="Calibri" w:hAnsi="Calibri"/>
                <w:b/>
                <w:i w:val="0"/>
                <w:color w:val="1C2D40"/>
                <w:sz w:val="17"/>
              </w:rPr>
              <w:t>Protocol information</w:t>
            </w:r>
          </w:p>
        </w:tc>
        <w:tc>
          <w:tcPr>
            <w:tcW w:w="8128" w:type="dxa"/>
            <w:tcMar>
              <w:top w:w="70" w:type="dxa"/>
              <w:left w:w="100" w:type="dxa"/>
              <w:bottom w:w="70" w:type="dxa"/>
              <w:right w:w="100" w:type="dxa"/>
            </w:tcMar>
            <w:vAlign w:val="center"/>
          </w:tcPr>
          <w:p w14:paraId="6086C548">
            <w:pPr>
              <w:spacing w:after="0"/>
            </w:pPr>
            <w:r>
              <w:rPr>
                <w:rFonts w:ascii="Calibri" w:hAnsi="Calibri"/>
                <w:b w:val="0"/>
                <w:i w:val="0"/>
                <w:color w:val="1C2D40"/>
                <w:sz w:val="17"/>
              </w:rPr>
              <w:t>Version: 1.0  |  Proposed dates: ___</w:t>
            </w:r>
            <w:r>
              <w:rPr>
                <w:rFonts w:hint="eastAsia" w:eastAsia="宋体"/>
                <w:b w:val="0"/>
                <w:i w:val="0"/>
                <w:color w:val="1C2D40"/>
                <w:sz w:val="17"/>
                <w:lang w:val="en-US" w:eastAsia="zh-CN"/>
              </w:rPr>
              <w:t>8.1,2026</w:t>
            </w:r>
            <w:r>
              <w:rPr>
                <w:rFonts w:ascii="Calibri" w:hAnsi="Calibri"/>
                <w:b w:val="0"/>
                <w:i w:val="0"/>
                <w:color w:val="1C2D40"/>
                <w:sz w:val="17"/>
              </w:rPr>
              <w:t>_____ to ___</w:t>
            </w:r>
            <w:r>
              <w:rPr>
                <w:rFonts w:hint="eastAsia" w:eastAsia="宋体"/>
                <w:b w:val="0"/>
                <w:i w:val="0"/>
                <w:color w:val="1C2D40"/>
                <w:sz w:val="17"/>
                <w:lang w:val="en-US" w:eastAsia="zh-CN"/>
              </w:rPr>
              <w:t>9.1,2026</w:t>
            </w:r>
            <w:r>
              <w:rPr>
                <w:rFonts w:ascii="Calibri" w:hAnsi="Calibri"/>
                <w:b w:val="0"/>
                <w:i w:val="0"/>
                <w:color w:val="1C2D40"/>
                <w:sz w:val="17"/>
              </w:rPr>
              <w:t>_______  |  Max. N = 90</w:t>
            </w:r>
          </w:p>
        </w:tc>
      </w:tr>
    </w:tbl>
    <w:p w14:paraId="14F07AD9">
      <w:pPr>
        <w:spacing w:after="0"/>
      </w:pPr>
    </w:p>
    <w:p w14:paraId="1872B92D">
      <w:pPr>
        <w:pStyle w:val="3"/>
      </w:pPr>
      <w:r>
        <w:t>Purpose and design</w:t>
      </w:r>
    </w:p>
    <w:p w14:paraId="749496E3">
      <w:pPr>
        <w:spacing w:before="0" w:after="50" w:line="245" w:lineRule="auto"/>
      </w:pPr>
      <w:r>
        <w:rPr>
          <w:rFonts w:ascii="Calibri" w:hAnsi="Calibri"/>
          <w:b/>
          <w:i w:val="0"/>
          <w:color w:val="1C2D40"/>
          <w:sz w:val="19"/>
        </w:rPr>
        <w:t xml:space="preserve">Objective. </w:t>
      </w:r>
      <w:r>
        <w:rPr>
          <w:rFonts w:ascii="Calibri" w:hAnsi="Calibri"/>
          <w:b w:val="0"/>
          <w:i w:val="0"/>
          <w:color w:val="1C2D40"/>
          <w:sz w:val="19"/>
        </w:rPr>
        <w:t>To determine whether traceable, geometry-aware AI explanations improve detection accuracy and appropriate reliance compared with AI predictions alone and conventional static explanations.</w:t>
      </w:r>
    </w:p>
    <w:p w14:paraId="4BBDB25B">
      <w:pPr>
        <w:spacing w:before="0" w:after="50" w:line="245" w:lineRule="auto"/>
      </w:pPr>
      <w:r>
        <w:rPr>
          <w:rFonts w:ascii="Calibri" w:hAnsi="Calibri"/>
          <w:b/>
          <w:i w:val="0"/>
          <w:color w:val="1C2D40"/>
          <w:sz w:val="19"/>
        </w:rPr>
        <w:t xml:space="preserve">Design. </w:t>
      </w:r>
      <w:r>
        <w:rPr>
          <w:rFonts w:ascii="Calibri" w:hAnsi="Calibri"/>
          <w:b w:val="0"/>
          <w:i w:val="0"/>
          <w:color w:val="1C2D40"/>
          <w:sz w:val="19"/>
        </w:rPr>
        <w:t>A randomized, three-condition, between-subjects study: (A) AI recommendation only; (B) static feature/subgraph explanation; and (C) HyperTrace evidence-and-history explanation. Within each condition, participants encounter both correct and deliberately inaccurate AI-advice trials. Primary outcomes are final decision accuracy and appropriate reliance; secondary outcomes include confidence, response time, trust, usability and workload.</w:t>
      </w:r>
    </w:p>
    <w:p w14:paraId="1FDD23D2">
      <w:pPr>
        <w:spacing w:before="0" w:after="50" w:line="245" w:lineRule="auto"/>
      </w:pPr>
      <w:r>
        <w:rPr>
          <w:rFonts w:ascii="Calibri" w:hAnsi="Calibri"/>
          <w:b/>
          <w:i w:val="0"/>
          <w:color w:val="1C2D40"/>
          <w:sz w:val="19"/>
        </w:rPr>
        <w:t xml:space="preserve">Participants and recruitment. </w:t>
      </w:r>
      <w:r>
        <w:rPr>
          <w:rFonts w:ascii="Calibri" w:hAnsi="Calibri"/>
          <w:b w:val="0"/>
          <w:i w:val="0"/>
          <w:color w:val="1C2D40"/>
          <w:sz w:val="19"/>
        </w:rPr>
        <w:t>Up to 90 adults (18+) who can understand the study instructions will be recruited through campus or public notices. Relevant content-review experience will be recorded but is not required. Minors and persons unable to provide informed consent will not be enrolled. Participation is voluntary; compensation is RMB _</w:t>
      </w:r>
      <w:r>
        <w:rPr>
          <w:rFonts w:hint="eastAsia" w:eastAsia="宋体"/>
          <w:b w:val="0"/>
          <w:i w:val="0"/>
          <w:color w:val="1C2D40"/>
          <w:sz w:val="19"/>
          <w:lang w:val="en-US" w:eastAsia="zh-CN"/>
        </w:rPr>
        <w:t>50</w:t>
      </w:r>
      <w:r>
        <w:rPr>
          <w:rFonts w:ascii="Calibri" w:hAnsi="Calibri"/>
          <w:b w:val="0"/>
          <w:i w:val="0"/>
          <w:color w:val="1C2D40"/>
          <w:sz w:val="19"/>
        </w:rPr>
        <w:t>_</w:t>
      </w:r>
      <w:bookmarkStart w:id="0" w:name="_GoBack"/>
      <w:bookmarkEnd w:id="0"/>
      <w:r>
        <w:rPr>
          <w:rFonts w:ascii="Calibri" w:hAnsi="Calibri"/>
          <w:b w:val="0"/>
          <w:i w:val="0"/>
          <w:color w:val="1C2D40"/>
          <w:sz w:val="19"/>
        </w:rPr>
        <w:t>per completed session.</w:t>
      </w:r>
    </w:p>
    <w:p w14:paraId="38868B2C">
      <w:pPr>
        <w:pStyle w:val="3"/>
      </w:pPr>
      <w:r>
        <w:t>Procedure and safeguards</w:t>
      </w:r>
    </w:p>
    <w:p w14:paraId="3622C3EF">
      <w:pPr>
        <w:spacing w:before="0" w:after="50" w:line="245" w:lineRule="auto"/>
      </w:pPr>
      <w:r>
        <w:rPr>
          <w:rFonts w:ascii="Calibri" w:hAnsi="Calibri"/>
          <w:b/>
          <w:i w:val="0"/>
          <w:color w:val="1C2D40"/>
          <w:sz w:val="19"/>
        </w:rPr>
        <w:t xml:space="preserve">Procedure. </w:t>
      </w:r>
      <w:r>
        <w:rPr>
          <w:rFonts w:ascii="Calibri" w:hAnsi="Calibri"/>
          <w:b w:val="0"/>
          <w:i w:val="0"/>
          <w:color w:val="1C2D40"/>
          <w:sz w:val="19"/>
        </w:rPr>
        <w:t>After written consent, each participant completes up to 18 simulated or anonymized review cases in approximately 30-40 minutes: initial judgment, AI advice, assigned explanation, final judgment and brief questionnaires. Interaction logs are collected for research only; no real moderation or enforcement action occurs.</w:t>
      </w:r>
    </w:p>
    <w:p w14:paraId="68416519">
      <w:pPr>
        <w:spacing w:before="0" w:after="50" w:line="245" w:lineRule="auto"/>
      </w:pPr>
      <w:r>
        <w:rPr>
          <w:rFonts w:ascii="Calibri" w:hAnsi="Calibri"/>
          <w:b/>
          <w:i w:val="0"/>
          <w:color w:val="1C2D40"/>
          <w:sz w:val="19"/>
        </w:rPr>
        <w:t xml:space="preserve">Partial disclosure and debriefing. </w:t>
      </w:r>
      <w:r>
        <w:rPr>
          <w:rFonts w:ascii="Calibri" w:hAnsi="Calibri"/>
          <w:b w:val="0"/>
          <w:i w:val="0"/>
          <w:color w:val="1C2D40"/>
          <w:sz w:val="19"/>
        </w:rPr>
        <w:t>The exact frequency and purpose of inaccurate AI recommendations are withheld until completion to avoid invalidating the study. The consent form warns that advice may be deliberately varied and inaccurate. Participants receive immediate written/oral debriefing, may ask questions, and may request post-debrief deletion of their data.</w:t>
      </w:r>
    </w:p>
    <w:p w14:paraId="5D931B5C">
      <w:pPr>
        <w:spacing w:before="0" w:after="50" w:line="245" w:lineRule="auto"/>
      </w:pPr>
      <w:r>
        <w:rPr>
          <w:rFonts w:ascii="Calibri" w:hAnsi="Calibri"/>
          <w:b/>
          <w:i w:val="0"/>
          <w:color w:val="1C2D40"/>
          <w:sz w:val="19"/>
        </w:rPr>
        <w:t xml:space="preserve">Risk management. </w:t>
      </w:r>
      <w:r>
        <w:rPr>
          <w:rFonts w:ascii="Calibri" w:hAnsi="Calibri"/>
          <w:b w:val="0"/>
          <w:i w:val="0"/>
          <w:color w:val="1C2D40"/>
          <w:sz w:val="19"/>
        </w:rPr>
        <w:t>The study is minimal risk. Possible fatigue, frustration, or discomfort from deceptive content is mitigated through content notice, optional breaks, case skipping and withdrawal without penalty. Synthetic or anonymized cases are used; no sensitive personal decisions or vulnerable populations are involved.</w:t>
      </w:r>
    </w:p>
    <w:p w14:paraId="280467A9">
      <w:pPr>
        <w:spacing w:before="0" w:after="50" w:line="245" w:lineRule="auto"/>
      </w:pPr>
      <w:r>
        <w:rPr>
          <w:rFonts w:ascii="Calibri" w:hAnsi="Calibri"/>
          <w:b/>
          <w:i w:val="0"/>
          <w:color w:val="1C2D40"/>
          <w:sz w:val="19"/>
        </w:rPr>
        <w:t xml:space="preserve">Data management. </w:t>
      </w:r>
      <w:r>
        <w:rPr>
          <w:rFonts w:ascii="Calibri" w:hAnsi="Calibri"/>
          <w:b w:val="0"/>
          <w:i w:val="0"/>
          <w:color w:val="1C2D40"/>
          <w:sz w:val="19"/>
        </w:rPr>
        <w:t>Collected data include judgments, confidence, response times, interface events, questionnaires and limited experience/demographic variables. Direct identifiers are stored separately from coded research data; access is restricted to the research team. Data are retained for five years, reported only in aggregate/anonymized form, and used solely for scholarly research and system evaluation.</w:t>
      </w:r>
    </w:p>
    <w:p w14:paraId="1D128658">
      <w:pPr>
        <w:pStyle w:val="3"/>
      </w:pPr>
      <w:r>
        <w:t>Applicant assurance and institutional determination</w:t>
      </w:r>
    </w:p>
    <w:tbl>
      <w:tblPr>
        <w:tblStyle w:val="32"/>
        <w:tblW w:w="10178" w:type="dxa"/>
        <w:tblInd w:w="0" w:type="dxa"/>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Layout w:type="fixed"/>
        <w:tblCellMar>
          <w:top w:w="0" w:type="dxa"/>
          <w:left w:w="108" w:type="dxa"/>
          <w:bottom w:w="0" w:type="dxa"/>
          <w:right w:w="108" w:type="dxa"/>
        </w:tblCellMar>
      </w:tblPr>
      <w:tblGrid>
        <w:gridCol w:w="6106"/>
        <w:gridCol w:w="4072"/>
      </w:tblGrid>
      <w:tr w14:paraId="68506915">
        <w:tblPrEx>
          <w:tblBorders>
            <w:top w:val="single" w:color="A9B7C6" w:sz="4" w:space="0"/>
            <w:left w:val="single" w:color="A9B7C6" w:sz="4" w:space="0"/>
            <w:bottom w:val="single" w:color="A9B7C6" w:sz="4" w:space="0"/>
            <w:right w:val="single" w:color="A9B7C6" w:sz="4" w:space="0"/>
            <w:insideH w:val="single" w:color="A9B7C6" w:sz="4" w:space="0"/>
            <w:insideV w:val="single" w:color="A9B7C6" w:sz="4" w:space="0"/>
          </w:tblBorders>
          <w:tblCellMar>
            <w:top w:w="0" w:type="dxa"/>
            <w:left w:w="108" w:type="dxa"/>
            <w:bottom w:w="0" w:type="dxa"/>
            <w:right w:w="108" w:type="dxa"/>
          </w:tblCellMar>
        </w:tblPrEx>
        <w:trPr>
          <w:trHeight w:val="2275" w:hRule="atLeast"/>
        </w:trPr>
        <w:tc>
          <w:tcPr>
            <w:tcW w:w="6106" w:type="dxa"/>
            <w:tcMar>
              <w:top w:w="70" w:type="dxa"/>
              <w:left w:w="100" w:type="dxa"/>
              <w:bottom w:w="70" w:type="dxa"/>
              <w:right w:w="100" w:type="dxa"/>
            </w:tcMar>
            <w:vAlign w:val="center"/>
          </w:tcPr>
          <w:p w14:paraId="6DCD648A">
            <w:pPr>
              <w:spacing w:after="40"/>
            </w:pPr>
            <w:r>
              <w:rPr>
                <w:rFonts w:ascii="Calibri" w:hAnsi="Calibri"/>
                <w:b/>
                <w:i w:val="0"/>
                <w:color w:val="1F4E79"/>
                <w:sz w:val="18"/>
              </w:rPr>
              <w:t>Applicant assurance</w:t>
            </w:r>
          </w:p>
          <w:p w14:paraId="4E1752B3">
            <w:pPr>
              <w:spacing w:after="80"/>
            </w:pPr>
            <w:r>
              <w:rPr>
                <w:rFonts w:ascii="Calibri" w:hAnsi="Calibri"/>
                <w:b w:val="0"/>
                <w:i w:val="0"/>
                <w:color w:val="1C2D40"/>
                <w:sz w:val="17"/>
              </w:rPr>
              <w:t>I certify that recruitment and data collection will not begin before required institutional approval and that the approved protocol, consent and debriefing procedures will be followed.</w:t>
            </w:r>
          </w:p>
          <w:p w14:paraId="365EDF6F">
            <w:pPr>
              <w:spacing w:after="0"/>
            </w:pPr>
            <w:r>
              <w:rPr>
                <w:rFonts w:ascii="Calibri" w:hAnsi="Calibri"/>
                <w:b w:val="0"/>
                <w:i w:val="0"/>
                <w:color w:val="1C2D40"/>
                <w:sz w:val="17"/>
              </w:rPr>
              <w:t>PI signature: __________________  Date: __________</w:t>
            </w:r>
          </w:p>
        </w:tc>
        <w:tc>
          <w:tcPr>
            <w:tcW w:w="4072" w:type="dxa"/>
            <w:tcMar>
              <w:top w:w="70" w:type="dxa"/>
              <w:left w:w="100" w:type="dxa"/>
              <w:bottom w:w="70" w:type="dxa"/>
              <w:right w:w="100" w:type="dxa"/>
            </w:tcMar>
            <w:vAlign w:val="center"/>
          </w:tcPr>
          <w:p w14:paraId="64062510">
            <w:pPr>
              <w:spacing w:after="40"/>
            </w:pPr>
            <w:r>
              <w:rPr>
                <w:rFonts w:ascii="Calibri" w:hAnsi="Calibri"/>
                <w:b/>
                <w:i w:val="0"/>
                <w:color w:val="1F4E79"/>
                <w:sz w:val="18"/>
              </w:rPr>
              <w:t>Institutional decision</w:t>
            </w:r>
          </w:p>
          <w:p w14:paraId="6EDDCA7C">
            <w:pPr>
              <w:spacing w:after="60"/>
            </w:pPr>
            <w:r>
              <w:rPr>
                <w:rFonts w:ascii="Calibri" w:hAnsi="Calibri"/>
                <w:b w:val="0"/>
                <w:i w:val="0"/>
                <w:color w:val="1C2D40"/>
                <w:sz w:val="16"/>
              </w:rPr>
              <w:t>[ ] Approved   [ ] Exempt   [ ] Revision required</w:t>
            </w:r>
          </w:p>
          <w:p w14:paraId="1765D5ED">
            <w:pPr>
              <w:spacing w:after="60"/>
            </w:pPr>
            <w:r>
              <w:rPr>
                <w:rFonts w:ascii="Calibri" w:hAnsi="Calibri"/>
                <w:b w:val="0"/>
                <w:i w:val="0"/>
                <w:color w:val="1C2D40"/>
                <w:sz w:val="16"/>
              </w:rPr>
              <w:t>Approval / determination no.: ______________</w:t>
            </w:r>
          </w:p>
          <w:p w14:paraId="0A5F224E">
            <w:pPr>
              <w:spacing w:after="60"/>
            </w:pPr>
            <w:r>
              <w:rPr>
                <w:rFonts w:ascii="Calibri" w:hAnsi="Calibri"/>
                <w:b w:val="0"/>
                <w:i w:val="0"/>
                <w:color w:val="1C2D40"/>
                <w:sz w:val="16"/>
              </w:rPr>
              <w:t>Reviewer signature: ________________________</w:t>
            </w:r>
          </w:p>
          <w:p w14:paraId="55A9DB1E">
            <w:pPr>
              <w:spacing w:after="40"/>
            </w:pPr>
            <w:r>
              <w:rPr>
                <w:rFonts w:ascii="Calibri" w:hAnsi="Calibri"/>
                <w:b/>
                <w:i w:val="0"/>
                <w:color w:val="1C2D40"/>
                <w:sz w:val="16"/>
              </w:rPr>
              <w:t>Date: __________</w:t>
            </w:r>
          </w:p>
          <w:p w14:paraId="74F81F19">
            <w:pPr>
              <w:spacing w:after="0"/>
              <w:jc w:val="center"/>
            </w:pPr>
            <w:r>
              <w:rPr>
                <w:rFonts w:ascii="Calibri" w:hAnsi="Calibri"/>
                <w:b/>
                <w:i w:val="0"/>
                <w:color w:val="1C2D40"/>
                <w:sz w:val="16"/>
              </w:rPr>
              <w:t>OFFICIAL STAMP</w:t>
            </w:r>
            <w:r>
              <w:rPr>
                <w:rFonts w:ascii="Calibri" w:hAnsi="Calibri"/>
                <w:b/>
                <w:i w:val="0"/>
                <w:color w:val="1C2D40"/>
                <w:sz w:val="16"/>
              </w:rPr>
              <w:br w:type="textWrapping"/>
            </w:r>
            <w:r>
              <w:rPr>
                <w:rFonts w:ascii="Calibri" w:hAnsi="Calibri"/>
                <w:b/>
                <w:i w:val="0"/>
                <w:color w:val="1C2D40"/>
                <w:sz w:val="16"/>
              </w:rPr>
              <w:br w:type="textWrapping"/>
            </w:r>
          </w:p>
        </w:tc>
      </w:tr>
    </w:tbl>
    <w:p w14:paraId="6F340D25"/>
    <w:sectPr>
      <w:footerReference r:id="rId5" w:type="default"/>
      <w:pgSz w:w="11906" w:h="16838"/>
      <w:pgMar w:top="792" w:right="864" w:bottom="720" w:left="864"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F44B1">
    <w:pPr>
      <w:pStyle w:val="24"/>
      <w:spacing w:before="0" w:after="0"/>
      <w:jc w:val="center"/>
    </w:pPr>
    <w:r>
      <w:rPr>
        <w:rFonts w:ascii="Calibri" w:hAnsi="Calibri"/>
        <w:b w:val="0"/>
        <w:i w:val="0"/>
        <w:color w:val="5A626C"/>
        <w:sz w:val="15"/>
      </w:rPr>
      <w:t>Confidential research ethics document | One-page 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5" w:lineRule="auto"/>
      </w:pPr>
      <w:r>
        <w:separator/>
      </w:r>
    </w:p>
  </w:footnote>
  <w:footnote w:type="continuationSeparator" w:id="1">
    <w:p>
      <w:pPr>
        <w:spacing w:before="0" w:after="0" w:line="24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497C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45" w:lineRule="auto"/>
    </w:pPr>
    <w:rPr>
      <w:rFonts w:ascii="Calibri" w:hAnsi="Calibri" w:eastAsiaTheme="minorEastAsia" w:cstheme="minorBidi"/>
      <w:color w:val="1C2D40"/>
      <w:sz w:val="19"/>
      <w:szCs w:val="22"/>
      <w:lang w:val="en-US" w:eastAsia="en-US" w:bidi="ar-SA"/>
    </w:rPr>
  </w:style>
  <w:style w:type="paragraph" w:styleId="3">
    <w:name w:val="heading 1"/>
    <w:basedOn w:val="1"/>
    <w:next w:val="1"/>
    <w:link w:val="138"/>
    <w:qFormat/>
    <w:uiPriority w:val="9"/>
    <w:pPr>
      <w:keepNext/>
      <w:keepLines/>
      <w:spacing w:before="80" w:after="30"/>
      <w:outlineLvl w:val="0"/>
    </w:pPr>
    <w:rPr>
      <w:rFonts w:asciiTheme="majorHAnsi" w:hAnsiTheme="majorHAnsi" w:eastAsiaTheme="majorEastAsia" w:cstheme="majorBidi"/>
      <w:b/>
      <w:bCs/>
      <w:color w:val="1F4E79"/>
      <w:sz w:val="21"/>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432</Words>
  <Characters>3008</Characters>
  <Lines>0</Lines>
  <Paragraphs>0</Paragraphs>
  <TotalTime>9</TotalTime>
  <ScaleCrop>false</ScaleCrop>
  <LinksUpToDate>false</LinksUpToDate>
  <CharactersWithSpaces>3422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Research Team</dc:creator>
  <dc:description>generated by python-docx</dc:description>
  <cp:lastModifiedBy>五行缺钱</cp:lastModifiedBy>
  <dcterms:modified xsi:type="dcterms:W3CDTF">2026-07-27T13:09:07Z</dcterms:modified>
  <dc:subject>Human participant research ethics documentation</dc:subject>
  <dc:title>One-Page Human Participant Research Protocol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eyJoZGlkIjoiYjkyZmNhZmMwYTRkMzdjNDc0ZDBiODA4ZTNmNjg2YzYiLCJ1c2VySWQiOiIxNjIyMzYyNjcwIn0=</vt:lpwstr>
  </property>
  <property fmtid="{D5CDD505-2E9C-101B-9397-08002B2CF9AE}" pid="3" name="KSOProductBuildVer">
    <vt:lpwstr>2052-12.1.0.24034</vt:lpwstr>
  </property>
  <property fmtid="{D5CDD505-2E9C-101B-9397-08002B2CF9AE}" pid="4" name="ICV">
    <vt:lpwstr>F73151947680435E8468FC7C7A959D8C_12</vt:lpwstr>
  </property>
</Properties>
</file>