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40"/>
        <w:jc w:val="center"/>
      </w:pPr>
      <w:r>
        <w:rPr>
          <w:rFonts w:ascii="Calibri" w:hAnsi="Calibri" w:eastAsia="Microsoft YaHei"/>
          <w:b/>
          <w:color w:val="7A5A00"/>
          <w:sz w:val="24"/>
        </w:rPr>
        <w:t>COLLUSIONSHIFT</w:t>
      </w:r>
    </w:p>
    <w:p>
      <w:pPr>
        <w:keepNext/>
        <w:spacing w:after="180"/>
        <w:jc w:val="center"/>
      </w:pPr>
      <w:r>
        <w:rPr>
          <w:rFonts w:ascii="Calibri" w:hAnsi="Calibri" w:eastAsia="Microsoft YaHei"/>
          <w:b/>
          <w:color w:val="0B2545"/>
          <w:sz w:val="50"/>
        </w:rPr>
        <w:t>面向 LLM 多智能体合谋研究的</w:t>
        <w:br/>
        <w:t>机制化证伪方法</w:t>
      </w:r>
    </w:p>
    <w:p>
      <w:pPr>
        <w:spacing w:after="320"/>
        <w:jc w:val="center"/>
      </w:pPr>
      <w:r>
        <w:rPr>
          <w:rFonts w:ascii="Calibri" w:hAnsi="Calibri" w:eastAsia="Microsoft YaHei"/>
          <w:color w:val="5B6573"/>
          <w:sz w:val="27"/>
        </w:rPr>
        <w:t>从跨机制 Benchmark 升级为方法论文的研究方案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space="0" w:color="D9DEE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18"/>
              </w:rPr>
              <w:t xml:space="preserve">文档类型  </w:t>
            </w:r>
            <w:r>
              <w:rPr>
                <w:rFonts w:ascii="Calibri" w:hAnsi="Calibri" w:eastAsia="Microsoft YaHei"/>
                <w:color w:val="0B2545"/>
                <w:sz w:val="19"/>
              </w:rPr>
              <w:t>内部研究方案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space="0" w:color="D9DEE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18"/>
              </w:rPr>
              <w:t xml:space="preserve">版本  </w:t>
            </w:r>
            <w:r>
              <w:rPr>
                <w:rFonts w:ascii="Calibri" w:hAnsi="Calibri" w:eastAsia="Microsoft YaHei"/>
                <w:color w:val="0B2545"/>
                <w:sz w:val="19"/>
              </w:rPr>
              <w:t>v0.1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space="0" w:color="D9DEE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18"/>
              </w:rPr>
              <w:t xml:space="preserve">研究方向  </w:t>
            </w:r>
            <w:r>
              <w:rPr>
                <w:rFonts w:ascii="Calibri" w:hAnsi="Calibri" w:eastAsia="Microsoft YaHei"/>
                <w:color w:val="0B2545"/>
                <w:sz w:val="19"/>
              </w:rPr>
              <w:t>合谋结论机制稳健性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space="0" w:color="D9DEE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5B6573"/>
                <w:sz w:val="18"/>
              </w:rPr>
              <w:t xml:space="preserve">日期  </w:t>
            </w:r>
            <w:r>
              <w:rPr>
                <w:rFonts w:ascii="Calibri" w:hAnsi="Calibri" w:eastAsia="Microsoft YaHei"/>
                <w:color w:val="0B2545"/>
                <w:sz w:val="19"/>
              </w:rPr>
              <w:t>2026 年 7 月 27 日</w:t>
            </w:r>
          </w:p>
        </w:tc>
      </w:tr>
    </w:tbl>
    <w:p>
      <w:pPr>
        <w:spacing w:after="80"/>
      </w:pPr>
    </w:p>
    <w:p>
      <w:pPr>
        <w:pStyle w:val="Heading1"/>
      </w:pPr>
      <w:r>
        <w:t>执行摘要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 xml:space="preserve">本文建议将 MultiAgent4Collusion 的后续框架方向收敛为 </w:t>
      </w:r>
      <w:r>
        <w:rPr>
          <w:rFonts w:ascii="Calibri" w:hAnsi="Calibri" w:eastAsia="Microsoft YaHei"/>
          <w:b/>
          <w:color w:val="000000"/>
          <w:sz w:val="22"/>
        </w:rPr>
        <w:t>CollusionShift</w:t>
      </w:r>
      <w:r>
        <w:rPr>
          <w:rFonts w:ascii="Calibri" w:hAnsi="Calibri" w:eastAsia="Microsoft YaHei"/>
          <w:color w:val="000000"/>
          <w:sz w:val="22"/>
        </w:rPr>
        <w:t>：一个用于审计并主动证伪 LLM 多智能体合谋实验结论的计算方法与实验系统。论文不再把“可切换推荐机制”“从相同 checkpoint 进行反事实分叉”或“自动优化攻击策略”作为创新，因为这些能力已分别被 PolicySim、POSIM、反事实社会仿真研究和多智能体攻击研究覆盖。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拟解决的核心问题是：给定一条由仿真得到的比较性结论，例如“封禁比降权更有效”或“共享反思比独立反思具有更高攻击收益”，能否在现实约束的平台机制空间内，自动找到</w:t>
      </w:r>
      <w:r>
        <w:rPr>
          <w:rFonts w:ascii="Calibri" w:hAnsi="Calibri" w:eastAsia="Microsoft YaHei"/>
          <w:b/>
          <w:color w:val="000000"/>
          <w:sz w:val="22"/>
        </w:rPr>
        <w:t>使结论反转的最小机制变化</w:t>
      </w:r>
      <w:r>
        <w:rPr>
          <w:rFonts w:ascii="Calibri" w:hAnsi="Calibri" w:eastAsia="Microsoft YaHei"/>
          <w:color w:val="000000"/>
          <w:sz w:val="22"/>
        </w:rPr>
        <w:t>，并给出该反例跨随机种子、模型家族和场景的稳定性证据。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 xml:space="preserve">论文的主要方法不是 Benchmark 本身，而是一个暂称 </w:t>
      </w:r>
      <w:r>
        <w:rPr>
          <w:rFonts w:ascii="Calibri" w:hAnsi="Calibri" w:eastAsia="Microsoft YaHei"/>
          <w:b/>
          <w:color w:val="000000"/>
          <w:sz w:val="22"/>
        </w:rPr>
        <w:t>ClaimFuzz</w:t>
      </w:r>
      <w:r>
        <w:rPr>
          <w:rFonts w:ascii="Calibri" w:hAnsi="Calibri" w:eastAsia="Microsoft YaHei"/>
          <w:color w:val="000000"/>
          <w:sz w:val="22"/>
        </w:rPr>
        <w:t xml:space="preserve"> 的受约束结论证伪算法。它将研究结论编译为可计算的结论裕量，在离散—连续混合的平台机制空间中，以较少仿真调用寻找符号反转点，再沿反例边界搜索距离原始平台最近的可信反例。Benchmark 负责提供标准化的机制空间、待检验结论、训练—测试划分、基线和指标，用于验证 ClaimFuzz，而不是充当全部创新。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4F6F9"/>
            <w:tcBorders>
              <w:top w:val="nil" w:sz="4" w:space="0" w:color="C7D0DA"/>
              <w:bottom w:val="nil" w:sz="4" w:space="0" w:color="C7D0DA"/>
              <w:start w:val="single" w:sz="18" w:space="0" w:color="2E74B5"/>
              <w:end w:val="nil" w:sz="4" w:space="0" w:color="C7D0DA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建议立项结论</w:t>
            </w:r>
            <w:r>
              <w:rPr>
                <w:rFonts w:ascii="Calibri" w:hAnsi="Calibri" w:eastAsia="Microsoft YaHei"/>
                <w:color w:val="0B2545"/>
                <w:sz w:val="21"/>
              </w:rPr>
              <w:t>：可以作为独立于白盒解释方向的方法论文候选，但必须先通过两周 go/no-go 预实验。若无法稳定观察到结论反转，或 ClaimFuzz 在相同预算下不能优于随机搜索和通用黑盒优化，应停止该方向，而不是继续扩大框架规模。</w:t>
            </w:r>
          </w:p>
        </w:tc>
      </w:tr>
    </w:tbl>
    <w:p>
      <w:pPr>
        <w:spacing w:after="0"/>
      </w:pPr>
    </w:p>
    <w:p>
      <w:pPr>
        <w:pStyle w:val="Heading1"/>
      </w:pPr>
      <w:r>
        <w:t>1. 研究定位与贡献边界</w:t>
      </w:r>
    </w:p>
    <w:p>
      <w:pPr>
        <w:pStyle w:val="Heading2"/>
      </w:pPr>
      <w:r>
        <w:t>1.1 论文不再声称什么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以下能力可以实现，但不能单独作为核心创新：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在多个推荐算法或治理策略下重复仿真；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保存 checkpoint，并从相同状态运行不同干预；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用 LLM、强化学习或进化搜索自动生成攻击策略；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增加更多角色、画像、记忆、反思和共享反思；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支持更大规模的智能体或更多社交动作；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仅发布配置、数据集和评测榜单。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这些能力分别与 OASIS、MultiAgent4Collusion、MOSAIC、PolicySim、POSIM、MultiAttack 等已有工作存在显著重合。它们应作为基础设施或基线，而不是首创声明。</w:t>
      </w:r>
    </w:p>
    <w:p>
      <w:pPr>
        <w:pStyle w:val="Heading2"/>
      </w:pPr>
      <w:r>
        <w:t>1.2 本文真正研究什么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本文把“一个仿真实验得到的结论是否稳健”本身作为研究对象。核心问题为：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结论脆弱性</w:t>
      </w:r>
      <w:r>
        <w:rPr>
          <w:rFonts w:ascii="Calibri" w:hAnsi="Calibri" w:eastAsia="Microsoft YaHei"/>
          <w:color w:val="000000"/>
          <w:sz w:val="22"/>
        </w:rPr>
        <w:t>：合谋攻击和平台防御的比较性结论，在平台机制变化后是否发生反转？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最小反例</w:t>
      </w:r>
      <w:r>
        <w:rPr>
          <w:rFonts w:ascii="Calibri" w:hAnsi="Calibri" w:eastAsia="Microsoft YaHei"/>
          <w:color w:val="000000"/>
          <w:sz w:val="22"/>
        </w:rPr>
        <w:t>：推翻一条结论所需的最小、现实合理的平台机制变化是什么？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搜索效率</w:t>
      </w:r>
      <w:r>
        <w:rPr>
          <w:rFonts w:ascii="Calibri" w:hAnsi="Calibri" w:eastAsia="Microsoft YaHei"/>
          <w:color w:val="000000"/>
          <w:sz w:val="22"/>
        </w:rPr>
        <w:t>：能否用显著少于穷举的仿真次数找到并确认反例？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跨环境稳定性</w:t>
      </w:r>
      <w:r>
        <w:rPr>
          <w:rFonts w:ascii="Calibri" w:hAnsi="Calibri" w:eastAsia="Microsoft YaHei"/>
          <w:color w:val="000000"/>
          <w:sz w:val="22"/>
        </w:rPr>
        <w:t>：反例能否跨随机种子、LLM 家族、话题和网络拓扑复现？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结论成立域</w:t>
      </w:r>
      <w:r>
        <w:rPr>
          <w:rFonts w:ascii="Calibri" w:hAnsi="Calibri" w:eastAsia="Microsoft YaHei"/>
          <w:color w:val="000000"/>
          <w:sz w:val="22"/>
        </w:rPr>
        <w:t>：一条结论在哪些机制条件下成立，在哪些条件下失效？</w:t>
      </w:r>
    </w:p>
    <w:p>
      <w:pPr>
        <w:pStyle w:val="Heading2"/>
      </w:pPr>
      <w:r>
        <w:t>1.3 与白盒解释方向的边界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CollusionShift 是独立的框架/方法方向。它只需要读取攻击、防御和平台结果，不要求使用白盒检测器、SHAP、双曲解释或实时证据。白盒方法未来可以作为一种待审计防御接入，但不是本论文成立的前提。</w:t>
      </w:r>
    </w:p>
    <w:p>
      <w:pPr>
        <w:pStyle w:val="Heading1"/>
      </w:pPr>
      <w:r>
        <w:t>2. 相关工作与创新窗口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050"/>
        <w:gridCol w:w="2550"/>
        <w:gridCol w:w="3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近邻工作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已覆盖能力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CollusionShift 必须避开的主张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仍可区分的部分</w:t>
            </w:r>
          </w:p>
        </w:tc>
      </w:tr>
      <w:tr>
        <w:tc>
          <w:tcPr>
            <w:tcW w:type="dxa" w:w="16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MultiAgent4Collusion / RogueAgent</w:t>
            </w:r>
          </w:p>
        </w:tc>
        <w:tc>
          <w:tcPr>
            <w:tcW w:type="dxa" w:w="205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自适应合谋、集中/分散组织、反思、干预</w:t>
            </w:r>
          </w:p>
        </w:tc>
        <w:tc>
          <w:tcPr>
            <w:tcW w:type="dxa" w:w="255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“首次研究自适应合谋”</w:t>
            </w:r>
          </w:p>
        </w:tc>
        <w:tc>
          <w:tcPr>
            <w:tcW w:type="dxa" w:w="316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审计其结论在机制变化下是否稳定</w:t>
            </w:r>
          </w:p>
        </w:tc>
      </w:tr>
      <w:tr>
        <w:tc>
          <w:tcPr>
            <w:tcW w:type="dxa" w:w="16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MOSAIC，EMNLP 2025</w:t>
            </w:r>
          </w:p>
        </w:tc>
        <w:tc>
          <w:tcPr>
            <w:tcW w:type="dxa" w:w="205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虚假信息传播与多种治理策略</w:t>
            </w:r>
          </w:p>
        </w:tc>
        <w:tc>
          <w:tcPr>
            <w:tcW w:type="dxa" w:w="255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“首次在多智能体仿真中比较治理”</w:t>
            </w:r>
          </w:p>
        </w:tc>
        <w:tc>
          <w:tcPr>
            <w:tcW w:type="dxa" w:w="316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自动寻找治理结论的失效边界</w:t>
            </w:r>
          </w:p>
        </w:tc>
      </w:tr>
      <w:tr>
        <w:tc>
          <w:tcPr>
            <w:tcW w:type="dxa" w:w="16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PolicySim，WWW 2026</w:t>
            </w:r>
          </w:p>
        </w:tc>
        <w:tc>
          <w:tcPr>
            <w:tcW w:type="dxa" w:w="205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推荐/曝光干预、反馈优化、跨平台行为迁移</w:t>
            </w:r>
          </w:p>
        </w:tc>
        <w:tc>
          <w:tcPr>
            <w:tcW w:type="dxa" w:w="255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“首次优化平台干预”</w:t>
            </w:r>
          </w:p>
        </w:tc>
        <w:tc>
          <w:tcPr>
            <w:tcW w:type="dxa" w:w="316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不是优化单一目标，而是证伪比较性结论</w:t>
            </w:r>
          </w:p>
        </w:tc>
      </w:tr>
      <w:tr>
        <w:tc>
          <w:tcPr>
            <w:tcW w:type="dxa" w:w="16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POSIM，2026</w:t>
            </w:r>
          </w:p>
        </w:tc>
        <w:tc>
          <w:tcPr>
            <w:tcW w:type="dxa" w:w="205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checkpoint callback、相同状态分叉、平台级政策、反事实实验</w:t>
            </w:r>
          </w:p>
        </w:tc>
        <w:tc>
          <w:tcPr>
            <w:tcW w:type="dxa" w:w="255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“首次支持同状态反事实分叉”</w:t>
            </w:r>
          </w:p>
        </w:tc>
        <w:tc>
          <w:tcPr>
            <w:tcW w:type="dxa" w:w="316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将分叉作为结论证伪算法的执行器</w:t>
            </w:r>
          </w:p>
        </w:tc>
      </w:tr>
      <w:tr>
        <w:tc>
          <w:tcPr>
            <w:tcW w:type="dxa" w:w="16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From Plausible to Causal，2026</w:t>
            </w:r>
          </w:p>
        </w:tc>
        <w:tc>
          <w:tcPr>
            <w:tcW w:type="dxa" w:w="205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在线社区政策仿真的反事实因果语义</w:t>
            </w:r>
          </w:p>
        </w:tc>
        <w:tc>
          <w:tcPr>
            <w:tcW w:type="dxa" w:w="255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“首次提出仿真反事实语义”</w:t>
            </w:r>
          </w:p>
        </w:tc>
        <w:tc>
          <w:tcPr>
            <w:tcW w:type="dxa" w:w="316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实现面向合谋结论的自动化、预算化搜索方法</w:t>
            </w:r>
          </w:p>
        </w:tc>
      </w:tr>
      <w:tr>
        <w:tc>
          <w:tcPr>
            <w:tcW w:type="dxa" w:w="16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MultiAttack，TOIS 2024</w:t>
            </w:r>
          </w:p>
        </w:tc>
        <w:tc>
          <w:tcPr>
            <w:tcW w:type="dxa" w:w="205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多智能体强化学习攻击黑盒社交推荐</w:t>
            </w:r>
          </w:p>
        </w:tc>
        <w:tc>
          <w:tcPr>
            <w:tcW w:type="dxa" w:w="255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“首次自动协调社交推荐攻击”</w:t>
            </w:r>
          </w:p>
        </w:tc>
        <w:tc>
          <w:tcPr>
            <w:tcW w:type="dxa" w:w="316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研究攻击/防御结论在未见机制中的脆弱性</w:t>
            </w:r>
          </w:p>
        </w:tc>
      </w:tr>
      <w:tr>
        <w:tc>
          <w:tcPr>
            <w:tcW w:type="dxa" w:w="16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Mechanism Plausibility，2026</w:t>
            </w:r>
          </w:p>
        </w:tc>
        <w:tc>
          <w:tcPr>
            <w:tcW w:type="dxa" w:w="205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批评把 agent 可信度等同于群体现象有效性</w:t>
            </w:r>
          </w:p>
        </w:tc>
        <w:tc>
          <w:tcPr>
            <w:tcW w:type="dxa" w:w="255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仅用 LLM-as-judge 证明仿真可信</w:t>
            </w:r>
          </w:p>
        </w:tc>
        <w:tc>
          <w:tcPr>
            <w:tcW w:type="dxa" w:w="316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分层验证并限制结论为 simulator-conditional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b/>
          <w:color w:val="000000"/>
          <w:sz w:val="22"/>
        </w:rPr>
        <w:t>候选创新窗口</w:t>
      </w:r>
      <w:r>
        <w:rPr>
          <w:rFonts w:ascii="Calibri" w:hAnsi="Calibri" w:eastAsia="Microsoft YaHei"/>
          <w:color w:val="000000"/>
          <w:sz w:val="22"/>
        </w:rPr>
        <w:t>：当前专项检索尚未发现一项工作同时完成“面向协同欺骗结论的形式化表示、现实约束的最小机制反例搜索、跨模型/种子的反例确认，以及结论成立域输出”。该窗口仍需在投稿前通过系统文献矩阵持续核验，不能直接使用未经验证的“首次”。</w:t>
      </w:r>
    </w:p>
    <w:p>
      <w:pPr>
        <w:pStyle w:val="Heading1"/>
      </w:pPr>
      <w:r>
        <w:t>3. 问题形式化</w:t>
      </w:r>
    </w:p>
    <w:p>
      <w:pPr>
        <w:pStyle w:val="Heading2"/>
      </w:pPr>
      <w:r>
        <w:t>3.1 基本对象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设：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mbria Math" w:hAnsi="Cambria Math" w:eastAsia="Microsoft YaHei"/>
          <w:color w:val="000000"/>
          <w:sz w:val="22"/>
        </w:rPr>
        <w:t>m ∈ M</w:t>
      </w:r>
      <w:r>
        <w:rPr>
          <w:rFonts w:ascii="Calibri" w:hAnsi="Calibri" w:eastAsia="Microsoft YaHei"/>
          <w:color w:val="000000"/>
          <w:sz w:val="22"/>
        </w:rPr>
        <w:t xml:space="preserve"> 为平台机制配置，包括推荐、曝光、传播摩擦、身份和治理规则；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mbria Math" w:hAnsi="Cambria Math" w:eastAsia="Microsoft YaHei"/>
          <w:color w:val="000000"/>
          <w:sz w:val="22"/>
        </w:rPr>
        <w:t>m_0</w:t>
      </w:r>
      <w:r>
        <w:rPr>
          <w:rFonts w:ascii="Calibri" w:hAnsi="Calibri" w:eastAsia="Microsoft YaHei"/>
          <w:color w:val="000000"/>
          <w:sz w:val="22"/>
        </w:rPr>
        <w:t xml:space="preserve"> 为产生原始研究结论的基准机制；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mbria Math" w:hAnsi="Cambria Math" w:eastAsia="Microsoft YaHei"/>
          <w:color w:val="000000"/>
          <w:sz w:val="22"/>
        </w:rPr>
        <w:t>S(m, π_A, π_D, z)</w:t>
      </w:r>
      <w:r>
        <w:rPr>
          <w:rFonts w:ascii="Calibri" w:hAnsi="Calibri" w:eastAsia="Microsoft YaHei"/>
          <w:color w:val="000000"/>
          <w:sz w:val="22"/>
        </w:rPr>
        <w:t xml:space="preserve"> 为仿真器，其中 </w:t>
      </w:r>
      <w:r>
        <w:rPr>
          <w:rFonts w:ascii="Cambria Math" w:hAnsi="Cambria Math" w:eastAsia="Microsoft YaHei"/>
          <w:color w:val="000000"/>
          <w:sz w:val="22"/>
        </w:rPr>
        <w:t>π_A</w:t>
      </w:r>
      <w:r>
        <w:rPr>
          <w:rFonts w:ascii="Calibri" w:hAnsi="Calibri" w:eastAsia="Microsoft YaHei"/>
          <w:color w:val="000000"/>
          <w:sz w:val="22"/>
        </w:rPr>
        <w:t xml:space="preserve"> 是合谋攻击策略，</w:t>
      </w:r>
      <w:r>
        <w:rPr>
          <w:rFonts w:ascii="Cambria Math" w:hAnsi="Cambria Math" w:eastAsia="Microsoft YaHei"/>
          <w:color w:val="000000"/>
          <w:sz w:val="22"/>
        </w:rPr>
        <w:t>π_D</w:t>
      </w:r>
      <w:r>
        <w:rPr>
          <w:rFonts w:ascii="Calibri" w:hAnsi="Calibri" w:eastAsia="Microsoft YaHei"/>
          <w:color w:val="000000"/>
          <w:sz w:val="22"/>
        </w:rPr>
        <w:t xml:space="preserve"> 是防御策略，</w:t>
      </w:r>
      <w:r>
        <w:rPr>
          <w:rFonts w:ascii="Cambria Math" w:hAnsi="Cambria Math" w:eastAsia="Microsoft YaHei"/>
          <w:color w:val="000000"/>
          <w:sz w:val="22"/>
        </w:rPr>
        <w:t>z</w:t>
      </w:r>
      <w:r>
        <w:rPr>
          <w:rFonts w:ascii="Calibri" w:hAnsi="Calibri" w:eastAsia="Microsoft YaHei"/>
          <w:color w:val="000000"/>
          <w:sz w:val="22"/>
        </w:rPr>
        <w:t xml:space="preserve"> 包含初始状态、随机种子、模型与场景；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mbria Math" w:hAnsi="Cambria Math" w:eastAsia="Microsoft YaHei"/>
          <w:color w:val="000000"/>
          <w:sz w:val="22"/>
        </w:rPr>
        <w:t>J(π_A, π_D; m, z)</w:t>
      </w:r>
      <w:r>
        <w:rPr>
          <w:rFonts w:ascii="Calibri" w:hAnsi="Calibri" w:eastAsia="Microsoft YaHei"/>
          <w:color w:val="000000"/>
          <w:sz w:val="22"/>
        </w:rPr>
        <w:t xml:space="preserve"> 为结果效用，例如有害曝光、任务完成率、正常用户效用或综合安全收益；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mbria Math" w:hAnsi="Cambria Math" w:eastAsia="Microsoft YaHei"/>
          <w:color w:val="000000"/>
          <w:sz w:val="22"/>
        </w:rPr>
        <w:t>C</w:t>
      </w:r>
      <w:r>
        <w:rPr>
          <w:rFonts w:ascii="Calibri" w:hAnsi="Calibri" w:eastAsia="Microsoft YaHei"/>
          <w:color w:val="000000"/>
          <w:sz w:val="22"/>
        </w:rPr>
        <w:t xml:space="preserve"> 为待检验的比较性结论。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例如“防御 A 优于防御 B”可写为结论裕量：</w:t>
      </w:r>
    </w:p>
    <w:p>
      <w:pPr>
        <w:keepLines/>
        <w:spacing w:before="100" w:after="160"/>
        <w:jc w:val="center"/>
      </w:pPr>
      <w:r>
        <w:rPr>
          <w:rFonts w:ascii="Cambria Math" w:hAnsi="Cambria Math" w:eastAsia="Microsoft YaHei"/>
          <w:color w:val="0B2545"/>
          <w:sz w:val="21"/>
        </w:rPr>
        <w:t>g_C(m,z) = J(π_A, π_{D=A};m,z)-J(π_A, π_{D=B};m,z).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 xml:space="preserve">若在基准机制中 </w:t>
      </w:r>
      <w:r>
        <w:rPr>
          <w:rFonts w:ascii="Cambria Math" w:hAnsi="Cambria Math" w:eastAsia="Microsoft YaHei"/>
          <w:color w:val="000000"/>
          <w:sz w:val="22"/>
        </w:rPr>
        <w:t>g_C(m_0)&lt;0</w:t>
      </w:r>
      <w:r>
        <w:rPr>
          <w:rFonts w:ascii="Calibri" w:hAnsi="Calibri" w:eastAsia="Microsoft YaHei"/>
          <w:color w:val="000000"/>
          <w:sz w:val="22"/>
        </w:rPr>
        <w:t xml:space="preserve"> 表示 A 的有害曝光更低，而在新机制中 </w:t>
      </w:r>
      <w:r>
        <w:rPr>
          <w:rFonts w:ascii="Cambria Math" w:hAnsi="Cambria Math" w:eastAsia="Microsoft YaHei"/>
          <w:color w:val="000000"/>
          <w:sz w:val="22"/>
        </w:rPr>
        <w:t>g_C(m)&gt;0</w:t>
      </w:r>
      <w:r>
        <w:rPr>
          <w:rFonts w:ascii="Calibri" w:hAnsi="Calibri" w:eastAsia="Microsoft YaHei"/>
          <w:color w:val="000000"/>
          <w:sz w:val="22"/>
        </w:rPr>
        <w:t>，则结论发生反转。</w:t>
      </w:r>
    </w:p>
    <w:p>
      <w:pPr>
        <w:pStyle w:val="Heading2"/>
      </w:pPr>
      <w:r>
        <w:t>3.2 机制距离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为了避免找到极端但没有解释价值的配置，定义机制距离：</w:t>
      </w:r>
    </w:p>
    <w:p>
      <w:pPr>
        <w:keepLines/>
        <w:spacing w:before="100" w:after="160"/>
        <w:jc w:val="center"/>
      </w:pPr>
      <w:r>
        <w:rPr>
          <w:rFonts w:ascii="Cambria Math" w:hAnsi="Cambria Math" w:eastAsia="Microsoft YaHei"/>
          <w:color w:val="0B2545"/>
          <w:sz w:val="21"/>
        </w:rPr>
        <w:t>D(m,m_0)=Σ_k w_k d_k(m_k,m_{0k}),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 xml:space="preserve">其中连续参数使用归一化距离，类别机制使用带语义权重的切换成本，结构性变化可使用图或规则编辑距离。权重 </w:t>
      </w:r>
      <w:r>
        <w:rPr>
          <w:rFonts w:ascii="Cambria Math" w:hAnsi="Cambria Math" w:eastAsia="Microsoft YaHei"/>
          <w:color w:val="000000"/>
          <w:sz w:val="22"/>
        </w:rPr>
        <w:t>w_k</w:t>
      </w:r>
      <w:r>
        <w:rPr>
          <w:rFonts w:ascii="Calibri" w:hAnsi="Calibri" w:eastAsia="Microsoft YaHei"/>
          <w:color w:val="000000"/>
          <w:sz w:val="22"/>
        </w:rPr>
        <w:t xml:space="preserve"> 来自公开平台规则、相关文献或专家约束，而不是为得到理想结果任意调节。</w:t>
      </w:r>
    </w:p>
    <w:p>
      <w:pPr>
        <w:pStyle w:val="Heading2"/>
      </w:pPr>
      <w:r>
        <w:t>3.3 可信反例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 xml:space="preserve">机制配置 </w:t>
      </w:r>
      <w:r>
        <w:rPr>
          <w:rFonts w:ascii="Cambria Math" w:hAnsi="Cambria Math" w:eastAsia="Microsoft YaHei"/>
          <w:color w:val="000000"/>
          <w:sz w:val="22"/>
        </w:rPr>
        <w:t>m^*</w:t>
      </w:r>
      <w:r>
        <w:rPr>
          <w:rFonts w:ascii="Calibri" w:hAnsi="Calibri" w:eastAsia="Microsoft YaHei"/>
          <w:color w:val="000000"/>
          <w:sz w:val="22"/>
        </w:rPr>
        <w:t xml:space="preserve"> 只有满足以下条件才被接受为可信反例：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mbria Math" w:hAnsi="Cambria Math" w:eastAsia="Microsoft YaHei"/>
          <w:color w:val="000000"/>
          <w:sz w:val="22"/>
        </w:rPr>
        <w:t>m^*</w:t>
      </w:r>
      <w:r>
        <w:rPr>
          <w:rFonts w:ascii="Calibri" w:hAnsi="Calibri" w:eastAsia="Microsoft YaHei"/>
          <w:color w:val="000000"/>
          <w:sz w:val="22"/>
        </w:rPr>
        <w:t xml:space="preserve"> 位于预先定义的现实可行域 </w:t>
      </w:r>
      <w:r>
        <w:rPr>
          <w:rFonts w:ascii="Cambria Math" w:hAnsi="Cambria Math" w:eastAsia="Microsoft YaHei"/>
          <w:color w:val="000000"/>
          <w:sz w:val="22"/>
        </w:rPr>
        <w:t>M_plaus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 xml:space="preserve">结论符号相对于 </w:t>
      </w:r>
      <w:r>
        <w:rPr>
          <w:rFonts w:ascii="Cambria Math" w:hAnsi="Cambria Math" w:eastAsia="Microsoft YaHei"/>
          <w:color w:val="000000"/>
          <w:sz w:val="22"/>
        </w:rPr>
        <w:t>m_0</w:t>
      </w:r>
      <w:r>
        <w:rPr>
          <w:rFonts w:ascii="Calibri" w:hAnsi="Calibri" w:eastAsia="Microsoft YaHei"/>
          <w:color w:val="000000"/>
          <w:sz w:val="22"/>
        </w:rPr>
        <w:t xml:space="preserve"> 发生反转；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反转在预设数量的随机种子上达到统计置信要求；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至少跨两个模型家族或两个独立场景复现；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平台机制执行日志证明变化确实经过推荐、曝光或治理链路产生影响；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不依赖标签泄漏、私有攻击提示或不现实的防御信息。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目标问题为：</w:t>
      </w:r>
    </w:p>
    <w:p>
      <w:pPr>
        <w:keepLines/>
        <w:spacing w:before="100" w:after="160"/>
        <w:jc w:val="center"/>
      </w:pPr>
      <w:r>
        <w:rPr>
          <w:rFonts w:ascii="Cambria Math" w:hAnsi="Cambria Math" w:eastAsia="Microsoft YaHei"/>
          <w:color w:val="0B2545"/>
          <w:sz w:val="21"/>
        </w:rPr>
        <w:t>m^*=arg min_{m∈M_plaus}D(m,m_0) s.t. Pleft[g_C(m)g_C(m_0)&lt;0right]≥ 1-α.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这是一个带统计确认、现实约束和昂贵黑盒函数的离散—连续混合优化问题。</w:t>
      </w:r>
    </w:p>
    <w:p>
      <w:pPr>
        <w:pStyle w:val="Heading1"/>
      </w:pPr>
      <w:r>
        <w:t>4. 方法：ClaimFuzz</w:t>
      </w:r>
    </w:p>
    <w:p>
      <w:pPr>
        <w:pStyle w:val="Heading2"/>
      </w:pPr>
      <w:r>
        <w:t>4.1 方法总览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ClaimFuzz 接收一条结论、基准实验和机制空间，输出最小可信反例、结论成立域和搜索审计记录。</w:t>
      </w:r>
    </w:p>
    <w:p>
      <w:pPr>
        <w:keepLines w:val="0"/>
      </w:pPr>
      <w:r>
        <w:rPr>
          <w:rFonts w:ascii="Calibri" w:hAnsi="Calibri" w:eastAsia="Microsoft YaHei"/>
          <w:b/>
          <w:color w:val="000000"/>
          <w:sz w:val="22"/>
        </w:rPr>
        <w:t>处理链路</w:t>
      </w:r>
      <w:r>
        <w:rPr>
          <w:rFonts w:ascii="Calibri" w:hAnsi="Calibri" w:eastAsia="Microsoft YaHei"/>
          <w:color w:val="000000"/>
          <w:sz w:val="22"/>
        </w:rPr>
        <w:t>：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Claim Compiler</w:t>
      </w:r>
      <w:r>
        <w:rPr>
          <w:rFonts w:ascii="Calibri" w:hAnsi="Calibri" w:eastAsia="Microsoft YaHei"/>
          <w:color w:val="000000"/>
          <w:sz w:val="22"/>
        </w:rPr>
        <w:t>：把自然语言研究结论转换为策略对、指标、方向和统计判据；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Mechanism Schema</w:t>
      </w:r>
      <w:r>
        <w:rPr>
          <w:rFonts w:ascii="Calibri" w:hAnsi="Calibri" w:eastAsia="Microsoft YaHei"/>
          <w:color w:val="000000"/>
          <w:sz w:val="22"/>
        </w:rPr>
        <w:t>：定义机制变量、范围、依赖关系、现实约束和距离；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Paired Executor</w:t>
      </w:r>
      <w:r>
        <w:rPr>
          <w:rFonts w:ascii="Calibri" w:hAnsi="Calibri" w:eastAsia="Microsoft YaHei"/>
          <w:color w:val="000000"/>
          <w:sz w:val="22"/>
        </w:rPr>
        <w:t>：从相同 checkpoint 对候选机制进行配对仿真；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Claim-Margin Estimator</w:t>
      </w:r>
      <w:r>
        <w:rPr>
          <w:rFonts w:ascii="Calibri" w:hAnsi="Calibri" w:eastAsia="Microsoft YaHei"/>
          <w:color w:val="000000"/>
          <w:sz w:val="22"/>
        </w:rPr>
        <w:t xml:space="preserve">：估计 </w:t>
      </w:r>
      <w:r>
        <w:rPr>
          <w:rFonts w:ascii="Cambria Math" w:hAnsi="Cambria Math" w:eastAsia="Microsoft YaHei"/>
          <w:color w:val="000000"/>
          <w:sz w:val="22"/>
        </w:rPr>
        <w:t>g_C(m)</w:t>
      </w:r>
      <w:r>
        <w:rPr>
          <w:rFonts w:ascii="Calibri" w:hAnsi="Calibri" w:eastAsia="Microsoft YaHei"/>
          <w:color w:val="000000"/>
          <w:sz w:val="22"/>
        </w:rPr>
        <w:t>、方差和反转概率；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Budget-aware Search</w:t>
      </w:r>
      <w:r>
        <w:rPr>
          <w:rFonts w:ascii="Calibri" w:hAnsi="Calibri" w:eastAsia="Microsoft YaHei"/>
          <w:color w:val="000000"/>
          <w:sz w:val="22"/>
        </w:rPr>
        <w:t>：在仿真预算内选择最有希望的下一机制；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Boundary Refiner</w:t>
      </w:r>
      <w:r>
        <w:rPr>
          <w:rFonts w:ascii="Calibri" w:hAnsi="Calibri" w:eastAsia="Microsoft YaHei"/>
          <w:color w:val="000000"/>
          <w:sz w:val="22"/>
        </w:rPr>
        <w:t>：在已发现反例附近寻找距离更小的边界点；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Confirmation Runner</w:t>
      </w:r>
      <w:r>
        <w:rPr>
          <w:rFonts w:ascii="Calibri" w:hAnsi="Calibri" w:eastAsia="Microsoft YaHei"/>
          <w:color w:val="000000"/>
          <w:sz w:val="22"/>
        </w:rPr>
        <w:t>：增加种子、规模、模型和场景确认；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Audit Reporter</w:t>
      </w:r>
      <w:r>
        <w:rPr>
          <w:rFonts w:ascii="Calibri" w:hAnsi="Calibri" w:eastAsia="Microsoft YaHei"/>
          <w:color w:val="000000"/>
          <w:sz w:val="22"/>
        </w:rPr>
        <w:t>：输出最小反例、成立域、失败域、证据和复现配置。</w:t>
      </w:r>
    </w:p>
    <w:p>
      <w:pPr>
        <w:pStyle w:val="Heading2"/>
      </w:pPr>
      <w:r>
        <w:t>4.2 两阶段搜索</w:t>
      </w:r>
    </w:p>
    <w:p>
      <w:pPr>
        <w:pStyle w:val="Heading3"/>
      </w:pPr>
      <w:r>
        <w:t>阶段 A：低成本反例发现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使用少量空间填充样本覆盖主要类别机制；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在较小规模和较短时域下运行低保真仿真；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 xml:space="preserve">训练结论裕量代理模型 </w:t>
      </w:r>
      <w:r>
        <w:rPr>
          <w:rFonts w:ascii="Cambria Math" w:hAnsi="Cambria Math" w:eastAsia="Microsoft YaHei"/>
          <w:color w:val="000000"/>
          <w:sz w:val="22"/>
        </w:rPr>
        <w:t>ĝ_C(m)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通过下式选择候选：</w:t>
      </w:r>
    </w:p>
    <w:p>
      <w:pPr>
        <w:keepLines/>
        <w:spacing w:before="100" w:after="160"/>
        <w:jc w:val="center"/>
      </w:pPr>
      <w:r>
        <w:rPr>
          <w:rFonts w:ascii="Cambria Math" w:hAnsi="Cambria Math" w:eastAsia="Microsoft YaHei"/>
          <w:color w:val="0B2545"/>
          <w:sz w:val="21"/>
        </w:rPr>
        <w:t>a(m)=frac{P(sign flip | m)· U(m)}{D(m,m_0)+λ,Cost(m)},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 xml:space="preserve">其中 </w:t>
      </w:r>
      <w:r>
        <w:rPr>
          <w:rFonts w:ascii="Cambria Math" w:hAnsi="Cambria Math" w:eastAsia="Microsoft YaHei"/>
          <w:color w:val="000000"/>
          <w:sz w:val="22"/>
        </w:rPr>
        <w:t>U(m)</w:t>
      </w:r>
      <w:r>
        <w:rPr>
          <w:rFonts w:ascii="Calibri" w:hAnsi="Calibri" w:eastAsia="Microsoft YaHei"/>
          <w:color w:val="000000"/>
          <w:sz w:val="22"/>
        </w:rPr>
        <w:t xml:space="preserve"> 表示不确定性或信息增益，</w:t>
      </w:r>
      <w:r>
        <w:rPr>
          <w:rFonts w:ascii="Cambria Math" w:hAnsi="Cambria Math" w:eastAsia="Microsoft YaHei"/>
          <w:color w:val="000000"/>
          <w:sz w:val="22"/>
        </w:rPr>
        <w:t>Cost(m)</w:t>
      </w:r>
      <w:r>
        <w:rPr>
          <w:rFonts w:ascii="Calibri" w:hAnsi="Calibri" w:eastAsia="Microsoft YaHei"/>
          <w:color w:val="000000"/>
          <w:sz w:val="22"/>
        </w:rPr>
        <w:t xml:space="preserve"> 表示仿真成本。该获取函数优先选择反转概率高、距离近、信息增益大且成本低的机制。</w:t>
      </w:r>
    </w:p>
    <w:p>
      <w:pPr>
        <w:pStyle w:val="Heading3"/>
      </w:pPr>
      <w:r>
        <w:t>阶段 B：边界细化与高保真确认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对已找到的反例执行局部邻域搜索；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逐步撤销或缩小机制变化，逼近最小反例；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在 N=500/1000、T=30/50 和更多随机种子下复跑；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更换模型家族与话题，确认不是单模型或单提示现象；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使用顺序检验或预设置信区间决定接受、拒绝或继续采样。</w:t>
      </w:r>
    </w:p>
    <w:p>
      <w:pPr>
        <w:pStyle w:val="Heading2"/>
      </w:pPr>
      <w:r>
        <w:t>4.3 混合机制编码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平台机制同时包含：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类别变量：推荐器类型、治理层级、身份恢复规则；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连续变量：探索比例、热度权重、速率限制、重注册成本；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条件变量：只有启用群体治理后才存在群体阈值；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组合约束：某些推荐器与曝光规则不能同时启用。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第一版可采用分层编码和树结构搜索：先选择结构机制，再优化其连续参数。正式论文应与随机搜索、网格/分数因子设计、通用贝叶斯优化和进化搜索进行等预算比较。</w:t>
      </w:r>
    </w:p>
    <w:p>
      <w:pPr>
        <w:pStyle w:val="Heading2"/>
      </w:pPr>
      <w:r>
        <w:t>4.4 方法输出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对每条结论，ClaimFuzz 输出：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基准机制与原始结论裕量；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最小可信反例及机制距离；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反例确认所用的种子、模型、场景和置信区间；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结论成立域与失效域；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关键机制及交互效应；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搜索轨迹、累计仿真成本和失败候选；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可直接复现的配置与 checkpoint 哈希。</w:t>
      </w:r>
    </w:p>
    <w:p>
      <w:pPr>
        <w:pStyle w:val="Heading1"/>
      </w:pPr>
      <w:r>
        <w:t>5. Benchmark 的角色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Benchmark 是 ClaimFuzz 的验证载体，而不是论文的全部贡献。它需要包含：</w:t>
      </w:r>
    </w:p>
    <w:p>
      <w:pPr>
        <w:pStyle w:val="Heading2"/>
      </w:pPr>
      <w:r>
        <w:t>5.1 待检验结论集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首批结论可以来自原框架和常见研究假设：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去中心化合谋比中心化合谋更难治理；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shared reflection 比独立 reflection 带来更高攻击收益；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封禁比内容降权更有效；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跨社区桥接比短时集中放大具有更高长期传播收益；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群体级治理比单账号治理具有更低的正常用户损失；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某一治理策略在固定成本下具有最优安全—效用权衡。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结论必须预注册指标方向和比较条件，不能看完结果后再改变定义。</w:t>
      </w:r>
    </w:p>
    <w:p>
      <w:pPr>
        <w:pStyle w:val="Heading2"/>
      </w:pPr>
      <w:r>
        <w:t>5.2 平台机制空间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建议第一版使用四个主要维度：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推荐机制</w:t>
      </w:r>
      <w:r>
        <w:rPr>
          <w:rFonts w:ascii="Calibri" w:hAnsi="Calibri" w:eastAsia="Microsoft YaHei"/>
          <w:color w:val="000000"/>
          <w:sz w:val="22"/>
        </w:rPr>
        <w:t>：时间序、热度、个性化、多样性/探索推荐；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曝光结构</w:t>
      </w:r>
      <w:r>
        <w:rPr>
          <w:rFonts w:ascii="Calibri" w:hAnsi="Calibri" w:eastAsia="Microsoft YaHei"/>
          <w:color w:val="000000"/>
          <w:sz w:val="22"/>
        </w:rPr>
        <w:t>：关注网络优先、跨社区探索、全局热榜；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传播摩擦</w:t>
      </w:r>
      <w:r>
        <w:rPr>
          <w:rFonts w:ascii="Calibri" w:hAnsi="Calibri" w:eastAsia="Microsoft YaHei"/>
          <w:color w:val="000000"/>
          <w:sz w:val="22"/>
        </w:rPr>
        <w:t>：限频、集中互动折损、转发确认或传播延迟；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身份与治理</w:t>
      </w:r>
      <w:r>
        <w:rPr>
          <w:rFonts w:ascii="Calibri" w:hAnsi="Calibri" w:eastAsia="Microsoft YaHei"/>
          <w:color w:val="000000"/>
          <w:sz w:val="22"/>
        </w:rPr>
        <w:t>：重注册成本、内容降权、账号治理、群体协同降权。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干预是平台级或批量策略，可同时影响大量账号，不采用“平台每轮只能处理一个账号”的不现实设定。</w:t>
      </w:r>
    </w:p>
    <w:p>
      <w:pPr>
        <w:pStyle w:val="Heading2"/>
      </w:pPr>
      <w:r>
        <w:t>5.3 机制泛化划分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ID</w:t>
      </w:r>
      <w:r>
        <w:rPr>
          <w:rFonts w:ascii="Calibri" w:hAnsi="Calibri" w:eastAsia="Microsoft YaHei"/>
          <w:color w:val="000000"/>
          <w:sz w:val="22"/>
        </w:rPr>
        <w:t>：机制类型和参数范围均已见；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Parameter-OOD</w:t>
      </w:r>
      <w:r>
        <w:rPr>
          <w:rFonts w:ascii="Calibri" w:hAnsi="Calibri" w:eastAsia="Microsoft YaHei"/>
          <w:color w:val="000000"/>
          <w:sz w:val="22"/>
        </w:rPr>
        <w:t>：机制类型已见，但参数范围未见；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Compositional-OOD</w:t>
      </w:r>
      <w:r>
        <w:rPr>
          <w:rFonts w:ascii="Calibri" w:hAnsi="Calibri" w:eastAsia="Microsoft YaHei"/>
          <w:color w:val="000000"/>
          <w:sz w:val="22"/>
        </w:rPr>
        <w:t>：组件已见，但组合未见；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Structural-OOD</w:t>
      </w:r>
      <w:r>
        <w:rPr>
          <w:rFonts w:ascii="Calibri" w:hAnsi="Calibri" w:eastAsia="Microsoft YaHei"/>
          <w:color w:val="000000"/>
          <w:sz w:val="22"/>
        </w:rPr>
        <w:t>：出现训练中不存在的机制类别；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Model/Scenario-OOD</w:t>
      </w:r>
      <w:r>
        <w:rPr>
          <w:rFonts w:ascii="Calibri" w:hAnsi="Calibri" w:eastAsia="Microsoft YaHei"/>
          <w:color w:val="000000"/>
          <w:sz w:val="22"/>
        </w:rPr>
        <w:t>：更换模型、话题、初始网络和攻击比例。</w:t>
      </w:r>
    </w:p>
    <w:p>
      <w:pPr>
        <w:pStyle w:val="Heading1"/>
      </w:pPr>
      <w:r>
        <w:t>6. 系统重构方案</w:t>
      </w:r>
    </w:p>
    <w:p>
      <w:pPr>
        <w:pStyle w:val="Heading2"/>
      </w:pPr>
      <w:r>
        <w:t>6.1 当前可复用能力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现有仓库已经具备：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Twitter/Reddit 风格平台与多种社交动作；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random、Reddit-hot、personalized、TWH 等推荐路径；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TaskBlackboard 协同任务机制；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reflection、shared reflection 和检测/干预开关；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prebunking、debunking、ban 等治理示例；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不同规模和模型的运行基础。</w:t>
      </w:r>
    </w:p>
    <w:p>
      <w:pPr>
        <w:pStyle w:val="Heading2"/>
      </w:pPr>
      <w:r>
        <w:t>6.2 建议新增模块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shd w:fill="F7F8FA"/>
            <w:tcBorders>
              <w:top w:val="single" w:sz="4" w:space="0" w:color="D7DCE2"/>
              <w:bottom w:val="single" w:sz="4" w:space="0" w:color="D7DCE2"/>
              <w:start w:val="single" w:sz="4" w:space="0" w:color="D7DCE2"/>
              <w:end w:val="single" w:sz="4" w:space="0" w:color="D7DCE2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63238"/>
                <w:sz w:val="17"/>
              </w:rPr>
              <w:t>MultiAgent4Collusion-master/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├── oasis/social_platform/mechanisms/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schema.py              # 机制变量、约束、距离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ranking.py             # 推荐插件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exposure.py            # 曝光结构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friction.py            # 传播摩擦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identity.py            # 身份与重注册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└── governance.py          # 平台治理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├── experiment/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checkpoint.py          # 完整状态快照与恢复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paired_runner.py       # 配对反事实执行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manifest.py            # 运行元数据与哈希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└── fidelity.py            # 多保真运行配置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├── claim_audit/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claim_schema.py        # 结论定义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margin.py              # 结论裕量与统计判据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claimfuzz.py           # 主搜索算法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├── baselines.py           # 随机/网格/BO/进化基线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│   └── confirm.py             # 跨种子/模型确认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>└── reports/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 xml:space="preserve">    ├── stability_map.py       # 成立域/失效域</w:t>
            </w:r>
            <w:r>
              <w:rPr>
                <w:rFonts w:ascii="Consolas" w:hAnsi="Consolas" w:eastAsia="Microsoft YaHei"/>
                <w:color w:val="263238"/>
                <w:sz w:val="17"/>
              </w:rPr>
              <w:br/>
              <w:t xml:space="preserve">    └── audit_packet.py        # 复现与证据包</w:t>
            </w:r>
          </w:p>
        </w:tc>
      </w:tr>
    </w:tbl>
    <w:p>
      <w:pPr>
        <w:spacing w:after="0"/>
      </w:pPr>
    </w:p>
    <w:p>
      <w:pPr>
        <w:pStyle w:val="Heading2"/>
      </w:pPr>
      <w:r>
        <w:t>6.3 必须保证的状态完整性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checkpoint 需要保存智能体记忆、反思、共享内存、任务黑板、帖子与互动、推荐缓存、关注图、账号状态、平台时钟、随机数状态、模型配置和输入哈希。若只复制数据库而遗漏 LLM memory 或随机数状态，就不能声称从相同状态进行配对比较。</w:t>
      </w:r>
    </w:p>
    <w:p>
      <w:pPr>
        <w:pStyle w:val="Heading1"/>
      </w:pPr>
      <w:r>
        <w:t>7. 实验设计</w:t>
      </w:r>
    </w:p>
    <w:p>
      <w:pPr>
        <w:pStyle w:val="Heading2"/>
      </w:pPr>
      <w:r>
        <w:t>7.1 研究问题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RQ1</w:t>
      </w:r>
      <w:r>
        <w:rPr>
          <w:rFonts w:ascii="Calibri" w:hAnsi="Calibri" w:eastAsia="Microsoft YaHei"/>
          <w:color w:val="000000"/>
          <w:sz w:val="22"/>
        </w:rPr>
        <w:t>：现有合谋攻击与防御结论在平台机制变化下有多脆弱？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RQ2</w:t>
      </w:r>
      <w:r>
        <w:rPr>
          <w:rFonts w:ascii="Calibri" w:hAnsi="Calibri" w:eastAsia="Microsoft YaHei"/>
          <w:color w:val="000000"/>
          <w:sz w:val="22"/>
        </w:rPr>
        <w:t>：ClaimFuzz 能否以更少仿真调用找到更近、更稳定的反例？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RQ3</w:t>
      </w:r>
      <w:r>
        <w:rPr>
          <w:rFonts w:ascii="Calibri" w:hAnsi="Calibri" w:eastAsia="Microsoft YaHei"/>
          <w:color w:val="000000"/>
          <w:sz w:val="22"/>
        </w:rPr>
        <w:t>：反例是否跨随机种子、模型家族、话题和网络拓扑成立？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RQ4</w:t>
      </w:r>
      <w:r>
        <w:rPr>
          <w:rFonts w:ascii="Calibri" w:hAnsi="Calibri" w:eastAsia="Microsoft YaHei"/>
          <w:color w:val="000000"/>
          <w:sz w:val="22"/>
        </w:rPr>
        <w:t>：多机制训练或机制随机化能否降低攻击/防御的最坏情况后悔值？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RQ5</w:t>
      </w:r>
      <w:r>
        <w:rPr>
          <w:rFonts w:ascii="Calibri" w:hAnsi="Calibri" w:eastAsia="Microsoft YaHei"/>
          <w:color w:val="000000"/>
          <w:sz w:val="22"/>
        </w:rPr>
        <w:t>：哪些机制及其交互作用最常导致结论反转？</w:t>
      </w:r>
    </w:p>
    <w:p>
      <w:pPr>
        <w:pStyle w:val="Heading2"/>
      </w:pPr>
      <w:r>
        <w:t>7.2 攻击与防御条件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攻击至少覆盖：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短时集中放大；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跨社区桥接传播；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长期潜伏/分阶段传播；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原生 reflection 与 shared reflection；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可选：自动策略搜索或 MARL 作为强基线。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防御至少覆盖：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无治理；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内容级降权/标注；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平台级传播摩擦；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账号封禁及不同重注册成本；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群体协同降权，但不依赖白盒解释。</w:t>
      </w:r>
    </w:p>
    <w:p>
      <w:pPr>
        <w:pStyle w:val="Heading2"/>
      </w:pPr>
      <w:r>
        <w:t>7.3 规模与重复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960"/>
        <w:gridCol w:w="25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冒烟</w:t>
            </w:r>
          </w:p>
        </w:tc>
        <w:tc>
          <w:tcPr>
            <w:tcW w:type="dxa" w:w="496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N=30，T=5，1–2 seeds</w:t>
            </w:r>
          </w:p>
        </w:tc>
        <w:tc>
          <w:tcPr>
            <w:tcW w:type="dxa" w:w="25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状态恢复、机制生效、日志校验</w:t>
            </w:r>
          </w:p>
        </w:tc>
      </w:tr>
      <w:tr>
        <w:tc>
          <w:tcPr>
            <w:tcW w:type="dxa" w:w="19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立项预实验</w:t>
            </w:r>
          </w:p>
        </w:tc>
        <w:tc>
          <w:tcPr>
            <w:tcW w:type="dxa" w:w="496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N=100，T=20，3 seeds，2 模型家族</w:t>
            </w:r>
          </w:p>
        </w:tc>
        <w:tc>
          <w:tcPr>
            <w:tcW w:type="dxa" w:w="25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判断是否存在稳定反转和搜索优势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主实验</w:t>
            </w:r>
          </w:p>
        </w:tc>
        <w:tc>
          <w:tcPr>
            <w:tcW w:type="dxa" w:w="496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N=500/1000，T=30/50，关键条件≥5 seeds，3 模型家族</w:t>
            </w:r>
          </w:p>
        </w:tc>
        <w:tc>
          <w:tcPr>
            <w:tcW w:type="dxa" w:w="25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论文结论与统计检验</w:t>
            </w:r>
          </w:p>
        </w:tc>
      </w:tr>
      <w:tr>
        <w:tc>
          <w:tcPr>
            <w:tcW w:type="dxa" w:w="19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扩展性</w:t>
            </w:r>
          </w:p>
        </w:tc>
        <w:tc>
          <w:tcPr>
            <w:tcW w:type="dxa" w:w="496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N=2000/5000，T=30，少量条件</w:t>
            </w:r>
          </w:p>
        </w:tc>
        <w:tc>
          <w:tcPr>
            <w:tcW w:type="dxa" w:w="25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运行成本与系统吞吐，不承担主要因果结论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为控制成本，可以让关键恶意智能体和抽样正常用户使用 LLM，其余正常用户使用经校准的轻量代理；必须在小规模全 LLM 实验上验证这种替代不会改变结论排名。</w:t>
      </w:r>
    </w:p>
    <w:p>
      <w:pPr>
        <w:pStyle w:val="Heading2"/>
      </w:pPr>
      <w:r>
        <w:t>7.4 方法基线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Random Search；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Grid/Fractional Factorial Search；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通用 Bayesian Optimization；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Evolutionary Search；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无边界细化的 ClaimFuzz；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无机制距离约束的 ClaimFuzz；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单保真与多保真版本；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Oracle/Exhaustive，仅在极小机制空间中作为上界。</w:t>
      </w:r>
    </w:p>
    <w:p>
      <w:pPr>
        <w:pStyle w:val="Heading2"/>
      </w:pPr>
      <w:r>
        <w:t>7.5 主要指标</w:t>
      </w:r>
    </w:p>
    <w:p>
      <w:pPr>
        <w:keepLines w:val="0"/>
      </w:pPr>
      <w:r>
        <w:rPr>
          <w:rFonts w:ascii="Calibri" w:hAnsi="Calibri" w:eastAsia="Microsoft YaHei"/>
          <w:b/>
          <w:color w:val="000000"/>
          <w:sz w:val="22"/>
        </w:rPr>
        <w:t>方法指标</w:t>
      </w:r>
      <w:r>
        <w:rPr>
          <w:rFonts w:ascii="Calibri" w:hAnsi="Calibri" w:eastAsia="Microsoft YaHei"/>
          <w:color w:val="000000"/>
          <w:sz w:val="22"/>
        </w:rPr>
        <w:t>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首个确认反例所需仿真调用数；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最小反例机制距离；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反例确认率与假反例率；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单位计算成本的反例发现率；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结论边界估计误差；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相对于穷举的覆盖率。</w:t>
      </w:r>
    </w:p>
    <w:p>
      <w:pPr>
        <w:keepLines w:val="0"/>
      </w:pPr>
      <w:r>
        <w:rPr>
          <w:rFonts w:ascii="Calibri" w:hAnsi="Calibri" w:eastAsia="Microsoft YaHei"/>
          <w:b/>
          <w:color w:val="000000"/>
          <w:sz w:val="22"/>
        </w:rPr>
        <w:t>安全与泛化指标</w:t>
      </w:r>
      <w:r>
        <w:rPr>
          <w:rFonts w:ascii="Calibri" w:hAnsi="Calibri" w:eastAsia="Microsoft YaHei"/>
          <w:color w:val="000000"/>
          <w:sz w:val="22"/>
        </w:rPr>
        <w:t>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Attack Transfer Ratio；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Defense Regret 与 Worst-case Regret；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Rank Inversion Rate；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 xml:space="preserve">Kendall’s </w:t>
      </w:r>
      <w:r>
        <w:rPr>
          <w:rFonts w:ascii="Cambria Math" w:hAnsi="Cambria Math" w:eastAsia="Microsoft YaHei"/>
          <w:color w:val="000000"/>
          <w:sz w:val="22"/>
        </w:rPr>
        <w:t>tau</w:t>
      </w:r>
      <w:r>
        <w:rPr>
          <w:rFonts w:ascii="Calibri" w:hAnsi="Calibri" w:eastAsia="Microsoft YaHei"/>
          <w:color w:val="000000"/>
          <w:sz w:val="22"/>
        </w:rPr>
        <w:t xml:space="preserve"> 排名一致性；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有害曝光、传播深度、任务完成率；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benign utility loss 与误伤率；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机制因素主效应和交互效应。</w:t>
      </w:r>
    </w:p>
    <w:p>
      <w:pPr>
        <w:pStyle w:val="Heading2"/>
      </w:pPr>
      <w:r>
        <w:t>7.6 统计要求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报告均值、置信区间、效应量，而不只给最佳数值；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使用配对设计和相同初始状态降低方差；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用混合效应模型区分机制、模型、场景和随机种子的影响；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对多条结论和多次搜索进行多重比较校正；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在正式实验前冻结主要结论、指标和停止规则；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单独报告未复现反例和失败搜索，避免选择性呈现。</w:t>
      </w:r>
    </w:p>
    <w:p>
      <w:pPr>
        <w:pStyle w:val="Heading1"/>
      </w:pPr>
      <w:r>
        <w:t>8. 仿真有效性与可信度</w:t>
      </w:r>
    </w:p>
    <w:p>
      <w:pPr>
        <w:pStyle w:val="Heading2"/>
      </w:pPr>
      <w:r>
        <w:t>8.1 三层验证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机制层</w:t>
      </w:r>
      <w:r>
        <w:rPr>
          <w:rFonts w:ascii="Calibri" w:hAnsi="Calibri" w:eastAsia="Microsoft YaHei"/>
          <w:color w:val="000000"/>
          <w:sz w:val="22"/>
        </w:rPr>
        <w:t>：验证推荐、曝光、摩擦、身份和治理插件确实按照定义改变平台事件流；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个体层</w:t>
      </w:r>
      <w:r>
        <w:rPr>
          <w:rFonts w:ascii="Calibri" w:hAnsi="Calibri" w:eastAsia="Microsoft YaHei"/>
          <w:color w:val="000000"/>
          <w:sz w:val="22"/>
        </w:rPr>
        <w:t>：检查动作频率、内容类型、角色异质性、同义扰动稳定性和提示泄漏；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群体层</w:t>
      </w:r>
      <w:r>
        <w:rPr>
          <w:rFonts w:ascii="Calibri" w:hAnsi="Calibri" w:eastAsia="Microsoft YaHei"/>
          <w:color w:val="000000"/>
          <w:sz w:val="22"/>
        </w:rPr>
        <w:t>：检查级联规模、深度、持续时间、网络结构和时间分布是否与真实数据或已知规律相符。</w:t>
      </w:r>
    </w:p>
    <w:p>
      <w:pPr>
        <w:pStyle w:val="Heading2"/>
      </w:pPr>
      <w:r>
        <w:t>8.2 真实数据的用途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TwiBot 数据可以用于账号画像、机器人比例和网络统计校准，但不足以单独验证完整传播与曝光过程。建议补充包含新闻传播或谣言级联的数据，例如 PHEME/CoPHEME、FakeNewsNet 或其他许可明确的数据。真实数据用于校准基准机制和验证观测统计，不能证明未部署干预的真实因果效果。</w:t>
      </w:r>
    </w:p>
    <w:p>
      <w:pPr>
        <w:pStyle w:val="Heading2"/>
      </w:pPr>
      <w:r>
        <w:t>8.3 结论范围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论文应把结果描述为：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4F6F9"/>
            <w:tcBorders>
              <w:top w:val="nil" w:sz="4" w:space="0" w:color="C7D0DA"/>
              <w:bottom w:val="nil" w:sz="4" w:space="0" w:color="C7D0DA"/>
              <w:start w:val="single" w:sz="18" w:space="0" w:color="2E74B5"/>
              <w:end w:val="nil" w:sz="4" w:space="0" w:color="C7D0DA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在经过指定层级校准的模拟器与机制空间中，某条结论对哪些平台机制变化稳健或脆弱。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不能直接写成：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4F6F9"/>
            <w:tcBorders>
              <w:top w:val="nil" w:sz="4" w:space="0" w:color="C7D0DA"/>
              <w:bottom w:val="nil" w:sz="4" w:space="0" w:color="C7D0DA"/>
              <w:start w:val="single" w:sz="18" w:space="0" w:color="2E74B5"/>
              <w:end w:val="nil" w:sz="4" w:space="0" w:color="C7D0DA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真实平台采用某政策一定会产生相同结果。</w:t>
            </w:r>
          </w:p>
        </w:tc>
      </w:tr>
    </w:tbl>
    <w:p>
      <w:pPr>
        <w:spacing w:after="0"/>
      </w:pPr>
    </w:p>
    <w:p>
      <w:pPr>
        <w:pStyle w:val="Heading1"/>
      </w:pPr>
      <w:r>
        <w:t>9. 两周 Go/No-Go 预实验</w:t>
      </w:r>
    </w:p>
    <w:p>
      <w:pPr>
        <w:pStyle w:val="Heading2"/>
      </w:pPr>
      <w:r>
        <w:t>9.1 最小实现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3 种推荐机制；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2 种传播摩擦或身份规则；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3 种攻击策略；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3 种防御；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N=100、T=20、3 seeds；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2 个固定版本的开源模型家族；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Random Search 与 ClaimFuzz 最小版本；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完整 checkpoint 和 paired runner。</w:t>
      </w:r>
    </w:p>
    <w:p>
      <w:pPr>
        <w:pStyle w:val="Heading2"/>
      </w:pPr>
      <w:r>
        <w:t>9.2 继续立项的门槛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以下四项至少满足前三项：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至少两条预注册结论出现可重复的机制反转；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反转在两个模型家族或两个场景中仍成立；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排除提示泄漏、随机异常和机制未生效；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ClaimFuzz 在相同调用预算下，比 Random Search 更快找到确认反例，或找到机制距离显著更小的反例。</w:t>
      </w:r>
    </w:p>
    <w:p>
      <w:pPr>
        <w:pStyle w:val="Heading2"/>
      </w:pPr>
      <w:r>
        <w:t>9.3 停止条件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出现以下任一情况应停止或重新选题：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结论在合理机制空间内几乎不发生反转；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反转只存在于极端、不可信配置；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反转主要由单一模型或提示措辞造成；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ClaimFuzz 与通用优化方法没有稳定差异；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checkpoint 无法完整恢复，配对实验存在系统性偏差；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所需计算预算超过团队可承受范围且轻量代理无法保序。</w:t>
      </w:r>
    </w:p>
    <w:p>
      <w:pPr>
        <w:pStyle w:val="Heading1"/>
      </w:pPr>
      <w:r>
        <w:t>10. 论文贡献的推荐写法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若实验成功，贡献可写为：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问题贡献</w:t>
      </w:r>
      <w:r>
        <w:rPr>
          <w:rFonts w:ascii="Calibri" w:hAnsi="Calibri" w:eastAsia="Microsoft YaHei"/>
          <w:color w:val="000000"/>
          <w:sz w:val="22"/>
        </w:rPr>
        <w:t>：提出 LLM 多智能体合谋实验的机制稳健性审计问题，将单环境结果从“结论”降格为需要检验的假设；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方法贡献</w:t>
      </w:r>
      <w:r>
        <w:rPr>
          <w:rFonts w:ascii="Calibri" w:hAnsi="Calibri" w:eastAsia="Microsoft YaHei"/>
          <w:color w:val="000000"/>
          <w:sz w:val="22"/>
        </w:rPr>
        <w:t>：提出 ClaimFuzz，在现实约束、混合机制和有限仿真预算下搜索使比较性结论反转的最小机制变化；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系统贡献</w:t>
      </w:r>
      <w:r>
        <w:rPr>
          <w:rFonts w:ascii="Calibri" w:hAnsi="Calibri" w:eastAsia="Microsoft YaHei"/>
          <w:color w:val="000000"/>
          <w:sz w:val="22"/>
        </w:rPr>
        <w:t>：实现可组合机制、完整 checkpoint、配对执行、多保真搜索和跨模型确认的一体化证伪系统；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实证贡献</w:t>
      </w:r>
      <w:r>
        <w:rPr>
          <w:rFonts w:ascii="Calibri" w:hAnsi="Calibri" w:eastAsia="Microsoft YaHei"/>
          <w:color w:val="000000"/>
          <w:sz w:val="22"/>
        </w:rPr>
        <w:t>：系统测量攻击迁移、治理排名反转和最坏情况后悔值，识别稳健规律与机制特定规律；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资源贡献</w:t>
      </w:r>
      <w:r>
        <w:rPr>
          <w:rFonts w:ascii="Calibri" w:hAnsi="Calibri" w:eastAsia="Microsoft YaHei"/>
          <w:color w:val="000000"/>
          <w:sz w:val="22"/>
        </w:rPr>
        <w:t>：发布结论集、机制空间、运行日志、复现配置和机制稳健性 Benchmark。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其中第 2 和第 4 项必须成立，否则论文会退化为普通 Benchmark 或工程框架。</w:t>
      </w:r>
    </w:p>
    <w:p>
      <w:pPr>
        <w:pStyle w:val="Heading1"/>
      </w:pPr>
      <w:r>
        <w:t>11. 投稿定位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WWW / ICWSM</w:t>
      </w:r>
      <w:r>
        <w:rPr>
          <w:rFonts w:ascii="Calibri" w:hAnsi="Calibri" w:eastAsia="Microsoft YaHei"/>
          <w:color w:val="000000"/>
          <w:sz w:val="22"/>
        </w:rPr>
        <w:t>：首选，适合平台机制、社会计算、安全风险与实证审计；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AAMAS</w:t>
      </w:r>
      <w:r>
        <w:rPr>
          <w:rFonts w:ascii="Calibri" w:hAnsi="Calibri" w:eastAsia="Microsoft YaHei"/>
          <w:color w:val="000000"/>
          <w:sz w:val="22"/>
        </w:rPr>
        <w:t>：ClaimFuzz 的搜索、博弈或多智能体方法需要更强算法深度；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KDD</w:t>
      </w:r>
      <w:r>
        <w:rPr>
          <w:rFonts w:ascii="Calibri" w:hAnsi="Calibri" w:eastAsia="Microsoft YaHei"/>
          <w:color w:val="000000"/>
          <w:sz w:val="22"/>
        </w:rPr>
        <w:t>：需要更强的数据规模、方法性能和真实数据验证；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ACL / EMNLP</w:t>
      </w:r>
      <w:r>
        <w:rPr>
          <w:rFonts w:ascii="Calibri" w:hAnsi="Calibri" w:eastAsia="Microsoft YaHei"/>
          <w:color w:val="000000"/>
          <w:sz w:val="22"/>
        </w:rPr>
        <w:t>：仅当语言智能体行为建模或语言层泛化成为核心；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000000"/>
          <w:sz w:val="22"/>
        </w:rPr>
        <w:t>CCS / USENIX Security</w:t>
      </w:r>
      <w:r>
        <w:rPr>
          <w:rFonts w:ascii="Calibri" w:hAnsi="Calibri" w:eastAsia="Microsoft YaHei"/>
          <w:color w:val="000000"/>
          <w:sz w:val="22"/>
        </w:rPr>
        <w:t>：仅有合成仿真通常不足，需要真实威胁模型、系统验证和可操作防御。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建议优先按 WWW/ICWSM 风格组织：问题清晰、平台意义明确、方法可复现、实证发现扎实，并严格限制真实世界因果主张。</w:t>
      </w:r>
    </w:p>
    <w:p>
      <w:pPr>
        <w:pStyle w:val="Heading1"/>
      </w:pPr>
      <w:r>
        <w:t>12. 执行计划与交付物</w:t>
      </w:r>
    </w:p>
    <w:p>
      <w:pPr>
        <w:pStyle w:val="Heading2"/>
      </w:pPr>
      <w:r>
        <w:t>阶段 0：立项核验（2 周）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形成至少 20 篇近邻工作的 claim–method–experiment 矩阵；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完成机制 schema、checkpoint、paired runner；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实现 ClaimFuzz 最小版本与随机搜索；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跑完 go/no-go 实验并形成决策记录。</w:t>
      </w:r>
    </w:p>
    <w:p>
      <w:pPr>
        <w:pStyle w:val="Heading2"/>
      </w:pPr>
      <w:r>
        <w:t>阶段 1：方法与框架（3–4 周）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完成混合机制搜索、多保真、边界细化和统计确认；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完成运行目录、manifest、哈希与失败恢复；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建立机制验证和轻量代理保序测试。</w:t>
      </w:r>
    </w:p>
    <w:p>
      <w:pPr>
        <w:pStyle w:val="Heading2"/>
      </w:pPr>
      <w:r>
        <w:t>阶段 2：主实验（3–5 周）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完成主要结论集、机制划分和基线；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运行跨规模、模型、场景和随机种子实验；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生成结论成立域、失效域和搜索效率曲线。</w:t>
      </w:r>
    </w:p>
    <w:p>
      <w:pPr>
        <w:pStyle w:val="Heading2"/>
      </w:pPr>
      <w:r>
        <w:t>阶段 3：论文与开放资源（2–3 周）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冻结代码、配置、数据和统计脚本；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完成方法、实验、限制、伦理和复现章节；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从干净环境复跑最小实验；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000000"/>
          <w:sz w:val="22"/>
        </w:rPr>
        <w:t>发布匿名仓库或补充材料。</w:t>
      </w:r>
    </w:p>
    <w:p>
      <w:pPr>
        <w:pStyle w:val="Heading1"/>
      </w:pPr>
      <w:r>
        <w:t>13. 主要风险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具体表现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缓解方案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创新撞车</w:t>
            </w:r>
          </w:p>
        </w:tc>
        <w:tc>
          <w:tcPr>
            <w:tcW w:type="dxa" w:w="25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新论文出现相同的自动反例搜索</w:t>
            </w:r>
          </w:p>
        </w:tc>
        <w:tc>
          <w:tcPr>
            <w:tcW w:type="dxa" w:w="496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持续维护相关工作矩阵；避免未经核验的首次主张</w:t>
            </w:r>
          </w:p>
        </w:tc>
      </w:tr>
      <w:tr>
        <w:tc>
          <w:tcPr>
            <w:tcW w:type="dxa" w:w="19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Benchmark 化</w:t>
            </w:r>
          </w:p>
        </w:tc>
        <w:tc>
          <w:tcPr>
            <w:tcW w:type="dxa" w:w="25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只有机制切换和榜单，没有方法优势</w:t>
            </w:r>
          </w:p>
        </w:tc>
        <w:tc>
          <w:tcPr>
            <w:tcW w:type="dxa" w:w="496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ClaimFuzz 必须在效率、距离或确认率上显著优于基线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真实性不足</w:t>
            </w:r>
          </w:p>
        </w:tc>
        <w:tc>
          <w:tcPr>
            <w:tcW w:type="dxa" w:w="25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反例来自不可信平台配置</w:t>
            </w:r>
          </w:p>
        </w:tc>
        <w:tc>
          <w:tcPr>
            <w:tcW w:type="dxa" w:w="496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预定义现实可行域、机制距离与真实统计校准</w:t>
            </w:r>
          </w:p>
        </w:tc>
      </w:tr>
      <w:tr>
        <w:tc>
          <w:tcPr>
            <w:tcW w:type="dxa" w:w="19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LLM 随机性</w:t>
            </w:r>
          </w:p>
        </w:tc>
        <w:tc>
          <w:tcPr>
            <w:tcW w:type="dxa" w:w="25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反转无法跨模型或种子复现</w:t>
            </w:r>
          </w:p>
        </w:tc>
        <w:tc>
          <w:tcPr>
            <w:tcW w:type="dxa" w:w="496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paired design、顺序确认、固定开源模型版本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计算成本</w:t>
            </w:r>
          </w:p>
        </w:tc>
        <w:tc>
          <w:tcPr>
            <w:tcW w:type="dxa" w:w="25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大规模搜索调用过多</w:t>
            </w:r>
          </w:p>
        </w:tc>
        <w:tc>
          <w:tcPr>
            <w:tcW w:type="dxa" w:w="496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多保真搜索、缓存、轻量代理与小规模边界发现</w:t>
            </w:r>
          </w:p>
        </w:tc>
      </w:tr>
      <w:tr>
        <w:tc>
          <w:tcPr>
            <w:tcW w:type="dxa" w:w="19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结论泄漏</w:t>
            </w:r>
          </w:p>
        </w:tc>
        <w:tc>
          <w:tcPr>
            <w:tcW w:type="dxa" w:w="250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看到结果后修改指标或结论</w:t>
            </w:r>
          </w:p>
        </w:tc>
        <w:tc>
          <w:tcPr>
            <w:tcW w:type="dxa" w:w="4960"/>
            <w:vAlign w:val="center"/>
            <w:shd w:fill="FAFBFC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预注册结论、指标、方向和停止规则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双重用途</w:t>
            </w:r>
          </w:p>
        </w:tc>
        <w:tc>
          <w:tcPr>
            <w:tcW w:type="dxa" w:w="250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输出过度具体的攻击操作方案</w:t>
            </w:r>
          </w:p>
        </w:tc>
        <w:tc>
          <w:tcPr>
            <w:tcW w:type="dxa" w:w="4960"/>
            <w:vAlign w:val="center"/>
            <w:tcBorders>
              <w:top w:val="single" w:sz="4" w:space="0" w:color="C7D0DA"/>
              <w:bottom w:val="single" w:sz="4" w:space="0" w:color="C7D0DA"/>
              <w:start w:val="single" w:sz="4" w:space="0" w:color="C7D0DA"/>
              <w:end w:val="single" w:sz="4" w:space="0" w:color="C7D0DA"/>
            </w:tcBorders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发布机制级规律和聚合策略，不发布真实平台可直接执行的攻击脚本</w:t>
            </w:r>
          </w:p>
        </w:tc>
      </w:tr>
    </w:tbl>
    <w:p>
      <w:pPr>
        <w:spacing w:after="0"/>
      </w:pPr>
    </w:p>
    <w:p>
      <w:pPr>
        <w:pStyle w:val="Heading1"/>
      </w:pPr>
      <w:r>
        <w:t>14. 最终决策建议</w:t>
      </w: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本方向可以继续，但需要采用以下唯一主叙事：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4F6F9"/>
            <w:tcBorders>
              <w:top w:val="nil" w:sz="4" w:space="0" w:color="C7D0DA"/>
              <w:bottom w:val="nil" w:sz="4" w:space="0" w:color="C7D0DA"/>
              <w:start w:val="single" w:sz="18" w:space="0" w:color="2E74B5"/>
              <w:end w:val="nil" w:sz="4" w:space="0" w:color="C7D0DA"/>
            </w:tcBorders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CollusionShift 不只是一个跨机制 Benchmark，而是一种面向 LLM 多智能体合谋研究结论的机制化证伪方法。它在现实约束的平台机制空间中，以有限预算寻找推翻比较性结论的最小机制反例，并输出结论成立域和失效边界。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color w:val="000000"/>
          <w:sz w:val="22"/>
        </w:rPr>
        <w:t>Benchmark、checkpoint、机制插件和批量仿真都是为这一方法服务的基础设施。若两周预实验无法证明“结论确实会在合理机制下反转”以及“ClaimFuzz 比通用搜索更有效”，则不应继续投入完整论文周期。</w:t>
      </w:r>
    </w:p>
    <w:p>
      <w:pPr>
        <w:pStyle w:val="Heading1"/>
      </w:pPr>
      <w:r>
        <w:t>参考资料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i/>
          <w:color w:val="000000"/>
          <w:sz w:val="22"/>
        </w:rPr>
        <w:t>When Autonomy Goes Rogue: Preparing for Risks of Multi-Agent Collusion in Social Systems</w:t>
      </w:r>
      <w:r>
        <w:rPr>
          <w:rFonts w:ascii="Calibri" w:hAnsi="Calibri" w:eastAsia="Microsoft YaHei"/>
          <w:color w:val="000000"/>
          <w:sz w:val="22"/>
        </w:rPr>
        <w:t xml:space="preserve">. 2025.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arXiv 原文</w:t>
        </w:r>
      </w:hyperlink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i/>
          <w:color w:val="000000"/>
          <w:sz w:val="22"/>
        </w:rPr>
        <w:t>MOSAIC: Modeling Social AI for Content Dissemination and Regulation in Multi-Agent Simulations</w:t>
      </w:r>
      <w:r>
        <w:rPr>
          <w:rFonts w:ascii="Calibri" w:hAnsi="Calibri" w:eastAsia="Microsoft YaHei"/>
          <w:color w:val="000000"/>
          <w:sz w:val="22"/>
        </w:rPr>
        <w:t xml:space="preserve">. EMNLP 2025.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ACL Anthology 原文</w:t>
        </w:r>
      </w:hyperlink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i/>
          <w:color w:val="000000"/>
          <w:sz w:val="22"/>
        </w:rPr>
        <w:t>PolicySim: An LLM-Based Agent Social Simulation Sandbox for Proactive Policy Optimization</w:t>
      </w:r>
      <w:r>
        <w:rPr>
          <w:rFonts w:ascii="Calibri" w:hAnsi="Calibri" w:eastAsia="Microsoft YaHei"/>
          <w:color w:val="000000"/>
          <w:sz w:val="22"/>
        </w:rPr>
        <w:t xml:space="preserve">. WWW 2026.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arXiv 原文</w:t>
        </w:r>
      </w:hyperlink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i/>
          <w:color w:val="000000"/>
          <w:sz w:val="22"/>
        </w:rPr>
        <w:t>POSIM: A Multi-Agent Simulation Framework for Social Media Public Opinion Evolution and Governance</w:t>
      </w:r>
      <w:r>
        <w:rPr>
          <w:rFonts w:ascii="Calibri" w:hAnsi="Calibri" w:eastAsia="Microsoft YaHei"/>
          <w:color w:val="000000"/>
          <w:sz w:val="22"/>
        </w:rPr>
        <w:t xml:space="preserve">. 2026.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arXiv 原文</w:t>
        </w:r>
      </w:hyperlink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i/>
          <w:color w:val="000000"/>
          <w:sz w:val="22"/>
        </w:rPr>
        <w:t>From Plausible to Causal: Counterfactual Semantics for Policy Evaluation in Simulated Online Communities</w:t>
      </w:r>
      <w:r>
        <w:rPr>
          <w:rFonts w:ascii="Calibri" w:hAnsi="Calibri" w:eastAsia="Microsoft YaHei"/>
          <w:color w:val="000000"/>
          <w:sz w:val="22"/>
        </w:rPr>
        <w:t xml:space="preserve">. 2026.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arXiv 原文</w:t>
        </w:r>
      </w:hyperlink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i/>
          <w:color w:val="000000"/>
          <w:sz w:val="22"/>
        </w:rPr>
        <w:t>Mechanism Plausibility in Generative Agent-Based Modeling</w:t>
      </w:r>
      <w:r>
        <w:rPr>
          <w:rFonts w:ascii="Calibri" w:hAnsi="Calibri" w:eastAsia="Microsoft YaHei"/>
          <w:color w:val="000000"/>
          <w:sz w:val="22"/>
        </w:rPr>
        <w:t xml:space="preserve">. 2026.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arXiv 原文</w:t>
        </w:r>
      </w:hyperlink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i/>
          <w:color w:val="000000"/>
          <w:sz w:val="22"/>
        </w:rPr>
        <w:t>Multi-Agent Attacks for Black-Box Social Recommendations</w:t>
      </w:r>
      <w:r>
        <w:rPr>
          <w:rFonts w:ascii="Calibri" w:hAnsi="Calibri" w:eastAsia="Microsoft YaHei"/>
          <w:color w:val="000000"/>
          <w:sz w:val="22"/>
        </w:rPr>
        <w:t xml:space="preserve">. ACM TOIS 2024.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DOI 原文</w:t>
        </w:r>
      </w:hyperlink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i/>
          <w:color w:val="000000"/>
          <w:sz w:val="22"/>
        </w:rPr>
        <w:t>Attacking Fake News Detectors via Manipulating News Social Engagement</w:t>
      </w:r>
      <w:r>
        <w:rPr>
          <w:rFonts w:ascii="Calibri" w:hAnsi="Calibri" w:eastAsia="Microsoft YaHei"/>
          <w:color w:val="000000"/>
          <w:sz w:val="22"/>
        </w:rPr>
        <w:t xml:space="preserve">. WWW 2023.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DOI 原文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7"/>
      </w:rPr>
      <w:t>COLLUSIONSHIFT  |  INTERNAL RESEARCH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507.14660" TargetMode="External"/><Relationship Id="rId12" Type="http://schemas.openxmlformats.org/officeDocument/2006/relationships/hyperlink" Target="https://aclanthology.org/2025.emnlp-main.325/" TargetMode="External"/><Relationship Id="rId13" Type="http://schemas.openxmlformats.org/officeDocument/2006/relationships/hyperlink" Target="https://arxiv.org/abs/2603.19649" TargetMode="External"/><Relationship Id="rId14" Type="http://schemas.openxmlformats.org/officeDocument/2006/relationships/hyperlink" Target="https://arxiv.org/abs/2603.23884" TargetMode="External"/><Relationship Id="rId15" Type="http://schemas.openxmlformats.org/officeDocument/2006/relationships/hyperlink" Target="https://arxiv.org/abs/2604.03920" TargetMode="External"/><Relationship Id="rId16" Type="http://schemas.openxmlformats.org/officeDocument/2006/relationships/hyperlink" Target="https://arxiv.org/abs/2605.12824" TargetMode="External"/><Relationship Id="rId17" Type="http://schemas.openxmlformats.org/officeDocument/2006/relationships/hyperlink" Target="https://doi.org/10.1145/3696105" TargetMode="External"/><Relationship Id="rId18" Type="http://schemas.openxmlformats.org/officeDocument/2006/relationships/hyperlink" Target="https://doi.org/10.1145/3543507.35838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CollusionShift：面向 LLM 多智能体合谋研究的机制化证伪方法</dc:title>
  <dc:subject>从跨机制 Benchmark 升级为方法论文的内部研究方案</dc:subject>
  <dc:creator>Hyper-Decept Research Team</dc:creator>
  <cp:keywords>LLM; multi-agent; collusion; mechanism falsification; ClaimFuzz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