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12946">
      <w:pPr>
        <w:pStyle w:val="3"/>
      </w:pPr>
      <w:r>
        <w:rPr>
          <w:rFonts w:ascii="微软雅黑" w:hAnsi="微软雅黑" w:eastAsia="微软雅黑"/>
          <w:color w:val="1F4E79"/>
        </w:rPr>
        <w:t>招标文件问答助手 · 技术设计文档</w:t>
      </w:r>
    </w:p>
    <w:p w14:paraId="2A71F575">
      <w:pPr>
        <w:shd w:val="clear" w:color="auto" w:fill="EAF1F8"/>
        <w:ind w:left="432"/>
      </w:pPr>
      <w:r>
        <w:rPr>
          <w:rFonts w:ascii="微软雅黑" w:hAnsi="微软雅黑" w:eastAsia="微软雅黑"/>
        </w:rPr>
        <w:t>版本：v1.0　|　适用对象：技术评审、接手人、客户架构师　|　配套工程：</w:t>
      </w:r>
      <w:r>
        <w:rPr>
          <w:rFonts w:ascii="Consolas" w:hAnsi="Consolas" w:eastAsia="Consolas"/>
        </w:rPr>
        <w:t>rag_demo/</w:t>
      </w:r>
    </w:p>
    <w:p w14:paraId="6435C651">
      <w:pPr>
        <w:pBdr>
          <w:bottom w:val="single" w:color="BBBBBB" w:sz="6" w:space="1"/>
        </w:pBdr>
      </w:pPr>
    </w:p>
    <w:p w14:paraId="5D328FBA">
      <w:pPr>
        <w:pStyle w:val="4"/>
      </w:pPr>
      <w:r>
        <w:rPr>
          <w:rFonts w:ascii="微软雅黑" w:hAnsi="微软雅黑" w:eastAsia="微软雅黑"/>
          <w:color w:val="1F4E79"/>
        </w:rPr>
        <w:t>1. 文档目的</w:t>
      </w:r>
    </w:p>
    <w:p w14:paraId="0819577C">
      <w:r>
        <w:rPr>
          <w:rFonts w:ascii="微软雅黑" w:hAnsi="微软雅黑" w:eastAsia="微软雅黑"/>
        </w:rPr>
        <w:t>说明本 RAG Demo 的</w:t>
      </w:r>
      <w:r>
        <w:rPr>
          <w:rFonts w:ascii="微软雅黑" w:hAnsi="微软雅黑" w:eastAsia="微软雅黑"/>
          <w:b/>
        </w:rPr>
        <w:t>设计思路、总体架构、模块边界与关键选型理由</w:t>
      </w:r>
      <w:r>
        <w:rPr>
          <w:rFonts w:ascii="微软雅黑" w:hAnsi="微软雅黑" w:eastAsia="微软雅黑"/>
        </w:rPr>
        <w:t xml:space="preserve">，让没有参与开发的人也能快速理解"为什么这么搭、每个环节负责什么、出问题该看哪里"。本文与 </w:t>
      </w:r>
      <w:r>
        <w:rPr>
          <w:rFonts w:ascii="Consolas" w:hAnsi="Consolas" w:eastAsia="Consolas"/>
        </w:rPr>
        <w:t>README.md</w:t>
      </w:r>
      <w:r>
        <w:rPr>
          <w:rFonts w:ascii="微软雅黑" w:hAnsi="微软雅黑" w:eastAsia="微软雅黑"/>
        </w:rPr>
        <w:t>（面向"怎么跑起来"）互补：README 讲操作，本文讲设计。</w:t>
      </w:r>
    </w:p>
    <w:p w14:paraId="4310FB7F">
      <w:pPr>
        <w:pBdr>
          <w:bottom w:val="single" w:color="BBBBBB" w:sz="6" w:space="1"/>
        </w:pBdr>
      </w:pPr>
    </w:p>
    <w:p w14:paraId="6E030A2E">
      <w:pPr>
        <w:pStyle w:val="4"/>
      </w:pPr>
      <w:r>
        <w:rPr>
          <w:rFonts w:ascii="微软雅黑" w:hAnsi="微软雅黑" w:eastAsia="微软雅黑"/>
          <w:color w:val="1F4E79"/>
        </w:rPr>
        <w:t>2. 背景与目标</w:t>
      </w:r>
    </w:p>
    <w:p w14:paraId="7FD05084">
      <w:pPr>
        <w:pStyle w:val="5"/>
      </w:pPr>
      <w:r>
        <w:rPr>
          <w:rFonts w:ascii="微软雅黑" w:hAnsi="微软雅黑" w:eastAsia="微软雅黑"/>
          <w:color w:val="1F4E79"/>
        </w:rPr>
        <w:t>2.1 痛点</w:t>
      </w:r>
    </w:p>
    <w:p w14:paraId="550E877E">
      <w:r>
        <w:rPr>
          <w:rFonts w:ascii="微软雅黑" w:hAnsi="微软雅黑" w:eastAsia="微软雅黑"/>
        </w:rPr>
        <w:t>招标文件通常几十页，关键条款（预算、资质、截止时间、评分权重、付款方式）分散在公告、评标办法、合同条款各处。人工翻阅查找</w:t>
      </w:r>
      <w:r>
        <w:rPr>
          <w:rFonts w:ascii="微软雅黑" w:hAnsi="微软雅黑" w:eastAsia="微软雅黑"/>
          <w:b/>
        </w:rPr>
        <w:t>费时、易漏、易错</w:t>
      </w:r>
      <w:r>
        <w:rPr>
          <w:rFonts w:ascii="微软雅黑" w:hAnsi="微软雅黑" w:eastAsia="微软雅黑"/>
        </w:rPr>
        <w:t>，且多人协作时口径难统一。</w:t>
      </w:r>
    </w:p>
    <w:p w14:paraId="24CB4A53">
      <w:pPr>
        <w:pStyle w:val="5"/>
      </w:pPr>
      <w:r>
        <w:rPr>
          <w:rFonts w:ascii="微软雅黑" w:hAnsi="微软雅黑" w:eastAsia="微软雅黑"/>
          <w:color w:val="1F4E79"/>
        </w:rPr>
        <w:t>2.2 目标</w:t>
      </w:r>
    </w:p>
    <w:p w14:paraId="36D37A90">
      <w:r>
        <w:rPr>
          <w:rFonts w:ascii="微软雅黑" w:hAnsi="微软雅黑" w:eastAsia="微软雅黑"/>
        </w:rPr>
        <w:t>输入一句自然语言问题（如"ZB2026-001 的预算是多少？"），</w:t>
      </w:r>
      <w:r>
        <w:rPr>
          <w:rFonts w:ascii="微软雅黑" w:hAnsi="微软雅黑" w:eastAsia="微软雅黑"/>
          <w:b/>
        </w:rPr>
        <w:t>秒级</w:t>
      </w:r>
      <w:r>
        <w:rPr>
          <w:rFonts w:ascii="微软雅黑" w:hAnsi="微软雅黑" w:eastAsia="微软雅黑"/>
        </w:rPr>
        <w:t>返回：</w:t>
      </w:r>
    </w:p>
    <w:p w14:paraId="33D25637">
      <w:pPr>
        <w:pStyle w:val="16"/>
      </w:pPr>
      <w:r>
        <w:rPr>
          <w:rFonts w:ascii="微软雅黑" w:hAnsi="微软雅黑" w:eastAsia="微软雅黑"/>
          <w:b/>
        </w:rPr>
        <w:t>答案</w:t>
      </w:r>
      <w:r>
        <w:rPr>
          <w:rFonts w:ascii="微软雅黑" w:hAnsi="微软雅黑" w:eastAsia="微软雅黑"/>
        </w:rPr>
        <w:t>：基于招标文本的事实性回答；</w:t>
      </w:r>
    </w:p>
    <w:p w14:paraId="23A35123">
      <w:pPr>
        <w:pStyle w:val="16"/>
      </w:pPr>
      <w:r>
        <w:rPr>
          <w:rFonts w:ascii="微软雅黑" w:hAnsi="微软雅黑" w:eastAsia="微软雅黑"/>
          <w:b/>
        </w:rPr>
        <w:t>引用</w:t>
      </w:r>
      <w:r>
        <w:rPr>
          <w:rFonts w:ascii="微软雅黑" w:hAnsi="微软雅黑" w:eastAsia="微软雅黑"/>
        </w:rPr>
        <w:t>：答案出处（文件名 + 页码），可溯源；</w:t>
      </w:r>
    </w:p>
    <w:p w14:paraId="35128D5A">
      <w:pPr>
        <w:pStyle w:val="16"/>
      </w:pPr>
      <w:r>
        <w:rPr>
          <w:rFonts w:ascii="微软雅黑" w:hAnsi="微软雅黑" w:eastAsia="微软雅黑"/>
          <w:b/>
        </w:rPr>
        <w:t>置信度</w:t>
      </w:r>
      <w:r>
        <w:rPr>
          <w:rFonts w:ascii="微软雅黑" w:hAnsi="微软雅黑" w:eastAsia="微软雅黑"/>
        </w:rPr>
        <w:t>：high / medium / low，辅助判断。</w:t>
      </w:r>
    </w:p>
    <w:p w14:paraId="0D8B3892">
      <w:pPr>
        <w:pStyle w:val="5"/>
      </w:pPr>
      <w:r>
        <w:rPr>
          <w:rFonts w:ascii="微软雅黑" w:hAnsi="微软雅黑" w:eastAsia="微软雅黑"/>
          <w:color w:val="1F4E79"/>
        </w:rPr>
        <w:t>2.3 定位（务必看清）</w:t>
      </w:r>
    </w:p>
    <w:p w14:paraId="4918D432">
      <w:r>
        <w:rPr>
          <w:rFonts w:ascii="微软雅黑" w:hAnsi="微软雅黑" w:eastAsia="微软雅黑"/>
        </w:rPr>
        <w:t>本工具是</w:t>
      </w:r>
      <w:r>
        <w:rPr>
          <w:rFonts w:ascii="微软雅黑" w:hAnsi="微软雅黑" w:eastAsia="微软雅黑"/>
          <w:b/>
        </w:rPr>
        <w:t>人工决策的辅助手段，不是替代</w:t>
      </w:r>
      <w:r>
        <w:rPr>
          <w:rFonts w:ascii="微软雅黑" w:hAnsi="微软雅黑" w:eastAsia="微软雅黑"/>
        </w:rPr>
        <w:t>。正式招投标场景，AI 输出</w:t>
      </w:r>
      <w:r>
        <w:rPr>
          <w:rFonts w:ascii="微软雅黑" w:hAnsi="微软雅黑" w:eastAsia="微软雅黑"/>
          <w:b/>
        </w:rPr>
        <w:t>仅供参考，须经人工复核</w:t>
      </w:r>
      <w:r>
        <w:rPr>
          <w:rFonts w:ascii="微软雅黑" w:hAnsi="微软雅黑" w:eastAsia="微软雅黑"/>
        </w:rPr>
        <w:t>（详见《安全与脱敏说明》）。</w:t>
      </w:r>
    </w:p>
    <w:p w14:paraId="252C11B4">
      <w:pPr>
        <w:pBdr>
          <w:bottom w:val="single" w:color="BBBBBB" w:sz="6" w:space="1"/>
        </w:pBdr>
      </w:pPr>
    </w:p>
    <w:p w14:paraId="25A22C9B">
      <w:pPr>
        <w:pStyle w:val="4"/>
      </w:pPr>
      <w:r>
        <w:rPr>
          <w:rFonts w:ascii="微软雅黑" w:hAnsi="微软雅黑" w:eastAsia="微软雅黑"/>
          <w:color w:val="1F4E79"/>
        </w:rPr>
        <w:t>3. 总体架构：RAG 五段链路</w:t>
      </w:r>
    </w:p>
    <w:p w14:paraId="60ADCDDB">
      <w:r>
        <w:drawing>
          <wp:inline distT="0" distB="0" distL="114300" distR="114300">
            <wp:extent cx="5476875" cy="17411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671E">
      <w:r>
        <w:rPr>
          <w:rFonts w:ascii="微软雅黑" w:hAnsi="微软雅黑" w:eastAsia="微软雅黑"/>
          <w:b/>
        </w:rPr>
        <w:t>核心思想（RAG = Retrieval-Augmented Generation）</w:t>
      </w:r>
      <w:r>
        <w:rPr>
          <w:rFonts w:ascii="微软雅黑" w:hAnsi="微软雅黑" w:eastAsia="微软雅黑"/>
        </w:rPr>
        <w:t>：</w:t>
      </w:r>
    </w:p>
    <w:p w14:paraId="7F5F7782">
      <w:r>
        <w:rPr>
          <w:rFonts w:ascii="微软雅黑" w:hAnsi="微软雅黑" w:eastAsia="微软雅黑"/>
        </w:rPr>
        <w:t>不让大模型"凭记忆"答题，而是先</w:t>
      </w:r>
      <w:r>
        <w:rPr>
          <w:rFonts w:ascii="微软雅黑" w:hAnsi="微软雅黑" w:eastAsia="微软雅黑"/>
          <w:b/>
        </w:rPr>
        <w:t>从知识库里找出相关原文</w:t>
      </w:r>
      <w:r>
        <w:rPr>
          <w:rFonts w:ascii="微软雅黑" w:hAnsi="微软雅黑" w:eastAsia="微软雅黑"/>
        </w:rPr>
        <w:t>，再把原文喂给大模型</w:t>
      </w:r>
      <w:r>
        <w:rPr>
          <w:rFonts w:ascii="微软雅黑" w:hAnsi="微软雅黑" w:eastAsia="微软雅黑"/>
          <w:b/>
        </w:rPr>
        <w:t>基于材料作答</w:t>
      </w:r>
      <w:r>
        <w:rPr>
          <w:rFonts w:ascii="微软雅黑" w:hAnsi="微软雅黑" w:eastAsia="微软雅黑"/>
        </w:rPr>
        <w:t>。这样既能回答私有/最新文档里的问题，又能通过"引用"让答案可溯源、可</w:t>
      </w:r>
      <w:r>
        <w:rPr>
          <w:rFonts w:hint="eastAsia"/>
          <w:lang w:val="en-US" w:eastAsia="zh-CN"/>
        </w:rPr>
        <w:t>纠偏</w:t>
      </w:r>
      <w:bookmarkStart w:id="0" w:name="_GoBack"/>
      <w:bookmarkEnd w:id="0"/>
      <w:r>
        <w:rPr>
          <w:rFonts w:ascii="微软雅黑" w:hAnsi="微软雅黑" w:eastAsia="微软雅黑"/>
        </w:rPr>
        <w:t>。</w:t>
      </w:r>
    </w:p>
    <w:p w14:paraId="58A10C7D">
      <w:pPr>
        <w:pBdr>
          <w:bottom w:val="single" w:color="BBBBBB" w:sz="6" w:space="1"/>
        </w:pBdr>
      </w:pPr>
    </w:p>
    <w:p w14:paraId="41F8B82A">
      <w:pPr>
        <w:pStyle w:val="4"/>
      </w:pPr>
      <w:r>
        <w:rPr>
          <w:rFonts w:ascii="微软雅黑" w:hAnsi="微软雅黑" w:eastAsia="微软雅黑"/>
          <w:color w:val="1F4E79"/>
        </w:rPr>
        <w:t>4. 模块职责边界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734E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805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w="2160" w:type="dxa"/>
          </w:tcPr>
          <w:p w14:paraId="53BB07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w="2160" w:type="dxa"/>
          </w:tcPr>
          <w:p w14:paraId="633B3A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职责</w:t>
            </w:r>
          </w:p>
        </w:tc>
        <w:tc>
          <w:tcPr>
            <w:tcW w:w="2160" w:type="dxa"/>
          </w:tcPr>
          <w:p w14:paraId="2496AB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是否依赖外部 API</w:t>
            </w:r>
          </w:p>
        </w:tc>
      </w:tr>
      <w:tr w14:paraId="222056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34717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config.py</w:t>
            </w:r>
          </w:p>
        </w:tc>
        <w:tc>
          <w:tcPr>
            <w:tcW w:w="2160" w:type="dxa"/>
          </w:tcPr>
          <w:p w14:paraId="4C4089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配置中心</w:t>
            </w:r>
          </w:p>
        </w:tc>
        <w:tc>
          <w:tcPr>
            <w:tcW w:w="2160" w:type="dxa"/>
          </w:tcPr>
          <w:p w14:paraId="3ED845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所有可调参数（路径/模型名/检索参数）外置，业务代码零硬编码</w:t>
            </w:r>
          </w:p>
        </w:tc>
        <w:tc>
          <w:tcPr>
            <w:tcW w:w="2160" w:type="dxa"/>
          </w:tcPr>
          <w:p w14:paraId="45C4F0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</w:t>
            </w:r>
          </w:p>
        </w:tc>
      </w:tr>
      <w:tr w14:paraId="6BE2F6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FAECB4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model_client.py</w:t>
            </w:r>
          </w:p>
        </w:tc>
        <w:tc>
          <w:tcPr>
            <w:tcW w:w="2160" w:type="dxa"/>
          </w:tcPr>
          <w:p w14:paraId="58FBC5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模型适配层</w:t>
            </w:r>
          </w:p>
        </w:tc>
        <w:tc>
          <w:tcPr>
            <w:tcW w:w="2160" w:type="dxa"/>
          </w:tcPr>
          <w:p w14:paraId="790D5F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封装 Embedding / Rerank / Chat(JSON) 三类调用，统一重试与兜底</w:t>
            </w:r>
          </w:p>
        </w:tc>
        <w:tc>
          <w:tcPr>
            <w:tcW w:w="2160" w:type="dxa"/>
          </w:tcPr>
          <w:p w14:paraId="391C2E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是</w:t>
            </w:r>
          </w:p>
        </w:tc>
      </w:tr>
      <w:tr w14:paraId="2E1A2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0E1108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build_index.py</w:t>
            </w:r>
          </w:p>
        </w:tc>
        <w:tc>
          <w:tcPr>
            <w:tcW w:w="2160" w:type="dxa"/>
          </w:tcPr>
          <w:p w14:paraId="727BFA7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离线建库</w:t>
            </w:r>
          </w:p>
        </w:tc>
        <w:tc>
          <w:tcPr>
            <w:tcW w:w="2160" w:type="dxa"/>
          </w:tcPr>
          <w:p w14:paraId="615AC2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PDF→分块→向量化→写 FAISS 索引（一次性，跑完即关）</w:t>
            </w:r>
          </w:p>
        </w:tc>
        <w:tc>
          <w:tcPr>
            <w:tcW w:w="2160" w:type="dxa"/>
          </w:tcPr>
          <w:p w14:paraId="763077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是（仅 embedding）</w:t>
            </w:r>
          </w:p>
        </w:tc>
      </w:tr>
      <w:tr w14:paraId="77CA26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95F8D8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retriever.py</w:t>
            </w:r>
          </w:p>
        </w:tc>
        <w:tc>
          <w:tcPr>
            <w:tcW w:w="2160" w:type="dxa"/>
          </w:tcPr>
          <w:p w14:paraId="3F86311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在线检索</w:t>
            </w:r>
          </w:p>
        </w:tc>
        <w:tc>
          <w:tcPr>
            <w:tcW w:w="2160" w:type="dxa"/>
          </w:tcPr>
          <w:p w14:paraId="2A1CB20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加载索引，执行"向量粗筛→阈值→重排→Top-K"</w:t>
            </w:r>
          </w:p>
        </w:tc>
        <w:tc>
          <w:tcPr>
            <w:tcW w:w="2160" w:type="dxa"/>
          </w:tcPr>
          <w:p w14:paraId="24A11D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是（仅 rerank，可降级）</w:t>
            </w:r>
          </w:p>
        </w:tc>
      </w:tr>
      <w:tr w14:paraId="7C3D63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E70D52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generator.py</w:t>
            </w:r>
          </w:p>
        </w:tc>
        <w:tc>
          <w:tcPr>
            <w:tcW w:w="2160" w:type="dxa"/>
          </w:tcPr>
          <w:p w14:paraId="2F8D6E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在线生成</w:t>
            </w:r>
          </w:p>
        </w:tc>
        <w:tc>
          <w:tcPr>
            <w:tcW w:w="2160" w:type="dxa"/>
          </w:tcPr>
          <w:p w14:paraId="4818BE3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把召回段落拼进 prompt，调 Chat 模型产出 JSON 答案</w:t>
            </w:r>
          </w:p>
        </w:tc>
        <w:tc>
          <w:tcPr>
            <w:tcW w:w="2160" w:type="dxa"/>
          </w:tcPr>
          <w:p w14:paraId="07994B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是（仅 chat）</w:t>
            </w:r>
          </w:p>
        </w:tc>
      </w:tr>
      <w:tr w14:paraId="5D1352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978DEF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app.py</w:t>
            </w:r>
          </w:p>
        </w:tc>
        <w:tc>
          <w:tcPr>
            <w:tcW w:w="2160" w:type="dxa"/>
          </w:tcPr>
          <w:p w14:paraId="5BF30F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交互层</w:t>
            </w:r>
          </w:p>
        </w:tc>
        <w:tc>
          <w:tcPr>
            <w:tcW w:w="2160" w:type="dxa"/>
          </w:tcPr>
          <w:p w14:paraId="1C4CE8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Streamlit UI：对话、引用展开、可调参数、跨轮记忆</w:t>
            </w:r>
          </w:p>
        </w:tc>
        <w:tc>
          <w:tcPr>
            <w:tcW w:w="2160" w:type="dxa"/>
          </w:tcPr>
          <w:p w14:paraId="6C5BC0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否（调用上述模块）</w:t>
            </w:r>
          </w:p>
        </w:tc>
      </w:tr>
    </w:tbl>
    <w:p w14:paraId="42FFE5A5"/>
    <w:p w14:paraId="6F2EFE00">
      <w:r>
        <w:rPr>
          <w:rFonts w:ascii="微软雅黑" w:hAnsi="微软雅黑" w:eastAsia="微软雅黑"/>
          <w:b/>
        </w:rPr>
        <w:t>设计原则</w:t>
      </w:r>
      <w:r>
        <w:rPr>
          <w:rFonts w:ascii="微软雅黑" w:hAnsi="微软雅黑" w:eastAsia="微软雅黑"/>
        </w:rPr>
        <w:t>：</w:t>
      </w:r>
    </w:p>
    <w:p w14:paraId="12DC6978">
      <w:pPr>
        <w:pStyle w:val="16"/>
      </w:pPr>
      <w:r>
        <w:rPr>
          <w:rFonts w:ascii="微软雅黑" w:hAnsi="微软雅黑" w:eastAsia="微软雅黑"/>
          <w:b/>
        </w:rPr>
        <w:t>离线 / 在线分离</w:t>
      </w:r>
      <w:r>
        <w:rPr>
          <w:rFonts w:ascii="微软雅黑" w:hAnsi="微软雅黑" w:eastAsia="微软雅黑"/>
        </w:rPr>
        <w:t>：建索引（慢、一次性）与检索生成（快、高频）解耦，索引文件与代码分离，便于更新与部署。</w:t>
      </w:r>
    </w:p>
    <w:p w14:paraId="66DBE308">
      <w:pPr>
        <w:pStyle w:val="16"/>
      </w:pPr>
      <w:r>
        <w:rPr>
          <w:rFonts w:ascii="微软雅黑" w:hAnsi="微软雅黑" w:eastAsia="微软雅黑"/>
          <w:b/>
        </w:rPr>
        <w:t>配置外置</w:t>
      </w:r>
      <w:r>
        <w:rPr>
          <w:rFonts w:ascii="微软雅黑" w:hAnsi="微软雅黑" w:eastAsia="微软雅黑"/>
        </w:rPr>
        <w:t xml:space="preserve">：换模型、换分块大小、换阈值都不动业务代码，只改 </w:t>
      </w:r>
      <w:r>
        <w:rPr>
          <w:rFonts w:ascii="Consolas" w:hAnsi="Consolas" w:eastAsia="Consolas"/>
        </w:rPr>
        <w:t>.env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</w:rPr>
        <w:t>config.py</w:t>
      </w:r>
      <w:r>
        <w:rPr>
          <w:rFonts w:ascii="微软雅黑" w:hAnsi="微软雅黑" w:eastAsia="微软雅黑"/>
        </w:rPr>
        <w:t>。</w:t>
      </w:r>
    </w:p>
    <w:p w14:paraId="6DB8B754">
      <w:pPr>
        <w:pStyle w:val="16"/>
      </w:pPr>
      <w:r>
        <w:rPr>
          <w:rFonts w:ascii="微软雅黑" w:hAnsi="微软雅黑" w:eastAsia="微软雅黑"/>
          <w:b/>
        </w:rPr>
        <w:t>适配层收敛</w:t>
      </w:r>
      <w:r>
        <w:rPr>
          <w:rFonts w:ascii="微软雅黑" w:hAnsi="微软雅黑" w:eastAsia="微软雅黑"/>
        </w:rPr>
        <w:t xml:space="preserve">：所有外部模型差异（ModelScope / Jina / 其他）封在 </w:t>
      </w:r>
      <w:r>
        <w:rPr>
          <w:rFonts w:ascii="Consolas" w:hAnsi="Consolas" w:eastAsia="Consolas"/>
        </w:rPr>
        <w:t>model_client.py</w:t>
      </w:r>
      <w:r>
        <w:rPr>
          <w:rFonts w:ascii="微软雅黑" w:hAnsi="微软雅黑" w:eastAsia="微软雅黑"/>
        </w:rPr>
        <w:t>，上层无感知。</w:t>
      </w:r>
    </w:p>
    <w:p w14:paraId="2B27E72B">
      <w:pPr>
        <w:pBdr>
          <w:bottom w:val="single" w:color="BBBBBB" w:sz="6" w:space="1"/>
        </w:pBdr>
      </w:pPr>
    </w:p>
    <w:p w14:paraId="50D2567C">
      <w:pPr>
        <w:pStyle w:val="4"/>
      </w:pPr>
      <w:r>
        <w:rPr>
          <w:rFonts w:ascii="微软雅黑" w:hAnsi="微软雅黑" w:eastAsia="微软雅黑"/>
          <w:color w:val="1F4E79"/>
        </w:rPr>
        <w:t>5. 关键选型与理由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125"/>
        <w:gridCol w:w="3395"/>
      </w:tblGrid>
      <w:tr w14:paraId="1C451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852A5D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决策点</w:t>
            </w:r>
          </w:p>
        </w:tc>
        <w:tc>
          <w:tcPr>
            <w:tcW w:w="3125" w:type="dxa"/>
          </w:tcPr>
          <w:p w14:paraId="3F4F21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选择</w:t>
            </w:r>
          </w:p>
        </w:tc>
        <w:tc>
          <w:tcPr>
            <w:tcW w:w="3395" w:type="dxa"/>
          </w:tcPr>
          <w:p w14:paraId="0DE97C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理由</w:t>
            </w:r>
          </w:p>
        </w:tc>
      </w:tr>
      <w:tr w14:paraId="58357A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010AFA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模型服务平台</w:t>
            </w:r>
          </w:p>
        </w:tc>
        <w:tc>
          <w:tcPr>
            <w:tcW w:w="3125" w:type="dxa"/>
          </w:tcPr>
          <w:p w14:paraId="0D2845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魔搭 ModelScope API-Inference</w:t>
            </w:r>
          </w:p>
        </w:tc>
        <w:tc>
          <w:tcPr>
            <w:tcW w:w="3395" w:type="dxa"/>
          </w:tcPr>
          <w:p w14:paraId="253193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OpenAI 兼容协议，免本地部署，每天免费 2000 次调用，适合 Demo / 教学</w:t>
            </w:r>
          </w:p>
        </w:tc>
      </w:tr>
      <w:tr w14:paraId="18B99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04954E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Embedding 模型</w:t>
            </w:r>
          </w:p>
        </w:tc>
        <w:tc>
          <w:tcPr>
            <w:tcW w:w="3125" w:type="dxa"/>
          </w:tcPr>
          <w:p w14:paraId="77333A2C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Qwen/Qwen3-Embedding-0.6B</w:t>
            </w:r>
          </w:p>
        </w:tc>
        <w:tc>
          <w:tcPr>
            <w:tcW w:w="3395" w:type="dxa"/>
          </w:tcPr>
          <w:p w14:paraId="641E9D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维度 1024，中文效果好、体积小、速度快；输出已归一化，内积≈余弦相似度</w:t>
            </w:r>
          </w:p>
        </w:tc>
      </w:tr>
      <w:tr w14:paraId="7D2C8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921D2C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Rerank 模型</w:t>
            </w:r>
          </w:p>
        </w:tc>
        <w:tc>
          <w:tcPr>
            <w:tcW w:w="3125" w:type="dxa"/>
          </w:tcPr>
          <w:p w14:paraId="6A57F9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Jina Rerank</w:t>
            </w:r>
            <w:r>
              <w:rPr>
                <w:rFonts w:ascii="微软雅黑" w:hAnsi="微软雅黑" w:eastAsia="微软雅黑"/>
              </w:rPr>
              <w:t>（</w:t>
            </w:r>
            <w:r>
              <w:rPr>
                <w:rFonts w:ascii="Consolas" w:hAnsi="Consolas" w:eastAsia="Consolas"/>
              </w:rPr>
              <w:t>jina-reranker-v2-base-multilingual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w="3395" w:type="dxa"/>
          </w:tcPr>
          <w:p w14:paraId="3AC29B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实测 ModelScope 网关</w:t>
            </w:r>
            <w:r>
              <w:rPr>
                <w:rFonts w:ascii="微软雅黑" w:hAnsi="微软雅黑" w:eastAsia="微软雅黑"/>
                <w:b/>
              </w:rPr>
              <w:t>无 `/rerank` 路由</w:t>
            </w:r>
            <w:r>
              <w:rPr>
                <w:rFonts w:ascii="微软雅黑" w:hAnsi="微软雅黑" w:eastAsia="微软雅黑"/>
              </w:rPr>
              <w:t>（404），Jina 免费额度、多语言、OpenAI 兼容，作精排补位</w:t>
            </w:r>
          </w:p>
        </w:tc>
      </w:tr>
      <w:tr w14:paraId="1590B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1B36889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生成模型</w:t>
            </w:r>
          </w:p>
        </w:tc>
        <w:tc>
          <w:tcPr>
            <w:tcW w:w="3125" w:type="dxa"/>
          </w:tcPr>
          <w:p w14:paraId="389DCC20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Qwen/Qwen3-8B</w:t>
            </w:r>
          </w:p>
        </w:tc>
        <w:tc>
          <w:tcPr>
            <w:tcW w:w="3395" w:type="dxa"/>
          </w:tcPr>
          <w:p w14:paraId="1EE29E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指令遵循强，支持强制 JSON 输出</w:t>
            </w:r>
          </w:p>
        </w:tc>
      </w:tr>
      <w:tr w14:paraId="129408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5B2E4A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向量库</w:t>
            </w:r>
          </w:p>
        </w:tc>
        <w:tc>
          <w:tcPr>
            <w:tcW w:w="3125" w:type="dxa"/>
          </w:tcPr>
          <w:p w14:paraId="6D6735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FAISS</w:t>
            </w:r>
            <w:r>
              <w:rPr>
                <w:rFonts w:ascii="微软雅黑" w:hAnsi="微软雅黑" w:eastAsia="微软雅黑"/>
              </w:rPr>
              <w:t>（本地）</w:t>
            </w:r>
          </w:p>
        </w:tc>
        <w:tc>
          <w:tcPr>
            <w:tcW w:w="3395" w:type="dxa"/>
          </w:tcPr>
          <w:p w14:paraId="7160971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轻量、零外部依赖、索引文件可直接随包分发</w:t>
            </w:r>
          </w:p>
        </w:tc>
      </w:tr>
      <w:tr w14:paraId="07B80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45C8FD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分块策略</w:t>
            </w:r>
          </w:p>
        </w:tc>
        <w:tc>
          <w:tcPr>
            <w:tcW w:w="3125" w:type="dxa"/>
          </w:tcPr>
          <w:p w14:paraId="4CC13A0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按"。"切分 + 滑动重叠 80 字</w:t>
            </w:r>
          </w:p>
        </w:tc>
        <w:tc>
          <w:tcPr>
            <w:tcW w:w="3395" w:type="dxa"/>
          </w:tcPr>
          <w:p w14:paraId="406881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避免把"投标人资格要求"这类条款从中间切断，重叠缓解边界信息丢失</w:t>
            </w:r>
          </w:p>
        </w:tc>
      </w:tr>
      <w:tr w14:paraId="36B05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17E0B8E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输出格式</w:t>
            </w:r>
          </w:p>
        </w:tc>
        <w:tc>
          <w:tcPr>
            <w:tcW w:w="3125" w:type="dxa"/>
          </w:tcPr>
          <w:p w14:paraId="04F14B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强制 JSON（答案/引用/置信度）</w:t>
            </w:r>
          </w:p>
        </w:tc>
        <w:tc>
          <w:tcPr>
            <w:tcW w:w="3395" w:type="dxa"/>
          </w:tcPr>
          <w:p w14:paraId="02A06C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结构化，前端好展示、好做引用跳转、好统计</w:t>
            </w:r>
          </w:p>
        </w:tc>
      </w:tr>
      <w:tr w14:paraId="2B8BFC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777C3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UI 框架</w:t>
            </w:r>
          </w:p>
        </w:tc>
        <w:tc>
          <w:tcPr>
            <w:tcW w:w="3125" w:type="dxa"/>
          </w:tcPr>
          <w:p w14:paraId="1BE2EC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Streamlit</w:t>
            </w:r>
          </w:p>
        </w:tc>
        <w:tc>
          <w:tcPr>
            <w:tcW w:w="3395" w:type="dxa"/>
          </w:tcPr>
          <w:p w14:paraId="76DBAD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纯 Python 写界面，几行代码出可交互页面，适合快速演示</w:t>
            </w:r>
          </w:p>
        </w:tc>
      </w:tr>
    </w:tbl>
    <w:p w14:paraId="7F0F5D0F"/>
    <w:p w14:paraId="2AB0C241">
      <w:pPr>
        <w:pBdr>
          <w:bottom w:val="single" w:color="BBBBBB" w:sz="6" w:space="1"/>
        </w:pBdr>
      </w:pPr>
    </w:p>
    <w:p w14:paraId="19276C2D">
      <w:pPr>
        <w:pStyle w:val="4"/>
      </w:pPr>
      <w:r>
        <w:rPr>
          <w:rFonts w:ascii="微软雅黑" w:hAnsi="微软雅黑" w:eastAsia="微软雅黑"/>
          <w:color w:val="1F4E79"/>
        </w:rPr>
        <w:t>6. 参数设计依据（config.py / .env）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1213"/>
        <w:gridCol w:w="5157"/>
      </w:tblGrid>
      <w:tr w14:paraId="6F6481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7A343C4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w="1213" w:type="dxa"/>
          </w:tcPr>
          <w:p w14:paraId="585C76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默认</w:t>
            </w:r>
          </w:p>
        </w:tc>
        <w:tc>
          <w:tcPr>
            <w:tcW w:w="5157" w:type="dxa"/>
          </w:tcPr>
          <w:p w14:paraId="424AF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取值依据</w:t>
            </w:r>
          </w:p>
        </w:tc>
      </w:tr>
      <w:tr w14:paraId="481119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2A38B3DA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CHUNK_SIZE</w:t>
            </w:r>
          </w:p>
        </w:tc>
        <w:tc>
          <w:tcPr>
            <w:tcW w:w="1213" w:type="dxa"/>
          </w:tcPr>
          <w:p w14:paraId="6EFD52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500 字</w:t>
            </w:r>
          </w:p>
        </w:tc>
        <w:tc>
          <w:tcPr>
            <w:tcW w:w="5157" w:type="dxa"/>
          </w:tcPr>
          <w:p w14:paraId="553CFA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招标条款单条多在 100–400 字，500 字容纳一条完整条款且不过长导致噪声</w:t>
            </w:r>
          </w:p>
        </w:tc>
      </w:tr>
      <w:tr w14:paraId="5BA9C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59C4A831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CHUNK_OVERLAP</w:t>
            </w:r>
          </w:p>
        </w:tc>
        <w:tc>
          <w:tcPr>
            <w:tcW w:w="1213" w:type="dxa"/>
          </w:tcPr>
          <w:p w14:paraId="42951D1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80 字</w:t>
            </w:r>
          </w:p>
        </w:tc>
        <w:tc>
          <w:tcPr>
            <w:tcW w:w="5157" w:type="dxa"/>
          </w:tcPr>
          <w:p w14:paraId="1E10B4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约 16% 重叠，平衡"不断裂"与"不冗余"</w:t>
            </w:r>
          </w:p>
        </w:tc>
      </w:tr>
      <w:tr w14:paraId="03FCC1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1E7CFD94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COARSE_K</w:t>
            </w:r>
          </w:p>
        </w:tc>
        <w:tc>
          <w:tcPr>
            <w:tcW w:w="1213" w:type="dxa"/>
          </w:tcPr>
          <w:p w14:paraId="60DA6B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</w:t>
            </w:r>
          </w:p>
        </w:tc>
        <w:tc>
          <w:tcPr>
            <w:tcW w:w="5157" w:type="dxa"/>
          </w:tcPr>
          <w:p w14:paraId="240F06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粗筛召回 20 个候选，给重排留出充分挑选空间</w:t>
            </w:r>
          </w:p>
        </w:tc>
      </w:tr>
      <w:tr w14:paraId="6D5287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1C7AAE7D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TOP_K</w:t>
            </w:r>
          </w:p>
        </w:tc>
        <w:tc>
          <w:tcPr>
            <w:tcW w:w="1213" w:type="dxa"/>
          </w:tcPr>
          <w:p w14:paraId="6D99D3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5157" w:type="dxa"/>
          </w:tcPr>
          <w:p w14:paraId="1AAD66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精排后取 5 段喂给大模型：足够上下文，又不撑爆 prompt、不引入无关噪声</w:t>
            </w:r>
          </w:p>
        </w:tc>
      </w:tr>
      <w:tr w14:paraId="358E8F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0" w:type="dxa"/>
          </w:tcPr>
          <w:p w14:paraId="75B98043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SIM_THRESHOLD</w:t>
            </w:r>
          </w:p>
        </w:tc>
        <w:tc>
          <w:tcPr>
            <w:tcW w:w="1213" w:type="dxa"/>
          </w:tcPr>
          <w:p w14:paraId="2729DA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0.4</w:t>
            </w:r>
          </w:p>
        </w:tc>
        <w:tc>
          <w:tcPr>
            <w:tcW w:w="5157" w:type="dxa"/>
          </w:tcPr>
          <w:p w14:paraId="2CCA1C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余弦相似度低于此值视为"未命中"，触发"文档中未提及"而非硬编</w:t>
            </w:r>
          </w:p>
        </w:tc>
      </w:tr>
    </w:tbl>
    <w:p w14:paraId="374B3687"/>
    <w:p w14:paraId="58C85EFC">
      <w:pPr>
        <w:shd w:val="clear" w:color="auto" w:fill="EAF1F8"/>
        <w:ind w:left="432"/>
      </w:pPr>
      <w:r>
        <w:rPr>
          <w:rFonts w:ascii="微软雅黑" w:hAnsi="微软雅黑" w:eastAsia="微软雅黑"/>
        </w:rPr>
        <w:t>上述值为教学/仿真数据下调优所得，真实海量标书需按召回率实测再调。</w:t>
      </w:r>
    </w:p>
    <w:p w14:paraId="05999E07">
      <w:pPr>
        <w:pBdr>
          <w:bottom w:val="single" w:color="BBBBBB" w:sz="6" w:space="1"/>
        </w:pBdr>
      </w:pPr>
    </w:p>
    <w:p w14:paraId="5B6017E9">
      <w:pPr>
        <w:pStyle w:val="4"/>
      </w:pPr>
      <w:r>
        <w:rPr>
          <w:rFonts w:ascii="微软雅黑" w:hAnsi="微软雅黑" w:eastAsia="微软雅黑"/>
          <w:color w:val="1F4E79"/>
        </w:rPr>
        <w:t>7. 可移植性与脱敏设计</w:t>
      </w:r>
    </w:p>
    <w:p w14:paraId="6EFA4AF3">
      <w:r>
        <w:rPr>
          <w:rFonts w:ascii="微软雅黑" w:hAnsi="微软雅黑" w:eastAsia="微软雅黑"/>
          <w:b/>
        </w:rPr>
        <w:t>可移植性 7 条规矩（FDE 基本功）</w:t>
      </w:r>
      <w:r>
        <w:rPr>
          <w:rFonts w:ascii="微软雅黑" w:hAnsi="微软雅黑" w:eastAsia="微软雅黑"/>
        </w:rPr>
        <w:t>：Key 走环境变量 · 路径全相对 · 依赖锁版本 · 索引与代码分离 · 参数外置 · 网络失败兜底 · 启动一行命令。</w:t>
      </w:r>
    </w:p>
    <w:p w14:paraId="702DE8FF">
      <w:r>
        <w:rPr>
          <w:rFonts w:ascii="微软雅黑" w:hAnsi="微软雅黑" w:eastAsia="微软雅黑"/>
          <w:b/>
        </w:rPr>
        <w:t>脱敏设计</w:t>
      </w:r>
      <w:r>
        <w:rPr>
          <w:rFonts w:ascii="微软雅黑" w:hAnsi="微软雅黑" w:eastAsia="微软雅黑"/>
        </w:rPr>
        <w:t>：本 Demo 的 3 个标书均为</w:t>
      </w:r>
      <w:r>
        <w:rPr>
          <w:rFonts w:ascii="微软雅黑" w:hAnsi="微软雅黑" w:eastAsia="微软雅黑"/>
          <w:b/>
        </w:rPr>
        <w:t>虚构仿真样本</w:t>
      </w:r>
      <w:r>
        <w:rPr>
          <w:rFonts w:ascii="微软雅黑" w:hAnsi="微软雅黑" w:eastAsia="微软雅黑"/>
        </w:rPr>
        <w:t>（文末自带"本文件为测试用仿真样本，数据均为虚构"声明），统一使用"某单位"代指，不含任何真实主体、金额、时间。可直接用于公开演示与教学，无泄密风险。真实数据接入规范见《安全与脱敏说明》。</w:t>
      </w:r>
    </w:p>
    <w:p w14:paraId="6D7D52B2">
      <w:pPr>
        <w:pBdr>
          <w:bottom w:val="single" w:color="BBBBBB" w:sz="6" w:space="1"/>
        </w:pBdr>
      </w:pPr>
    </w:p>
    <w:p w14:paraId="3220A863">
      <w:pPr>
        <w:pStyle w:val="4"/>
      </w:pPr>
      <w:r>
        <w:rPr>
          <w:rFonts w:ascii="微软雅黑" w:hAnsi="微软雅黑" w:eastAsia="微软雅黑"/>
          <w:color w:val="1F4E79"/>
        </w:rPr>
        <w:t>8. 已知限制</w:t>
      </w:r>
    </w:p>
    <w:p w14:paraId="4ED2C4C5">
      <w:pPr>
        <w:pStyle w:val="14"/>
      </w:pPr>
      <w:r>
        <w:rPr>
          <w:rFonts w:ascii="微软雅黑" w:hAnsi="微软雅黑" w:eastAsia="微软雅黑"/>
          <w:b/>
        </w:rPr>
        <w:t>重排依赖外部网络</w:t>
      </w:r>
      <w:r>
        <w:rPr>
          <w:rFonts w:ascii="微软雅黑" w:hAnsi="微软雅黑" w:eastAsia="微软雅黑"/>
        </w:rPr>
        <w:t>：Jina 偶发抖动会回退"向量相似度排序"，主流程不受影响（已实测验证）。</w:t>
      </w:r>
    </w:p>
    <w:p w14:paraId="6BDB2C52">
      <w:pPr>
        <w:pStyle w:val="14"/>
      </w:pPr>
      <w:r>
        <w:rPr>
          <w:rFonts w:ascii="微软雅黑" w:hAnsi="微软雅黑" w:eastAsia="微软雅黑"/>
          <w:b/>
        </w:rPr>
        <w:t>仅中文、仅已索引文档</w:t>
      </w:r>
      <w:r>
        <w:rPr>
          <w:rFonts w:ascii="微软雅黑" w:hAnsi="微软雅黑" w:eastAsia="微软雅黑"/>
        </w:rPr>
        <w:t>：未上传的标书、文档外常识性问题无法回答（按设计"不瞎编"）。</w:t>
      </w:r>
    </w:p>
    <w:p w14:paraId="4A1652F8">
      <w:pPr>
        <w:pStyle w:val="14"/>
      </w:pPr>
      <w:r>
        <w:rPr>
          <w:rFonts w:ascii="微软雅黑" w:hAnsi="微软雅黑" w:eastAsia="微软雅黑"/>
          <w:b/>
        </w:rPr>
        <w:t>不保证 100% 准确</w:t>
      </w:r>
      <w:r>
        <w:rPr>
          <w:rFonts w:ascii="微软雅黑" w:hAnsi="微软雅黑" w:eastAsia="微软雅黑"/>
        </w:rPr>
        <w:t>：分块边界、歧义问法、跨页条款仍可能误召回，需配合引用人工核对。</w:t>
      </w:r>
    </w:p>
    <w:p w14:paraId="1001F2D5">
      <w:pPr>
        <w:pStyle w:val="14"/>
      </w:pPr>
      <w:r>
        <w:rPr>
          <w:rFonts w:ascii="微软雅黑" w:hAnsi="微软雅黑" w:eastAsia="微软雅黑"/>
          <w:b/>
        </w:rPr>
        <w:t>无多轮语义压缩</w:t>
      </w:r>
      <w:r>
        <w:rPr>
          <w:rFonts w:ascii="微软雅黑" w:hAnsi="微软雅黑" w:eastAsia="微软雅黑"/>
        </w:rPr>
        <w:t>：当前 UI 的"记忆"仅拼接历史，未做长对话摘要，超长对话可能溢出上下文。</w:t>
      </w:r>
    </w:p>
    <w:p w14:paraId="71A3EDC4">
      <w:pPr>
        <w:pBdr>
          <w:bottom w:val="single" w:color="BBBBBB" w:sz="6" w:space="1"/>
        </w:pBdr>
      </w:pPr>
    </w:p>
    <w:p w14:paraId="1A2372E0">
      <w:pPr>
        <w:pStyle w:val="4"/>
      </w:pPr>
      <w:r>
        <w:rPr>
          <w:rFonts w:ascii="微软雅黑" w:hAnsi="微软雅黑" w:eastAsia="微软雅黑"/>
          <w:color w:val="1F4E79"/>
        </w:rPr>
        <w:t>9. 后续演进建议</w:t>
      </w:r>
    </w:p>
    <w:p w14:paraId="32F94DBE">
      <w:pPr>
        <w:pStyle w:val="16"/>
      </w:pPr>
      <w:r>
        <w:rPr>
          <w:rFonts w:ascii="微软雅黑" w:hAnsi="微软雅黑" w:eastAsia="微软雅黑"/>
        </w:rPr>
        <w:t>接入</w:t>
      </w:r>
      <w:r>
        <w:rPr>
          <w:rFonts w:ascii="微软雅黑" w:hAnsi="微软雅黑" w:eastAsia="微软雅黑"/>
          <w:b/>
        </w:rPr>
        <w:t>更大 Embedding / Reranker</w:t>
      </w:r>
      <w:r>
        <w:rPr>
          <w:rFonts w:ascii="微软雅黑" w:hAnsi="微软雅黑" w:eastAsia="微软雅黑"/>
        </w:rPr>
        <w:t xml:space="preserve"> 提升长文档召回；</w:t>
      </w:r>
    </w:p>
    <w:p w14:paraId="36F525C7">
      <w:pPr>
        <w:pStyle w:val="16"/>
      </w:pPr>
      <w:r>
        <w:rPr>
          <w:rFonts w:ascii="微软雅黑" w:hAnsi="微软雅黑" w:eastAsia="微软雅黑"/>
        </w:rPr>
        <w:t>增加</w:t>
      </w:r>
      <w:r>
        <w:rPr>
          <w:rFonts w:ascii="微软雅黑" w:hAnsi="微软雅黑" w:eastAsia="微软雅黑"/>
          <w:b/>
        </w:rPr>
        <w:t>表格 / 图片 OCR</w:t>
      </w:r>
      <w:r>
        <w:rPr>
          <w:rFonts w:ascii="微软雅黑" w:hAnsi="微软雅黑" w:eastAsia="微软雅黑"/>
        </w:rPr>
        <w:t xml:space="preserve"> 解析，覆盖标书里的资质表、评分表；</w:t>
      </w:r>
    </w:p>
    <w:p w14:paraId="6C36CF4E">
      <w:pPr>
        <w:pStyle w:val="16"/>
      </w:pPr>
      <w:r>
        <w:rPr>
          <w:rFonts w:ascii="微软雅黑" w:hAnsi="微软雅黑" w:eastAsia="微软雅黑"/>
        </w:rPr>
        <w:t>增加</w:t>
      </w:r>
      <w:r>
        <w:rPr>
          <w:rFonts w:ascii="微软雅黑" w:hAnsi="微软雅黑" w:eastAsia="微软雅黑"/>
          <w:b/>
        </w:rPr>
        <w:t>评估闭环</w:t>
      </w:r>
      <w:r>
        <w:rPr>
          <w:rFonts w:ascii="微软雅黑" w:hAnsi="微软雅黑" w:eastAsia="微软雅黑"/>
        </w:rPr>
        <w:t xml:space="preserve">：固化 </w:t>
      </w:r>
      <w:r>
        <w:rPr>
          <w:rFonts w:ascii="Consolas" w:hAnsi="Consolas" w:eastAsia="Consolas"/>
        </w:rPr>
        <w:t>eval_demo.py</w:t>
      </w:r>
      <w:r>
        <w:rPr>
          <w:rFonts w:ascii="微软雅黑" w:hAnsi="微软雅黑" w:eastAsia="微软雅黑"/>
        </w:rPr>
        <w:t>，每次改参后自动跑回归；</w:t>
      </w:r>
    </w:p>
    <w:p w14:paraId="34CD35A6">
      <w:pPr>
        <w:pStyle w:val="16"/>
      </w:pPr>
      <w:r>
        <w:rPr>
          <w:rFonts w:ascii="微软雅黑" w:hAnsi="微软雅黑" w:eastAsia="微软雅黑"/>
        </w:rPr>
        <w:t>真实场景增加</w:t>
      </w:r>
      <w:r>
        <w:rPr>
          <w:rFonts w:ascii="微软雅黑" w:hAnsi="微软雅黑" w:eastAsia="微软雅黑"/>
          <w:b/>
        </w:rPr>
        <w:t>权限与审计日志</w:t>
      </w:r>
      <w:r>
        <w:rPr>
          <w:rFonts w:ascii="微软雅黑" w:hAnsi="微软雅黑" w:eastAsia="微软雅黑"/>
        </w:rPr>
        <w:t>，满足合规。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4058E7"/>
    <w:rsid w:val="3E5250EC"/>
    <w:rsid w:val="55E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947</Words>
  <Characters>1437</Characters>
  <Lines>0</Lines>
  <Paragraphs>0</Paragraphs>
  <TotalTime>5</TotalTime>
  <ScaleCrop>false</ScaleCrop>
  <LinksUpToDate>false</LinksUpToDate>
  <CharactersWithSpaces>1558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爬树拱白菜</cp:lastModifiedBy>
  <dcterms:modified xsi:type="dcterms:W3CDTF">2026-08-25T11:57:32Z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eyJoZGlkIjoiYzRhM2UyZmNiNzBlNzYwZTFkMTQ1ZWFjZjQ4OTM4N2EiLCJ1c2VySWQiOiIxMzAxMzE0MzA0In0=</vt:lpwstr>
  </property>
  <property fmtid="{D5CDD505-2E9C-101B-9397-08002B2CF9AE}" pid="3" name="KSOProductBuildVer">
    <vt:lpwstr>2052-12.1.0.28043</vt:lpwstr>
  </property>
  <property fmtid="{D5CDD505-2E9C-101B-9397-08002B2CF9AE}" pid="4" name="ICV">
    <vt:lpwstr>65FA57476F6549F2AC96B1528A6EABF5_12</vt:lpwstr>
  </property>
</Properties>
</file>