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Noto Sans CJK SC" w:hAnsi="Noto Sans CJK SC" w:eastAsia="Noto Sans CJK SC"/>
          <w:b/>
          <w:color w:val="17324D"/>
          <w:sz w:val="54"/>
        </w:rPr>
        <w:t>新互联网协议套件工程规范</w:t>
      </w:r>
    </w:p>
    <w:p>
      <w:pPr>
        <w:jc w:val="center"/>
      </w:pPr>
      <w:r>
        <w:rPr>
          <w:rFonts w:ascii="Noto Sans CJK SC" w:hAnsi="Noto Sans CJK SC" w:eastAsia="Noto Sans CJK SC"/>
          <w:color w:val="5D6B78"/>
          <w:sz w:val="25"/>
        </w:rPr>
        <w:t>New Internet Protocol Suite Engineering Specification</w:t>
        <w:br/>
        <w:t>（新互联网协议套件工程规范）</w:t>
      </w:r>
    </w:p>
    <w:p>
      <w:pPr>
        <w:jc w:val="center"/>
      </w:pPr>
      <w:r>
        <w:rPr>
          <w:rFonts w:ascii="Noto Sans CJK SC" w:hAnsi="Noto Sans CJK SC" w:eastAsia="Noto Sans CJK SC"/>
          <w:b/>
          <w:color w:val="245B78"/>
          <w:sz w:val="23"/>
        </w:rPr>
        <w:t>v0.1｜基于《AI时代互联网宪法与基础架构定义 v0.2》的下位工程规范</w:t>
      </w:r>
    </w:p>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FF2CC"/>
            <w:tcMar>
              <w:top w:w="110" w:type="dxa"/>
              <w:bottom w:w="110" w:type="dxa"/>
              <w:start w:w="120" w:type="dxa"/>
              <w:end w:w="120" w:type="dxa"/>
            </w:tcMar>
            <w:tcBorders>
              <w:top w:val="single" w:sz="8" w:color="C99700"/>
              <w:left w:val="single" w:sz="8" w:color="C99700"/>
              <w:bottom w:val="single" w:sz="8" w:color="C99700"/>
              <w:right w:val="single" w:sz="8" w:color="C99700"/>
            </w:tcBorders>
          </w:tcPr>
          <w:p>
            <w:pPr>
              <w:spacing w:after="0"/>
              <w:jc w:val="center"/>
            </w:pPr>
            <w:r>
              <w:rPr>
                <w:rFonts w:ascii="Noto Sans CJK SC" w:hAnsi="Noto Sans CJK SC" w:eastAsia="Noto Sans CJK SC"/>
                <w:b/>
                <w:color w:val="17324D"/>
                <w:sz w:val="24"/>
              </w:rPr>
              <w:t>总判定器：军事级 × 商用级 × 生活化</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9F7EF"/>
            <w:tcMar>
              <w:top w:w="110" w:type="dxa"/>
              <w:bottom w:w="110" w:type="dxa"/>
              <w:start w:w="120" w:type="dxa"/>
              <w:end w:w="120" w:type="dxa"/>
            </w:tcMar>
            <w:tcBorders>
              <w:top w:val="single" w:sz="8" w:color="4A8C67"/>
              <w:left w:val="single" w:sz="8" w:color="4A8C67"/>
              <w:bottom w:val="single" w:sz="8" w:color="4A8C67"/>
              <w:right w:val="single" w:sz="8" w:color="4A8C67"/>
            </w:tcBorders>
          </w:tcPr>
          <w:p>
            <w:pPr>
              <w:spacing w:after="0"/>
              <w:jc w:val="center"/>
            </w:pPr>
            <w:r>
              <w:rPr>
                <w:rFonts w:ascii="Noto Sans CJK SC" w:hAnsi="Noto Sans CJK SC" w:eastAsia="Noto Sans CJK SC"/>
                <w:b/>
                <w:color w:val="17324D"/>
                <w:sz w:val="20"/>
              </w:rPr>
              <w:t>工程母命题：协议语义不等于线路编码；主体不等于节点；能力不等于 Provider（能力提供器）；软件本体不等于平台产物。</w:t>
            </w:r>
          </w:p>
        </w:tc>
      </w:tr>
    </w:tbl>
    <w:p/>
    <w:p>
      <w:pPr>
        <w:jc w:val="center"/>
      </w:pPr>
      <w:r>
        <w:rPr>
          <w:rFonts w:ascii="Noto Sans CJK SC" w:hAnsi="Noto Sans CJK SC" w:eastAsia="Noto Sans CJK SC"/>
          <w:color w:val="6B7280"/>
          <w:sz w:val="18"/>
        </w:rPr>
        <w:t>提出与架构主理：杜衡界</w:t>
        <w:br/>
        <w:t>协作编制：ChatGPT</w:t>
        <w:br/>
        <w:t>组织：道風悠遊科技有限公司</w:t>
        <w:br/>
        <w:t>日期：2026-09-10</w:t>
        <w:br/>
        <w:t>状态：ENGINEERING BASELINE / 工程基线候选</w:t>
      </w:r>
    </w:p>
    <w:p>
      <w:r>
        <w:br w:type="page"/>
      </w:r>
    </w:p>
    <w:p>
      <w:pPr>
        <w:pStyle w:val="Heading1"/>
      </w:pPr>
      <w:r>
        <w:t>0. 文档定位、效力与规范语言</w:t>
      </w:r>
    </w:p>
    <w:p>
      <w:r>
        <w:t>本文件是《AI时代互联网宪法与基础架构定义 v0.2》的下位工程规范。上位文档回答“为什么重构、按什么原则重构”；本文件回答“整个新互联网协议套件怎样拆分、共享语义、验证、版本化，并逐步落地”。</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AF2F8"/>
            <w:tcMar>
              <w:top w:w="110" w:type="dxa"/>
              <w:bottom w:w="110" w:type="dxa"/>
              <w:start w:w="120" w:type="dxa"/>
              <w:end w:w="120" w:type="dxa"/>
            </w:tcMar>
            <w:tcBorders>
              <w:top w:val="single" w:sz="8" w:color="5B9BD5"/>
              <w:left w:val="single" w:sz="8" w:color="5B9BD5"/>
              <w:bottom w:val="single" w:sz="8" w:color="5B9BD5"/>
              <w:right w:val="single" w:sz="8" w:color="5B9BD5"/>
            </w:tcBorders>
          </w:tcPr>
          <w:p>
            <w:pPr>
              <w:spacing w:after="0"/>
              <w:jc w:val="center"/>
            </w:pPr>
            <w:r>
              <w:rPr>
                <w:rFonts w:ascii="Noto Sans CJK SC" w:hAnsi="Noto Sans CJK SC" w:eastAsia="Noto Sans CJK SC"/>
                <w:b/>
                <w:color w:val="17324D"/>
                <w:sz w:val="20"/>
              </w:rPr>
              <w:t>本文件冻结的是协议套件的工程母版，而不是某一个具体协议的最终 RFC（征求意见稿 / 协议规范）。</w:t>
            </w:r>
          </w:p>
        </w:tc>
      </w:tr>
    </w:tbl>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324"/>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7"/>
              </w:rPr>
              <w:t>项目</w:t>
            </w:r>
          </w:p>
        </w:tc>
        <w:tc>
          <w:tcPr>
            <w:tcW w:type="dxa" w:w="7030"/>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7"/>
              </w:rPr>
              <w:t>定义</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7"/>
              </w:rPr>
              <w:t>上位基线</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7"/>
              </w:rPr>
              <w:t>《AI时代互联网宪法与基础架构定义 v0.2》</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7"/>
              </w:rPr>
              <w:t>当前实验基线</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7"/>
              </w:rPr>
              <w:t>TINP v0.2.0-alpha.1（道风意图原生网络协议实验实现）</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7"/>
              </w:rPr>
              <w:t>适用对象</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7"/>
              </w:rPr>
              <w:t>后续主体、寻址、发现、意图、能力、权限、证据、路由、会话、VPN、应用种子、运行时与旧网互操作协议</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7"/>
              </w:rPr>
              <w:t>不适用对象</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7"/>
              </w:rPr>
              <w:t>本文件暂不规定具体物理介质、芯片电气规范、生产密码算法或全球部署政策</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7"/>
              </w:rPr>
              <w:t>工程目标</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7"/>
              </w:rPr>
              <w:t>形成一套可以持续编译出多个协议、参考实现、一致性测试与证据账本的共同母版</w:t>
            </w:r>
          </w:p>
        </w:tc>
      </w:tr>
    </w:tbl>
    <w:p/>
    <w:p>
      <w:pPr>
        <w:pStyle w:val="Heading2"/>
      </w:pPr>
      <w:r>
        <w:t>0.1 规范词</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268"/>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7"/>
              </w:rPr>
              <w:t>规范词</w:t>
            </w:r>
          </w:p>
        </w:tc>
        <w:tc>
          <w:tcPr>
            <w:tcW w:type="dxa" w:w="7087"/>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7"/>
              </w:rPr>
              <w:t>含义</w:t>
            </w:r>
          </w:p>
        </w:tc>
      </w:tr>
      <w:tr>
        <w:trPr>
          <w:cantSplit w:val="true"/>
        </w:trPr>
        <w:tc>
          <w:tcPr>
            <w:tcW w:type="dxa" w:w="2268"/>
            <w:tcMar>
              <w:top w:w="80" w:type="dxa"/>
              <w:bottom w:w="80" w:type="dxa"/>
              <w:start w:w="95" w:type="dxa"/>
              <w:end w:w="95" w:type="dxa"/>
            </w:tcMar>
            <w:vAlign w:val="center"/>
          </w:tcPr>
          <w:p>
            <w:pPr>
              <w:spacing w:after="0"/>
            </w:pPr>
            <w:r/>
            <w:r>
              <w:rPr>
                <w:rFonts w:ascii="Noto Sans CJK SC" w:hAnsi="Noto Sans CJK SC" w:eastAsia="Noto Sans CJK SC"/>
                <w:b/>
                <w:sz w:val="17"/>
              </w:rPr>
              <w:t>必须（MUST）</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7"/>
              </w:rPr>
              <w:t>缺失即视为不符合本规范。</w:t>
            </w:r>
          </w:p>
        </w:tc>
      </w:tr>
      <w:tr>
        <w:trPr>
          <w:cantSplit w:val="true"/>
        </w:trPr>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sz w:val="17"/>
              </w:rPr>
              <w:t>不得（MUST NOT）</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7"/>
              </w:rPr>
              <w:t>出现即视为违反本规范。</w:t>
            </w:r>
          </w:p>
        </w:tc>
      </w:tr>
      <w:tr>
        <w:trPr>
          <w:cantSplit w:val="true"/>
        </w:trPr>
        <w:tc>
          <w:tcPr>
            <w:tcW w:type="dxa" w:w="2268"/>
            <w:tcMar>
              <w:top w:w="80" w:type="dxa"/>
              <w:bottom w:w="80" w:type="dxa"/>
              <w:start w:w="95" w:type="dxa"/>
              <w:end w:w="95" w:type="dxa"/>
            </w:tcMar>
            <w:vAlign w:val="center"/>
          </w:tcPr>
          <w:p>
            <w:pPr>
              <w:spacing w:after="0"/>
            </w:pPr>
            <w:r/>
            <w:r>
              <w:rPr>
                <w:rFonts w:ascii="Noto Sans CJK SC" w:hAnsi="Noto Sans CJK SC" w:eastAsia="Noto Sans CJK SC"/>
                <w:b/>
                <w:sz w:val="17"/>
              </w:rPr>
              <w:t>应该（SHOULD）</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7"/>
              </w:rPr>
              <w:t>默认满足；偏离时必须记录工程理由。</w:t>
            </w:r>
          </w:p>
        </w:tc>
      </w:tr>
      <w:tr>
        <w:trPr>
          <w:cantSplit w:val="true"/>
        </w:trPr>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sz w:val="17"/>
              </w:rPr>
              <w:t>不应该（SHOULD NOT）</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7"/>
              </w:rPr>
              <w:t>默认禁止；采用时必须记录风险和退出条件。</w:t>
            </w:r>
          </w:p>
        </w:tc>
      </w:tr>
      <w:tr>
        <w:trPr>
          <w:cantSplit w:val="true"/>
        </w:trPr>
        <w:tc>
          <w:tcPr>
            <w:tcW w:type="dxa" w:w="2268"/>
            <w:tcMar>
              <w:top w:w="80" w:type="dxa"/>
              <w:bottom w:w="80" w:type="dxa"/>
              <w:start w:w="95" w:type="dxa"/>
              <w:end w:w="95" w:type="dxa"/>
            </w:tcMar>
            <w:vAlign w:val="center"/>
          </w:tcPr>
          <w:p>
            <w:pPr>
              <w:spacing w:after="0"/>
            </w:pPr>
            <w:r/>
            <w:r>
              <w:rPr>
                <w:rFonts w:ascii="Noto Sans CJK SC" w:hAnsi="Noto Sans CJK SC" w:eastAsia="Noto Sans CJK SC"/>
                <w:b/>
                <w:sz w:val="17"/>
              </w:rPr>
              <w:t>可以（MAY）</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7"/>
              </w:rPr>
              <w:t>实现可选，不影响基础一致性。</w:t>
            </w:r>
          </w:p>
        </w:tc>
      </w:tr>
    </w:tbl>
    <w:p/>
    <w:p>
      <w:pPr>
        <w:pStyle w:val="Heading2"/>
      </w:pPr>
      <w:r>
        <w:t>0.2 源头问题</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现实使用摩擦</w:t>
            </w:r>
            <w:r>
              <w:br/>
            </w:r>
            <w:r>
              <w:rPr>
                <w:rFonts w:ascii="Liberation Mono" w:hAnsi="Liberation Mono" w:eastAsia="Liberation Mono"/>
                <w:sz w:val="16"/>
              </w:rPr>
              <w:t>↓</w:t>
            </w:r>
            <w:r>
              <w:br/>
            </w:r>
            <w:r>
              <w:rPr>
                <w:rFonts w:ascii="Liberation Mono" w:hAnsi="Liberation Mono" w:eastAsia="Liberation Mono"/>
                <w:sz w:val="16"/>
              </w:rPr>
              <w:t>浏览器过度分层、分裂、偏重</w:t>
            </w:r>
            <w:r>
              <w:br/>
            </w:r>
            <w:r>
              <w:rPr>
                <w:rFonts w:ascii="Liberation Mono" w:hAnsi="Liberation Mono" w:eastAsia="Liberation Mono"/>
                <w:sz w:val="16"/>
              </w:rPr>
              <w:t>↓</w:t>
            </w:r>
            <w:r>
              <w:br/>
            </w:r>
            <w:r>
              <w:rPr>
                <w:rFonts w:ascii="Liberation Mono" w:hAnsi="Liberation Mono" w:eastAsia="Liberation Mono"/>
                <w:sz w:val="16"/>
              </w:rPr>
              <w:t>软件生态默认设备持续追随技术升级</w:t>
            </w:r>
            <w:r>
              <w:br/>
            </w:r>
            <w:r>
              <w:rPr>
                <w:rFonts w:ascii="Liberation Mono" w:hAnsi="Liberation Mono" w:eastAsia="Liberation Mono"/>
                <w:sz w:val="16"/>
              </w:rPr>
              <w:t>↓</w:t>
            </w:r>
            <w:r>
              <w:br/>
            </w:r>
            <w:r>
              <w:rPr>
                <w:rFonts w:ascii="Liberation Mono" w:hAnsi="Liberation Mono" w:eastAsia="Liberation Mono"/>
                <w:sz w:val="16"/>
              </w:rPr>
              <w:t>APK / EXE / IPA 等平台运行与分发割裂</w:t>
            </w:r>
            <w:r>
              <w:br/>
            </w:r>
            <w:r>
              <w:rPr>
                <w:rFonts w:ascii="Liberation Mono" w:hAnsi="Liberation Mono" w:eastAsia="Liberation Mono"/>
                <w:sz w:val="16"/>
              </w:rPr>
              <w:t>↓</w:t>
            </w:r>
            <w:r>
              <w:br/>
            </w:r>
            <w:r>
              <w:rPr>
                <w:rFonts w:ascii="Liberation Mono" w:hAnsi="Liberation Mono" w:eastAsia="Liberation Mono"/>
                <w:sz w:val="16"/>
              </w:rPr>
              <w:t>复杂度被转嫁给用户、设备与开发者</w:t>
            </w:r>
            <w:r>
              <w:br/>
            </w:r>
            <w:r>
              <w:rPr>
                <w:rFonts w:ascii="Liberation Mono" w:hAnsi="Liberation Mono" w:eastAsia="Liberation Mono"/>
                <w:sz w:val="16"/>
              </w:rPr>
              <w:t>↓</w:t>
            </w:r>
            <w:r>
              <w:br/>
            </w:r>
            <w:r>
              <w:rPr>
                <w:rFonts w:ascii="Liberation Mono" w:hAnsi="Liberation Mono" w:eastAsia="Liberation Mono"/>
                <w:sz w:val="16"/>
              </w:rPr>
              <w:t>军事级 × 商用级 × 生活化</w:t>
            </w:r>
            <w:r>
              <w:br/>
            </w:r>
            <w:r>
              <w:rPr>
                <w:rFonts w:ascii="Liberation Mono" w:hAnsi="Liberation Mono" w:eastAsia="Liberation Mono"/>
                <w:sz w:val="16"/>
              </w:rPr>
              <w:t>↓</w:t>
            </w:r>
            <w:r>
              <w:br/>
            </w:r>
            <w:r>
              <w:rPr>
                <w:rFonts w:ascii="Liberation Mono" w:hAnsi="Liberation Mono" w:eastAsia="Liberation Mono"/>
                <w:sz w:val="16"/>
              </w:rPr>
              <w:t>重新定义网络、软件、运行时与应用存在方式</w:t>
            </w:r>
          </w:p>
        </w:tc>
      </w:tr>
    </w:tbl>
    <w:p/>
    <w:p>
      <w:r>
        <w:t>AI、Agent（智能体）、机器人与数字主体不是最初原因，而是将既有矛盾放大到不能继续忽略的加速器。</w:t>
      </w:r>
    </w:p>
    <w:p>
      <w:pPr>
        <w:pStyle w:val="Heading1"/>
        <w:pageBreakBefore/>
      </w:pPr>
      <w:r>
        <w:t>1. 总工程目标与非目标</w:t>
      </w:r>
    </w:p>
    <w:p>
      <w:pPr>
        <w:pStyle w:val="Heading2"/>
      </w:pPr>
      <w:r>
        <w:t>1.1 总目标</w:t>
      </w:r>
    </w:p>
    <w:p>
      <w:pPr>
        <w:pStyle w:val="ListBullet"/>
        <w:spacing w:after="50"/>
      </w:pPr>
      <w:r>
        <w:t>把 Subject（主体）、Intent（意图）、Capability（能力）、Authority（权限）、Sovereignty（主权）、Evidence（证据）、Trust（信任）、Continuity（连续性）、World（世界）、Resource（资源）和 Value（价值）提升为互联网可直接表达的原生对象。</w:t>
      </w:r>
    </w:p>
    <w:p>
      <w:pPr>
        <w:pStyle w:val="ListBullet"/>
        <w:spacing w:after="50"/>
      </w:pPr>
      <w:r>
        <w:t>让网络从“地址与端口之间传数据”升级为“主体在权限和现实约束下发现能力、协商执行、迁移会话并留下证据”。</w:t>
      </w:r>
    </w:p>
    <w:p>
      <w:pPr>
        <w:pStyle w:val="ListBullet"/>
        <w:spacing w:after="50"/>
      </w:pPr>
      <w:r>
        <w:t>让协议在旧设备、断网、低带宽、节点失效、供应商替换和多平台环境中能够渐进退化，而不是整体崩塌。</w:t>
      </w:r>
    </w:p>
    <w:p>
      <w:pPr>
        <w:pStyle w:val="ListBullet"/>
        <w:spacing w:after="50"/>
      </w:pPr>
      <w:r>
        <w:t>让商业治理、审计、服务等级、成本与责任进入机器可表达层。</w:t>
      </w:r>
    </w:p>
    <w:p>
      <w:pPr>
        <w:pStyle w:val="ListBullet"/>
        <w:spacing w:after="50"/>
      </w:pPr>
      <w:r>
        <w:t>让普通用户主要表达意图，不必理解 IP、端口、证书、代理、包格式、运行时与依赖树。</w:t>
      </w:r>
    </w:p>
    <w:p>
      <w:pPr>
        <w:pStyle w:val="Heading2"/>
      </w:pPr>
      <w:r>
        <w:t>1.2 非目标</w:t>
      </w:r>
    </w:p>
    <w:p>
      <w:pPr>
        <w:pStyle w:val="ListBullet"/>
        <w:spacing w:after="50"/>
      </w:pPr>
      <w:r>
        <w:t>v0.1 不尝试一次性替换 IPv4 / IPv6、TCP、UDP、QUIC、DNS、TLS 或 BGP（边界网关协议）。</w:t>
      </w:r>
    </w:p>
    <w:p>
      <w:pPr>
        <w:pStyle w:val="ListBullet"/>
        <w:spacing w:after="50"/>
      </w:pPr>
      <w:r>
        <w:t>v0.1 不自行发明未经长期密码分析的生产密码原语。</w:t>
      </w:r>
    </w:p>
    <w:p>
      <w:pPr>
        <w:pStyle w:val="ListBullet"/>
        <w:spacing w:after="50"/>
      </w:pPr>
      <w:r>
        <w:t>v0.1 不把 TINP 继续膨胀成包含全部网络职责的单体协议。</w:t>
      </w:r>
    </w:p>
    <w:p>
      <w:pPr>
        <w:pStyle w:val="ListBullet"/>
        <w:spacing w:after="50"/>
      </w:pPr>
      <w:r>
        <w:t>v0.1 不承诺当前参考实现已经达到军事部署、企业生产或全民基础设施成熟度。</w:t>
      </w:r>
    </w:p>
    <w:p>
      <w:pPr>
        <w:pStyle w:val="ListBullet"/>
        <w:spacing w:after="50"/>
      </w:pPr>
      <w:r>
        <w:t>v0.1 不将浏览器、应用种子、VPN 或通用运行时误当成同一个产品。</w:t>
      </w:r>
    </w:p>
    <w:p>
      <w:pPr>
        <w:pStyle w:val="Heading1"/>
      </w:pPr>
      <w:r>
        <w:t>2. 三种现实剖面：军事级、商用级、生活化</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2324"/>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5"/>
              </w:rPr>
              <w:t>剖面</w:t>
            </w:r>
          </w:p>
        </w:tc>
        <w:tc>
          <w:tcPr>
            <w:tcW w:type="dxa" w:w="209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5"/>
              </w:rPr>
              <w:t>工程问题</w:t>
            </w:r>
          </w:p>
        </w:tc>
        <w:tc>
          <w:tcPr>
            <w:tcW w:type="dxa" w:w="3742"/>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5"/>
              </w:rPr>
              <w:t>不可妥协要求</w:t>
            </w:r>
          </w:p>
        </w:tc>
        <w:tc>
          <w:tcPr>
            <w:tcW w:type="dxa" w:w="226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5"/>
              </w:rPr>
              <w:t>典型失败</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Military Profile（军事级剖面）</w:t>
            </w:r>
          </w:p>
        </w:tc>
        <w:tc>
          <w:tcPr>
            <w:tcW w:type="dxa" w:w="2098"/>
            <w:tcMar>
              <w:top w:w="80" w:type="dxa"/>
              <w:bottom w:w="80" w:type="dxa"/>
              <w:start w:w="95" w:type="dxa"/>
              <w:end w:w="95" w:type="dxa"/>
            </w:tcMar>
            <w:vAlign w:val="center"/>
          </w:tcPr>
          <w:p>
            <w:pPr>
              <w:spacing w:after="0"/>
            </w:pPr>
            <w:r/>
            <w:r>
              <w:rPr>
                <w:rFonts w:ascii="Noto Sans CJK SC" w:hAnsi="Noto Sans CJK SC" w:eastAsia="Noto Sans CJK SC"/>
                <w:b w:val="0"/>
                <w:sz w:val="15"/>
              </w:rPr>
              <w:t>环境恶化后还能不能活？</w:t>
            </w:r>
          </w:p>
        </w:tc>
        <w:tc>
          <w:tcPr>
            <w:tcW w:type="dxa" w:w="3742"/>
            <w:tcMar>
              <w:top w:w="80" w:type="dxa"/>
              <w:bottom w:w="80" w:type="dxa"/>
              <w:start w:w="95" w:type="dxa"/>
              <w:end w:w="95" w:type="dxa"/>
            </w:tcMar>
            <w:vAlign w:val="center"/>
          </w:tcPr>
          <w:p>
            <w:pPr>
              <w:spacing w:after="0"/>
            </w:pPr>
            <w:r/>
            <w:r>
              <w:rPr>
                <w:rFonts w:ascii="Noto Sans CJK SC" w:hAnsi="Noto Sans CJK SC" w:eastAsia="Noto Sans CJK SC"/>
                <w:b w:val="0"/>
                <w:sz w:val="15"/>
              </w:rPr>
              <w:t>断网、低带宽、旧设备、节点失效、中心不可达时保留最低核心能力；权限与证据不能因降级而失守。</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网络一差就完全不可用；中心失联即瘫痪。</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Commercial Profile（商用级剖面）</w:t>
            </w:r>
          </w:p>
        </w:tc>
        <w:tc>
          <w:tcPr>
            <w:tcW w:type="dxa" w:w="209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能否长期承担现实责任？</w:t>
            </w:r>
          </w:p>
        </w:tc>
        <w:tc>
          <w:tcPr>
            <w:tcW w:type="dxa" w:w="3742"/>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版本、迁移、回滚、审计、SLA（服务等级协议）、成本、许可、Provider 替换与责任链。</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升级爆炸、供应商锁死、责任不清。</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Life Profile（生活化剖面）</w:t>
            </w:r>
          </w:p>
        </w:tc>
        <w:tc>
          <w:tcPr>
            <w:tcW w:type="dxa" w:w="2098"/>
            <w:tcMar>
              <w:top w:w="80" w:type="dxa"/>
              <w:bottom w:w="80" w:type="dxa"/>
              <w:start w:w="95" w:type="dxa"/>
              <w:end w:w="95" w:type="dxa"/>
            </w:tcMar>
            <w:vAlign w:val="center"/>
          </w:tcPr>
          <w:p>
            <w:pPr>
              <w:spacing w:after="0"/>
            </w:pPr>
            <w:r/>
            <w:r>
              <w:rPr>
                <w:rFonts w:ascii="Noto Sans CJK SC" w:hAnsi="Noto Sans CJK SC" w:eastAsia="Noto Sans CJK SC"/>
                <w:b w:val="0"/>
                <w:sz w:val="15"/>
              </w:rPr>
              <w:t>普通人能否感觉不到技术复杂度？</w:t>
            </w:r>
          </w:p>
        </w:tc>
        <w:tc>
          <w:tcPr>
            <w:tcW w:type="dxa" w:w="3742"/>
            <w:tcMar>
              <w:top w:w="80" w:type="dxa"/>
              <w:bottom w:w="80" w:type="dxa"/>
              <w:start w:w="95" w:type="dxa"/>
              <w:end w:w="95" w:type="dxa"/>
            </w:tcMar>
            <w:vAlign w:val="center"/>
          </w:tcPr>
          <w:p>
            <w:pPr>
              <w:spacing w:after="0"/>
            </w:pPr>
            <w:r/>
            <w:r>
              <w:rPr>
                <w:rFonts w:ascii="Noto Sans CJK SC" w:hAnsi="Noto Sans CJK SC" w:eastAsia="Noto Sans CJK SC"/>
                <w:b w:val="0"/>
                <w:sz w:val="15"/>
              </w:rPr>
              <w:t>零配置优先、自动发现、自然语言权限、渐进披露、默认自恢复。</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用户必须懂端口、证书、包格式和环境配置。</w:t>
            </w:r>
          </w:p>
        </w:tc>
      </w:tr>
    </w:tbl>
    <w:p/>
    <w:p>
      <w:pPr>
        <w:pStyle w:val="Heading2"/>
      </w:pPr>
      <w:r>
        <w:t>2.1 退化等级</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13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等级</w:t>
            </w:r>
          </w:p>
        </w:tc>
        <w:tc>
          <w:tcPr>
            <w:tcW w:type="dxa" w:w="249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名称</w:t>
            </w:r>
          </w:p>
        </w:tc>
        <w:tc>
          <w:tcPr>
            <w:tcW w:type="dxa" w:w="6236"/>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行为</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D0</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6"/>
              </w:rPr>
              <w:t>Full（完整）</w:t>
            </w:r>
          </w:p>
        </w:tc>
        <w:tc>
          <w:tcPr>
            <w:tcW w:type="dxa" w:w="6236"/>
            <w:tcMar>
              <w:top w:w="80" w:type="dxa"/>
              <w:bottom w:w="80" w:type="dxa"/>
              <w:start w:w="95" w:type="dxa"/>
              <w:end w:w="95" w:type="dxa"/>
            </w:tcMar>
            <w:vAlign w:val="center"/>
          </w:tcPr>
          <w:p>
            <w:pPr>
              <w:spacing w:after="0"/>
            </w:pPr>
            <w:r/>
            <w:r>
              <w:rPr>
                <w:rFonts w:ascii="Noto Sans CJK SC" w:hAnsi="Noto Sans CJK SC" w:eastAsia="Noto Sans CJK SC"/>
                <w:b w:val="0"/>
                <w:sz w:val="16"/>
              </w:rPr>
              <w:t>所有能力、最佳路径和完整 Provider 集可用。</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D1</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Reduced（降级）</w:t>
            </w:r>
          </w:p>
        </w:tc>
        <w:tc>
          <w:tcPr>
            <w:tcW w:type="dxa" w:w="623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降低质量、频率、带宽或非关键能力；核心语义不变。</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D2</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6"/>
              </w:rPr>
              <w:t>Essential（核心）</w:t>
            </w:r>
          </w:p>
        </w:tc>
        <w:tc>
          <w:tcPr>
            <w:tcW w:type="dxa" w:w="6236"/>
            <w:tcMar>
              <w:top w:w="80" w:type="dxa"/>
              <w:bottom w:w="80" w:type="dxa"/>
              <w:start w:w="95" w:type="dxa"/>
              <w:end w:w="95" w:type="dxa"/>
            </w:tcMar>
            <w:vAlign w:val="center"/>
          </w:tcPr>
          <w:p>
            <w:pPr>
              <w:spacing w:after="0"/>
            </w:pPr>
            <w:r/>
            <w:r>
              <w:rPr>
                <w:rFonts w:ascii="Noto Sans CJK SC" w:hAnsi="Noto Sans CJK SC" w:eastAsia="Noto Sans CJK SC"/>
                <w:b w:val="0"/>
                <w:sz w:val="16"/>
              </w:rPr>
              <w:t>只保留任务关键能力、必要身份、权限、证据与最低交互。</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D3</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Survival（生存）</w:t>
            </w:r>
          </w:p>
        </w:tc>
        <w:tc>
          <w:tcPr>
            <w:tcW w:type="dxa" w:w="623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只保留主体连续性、必要授权、关键状态、最低传输和恢复锚点。</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D4</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6"/>
              </w:rPr>
              <w:t>Isolated（隔离）</w:t>
            </w:r>
          </w:p>
        </w:tc>
        <w:tc>
          <w:tcPr>
            <w:tcW w:type="dxa" w:w="6236"/>
            <w:tcMar>
              <w:top w:w="80" w:type="dxa"/>
              <w:bottom w:w="80" w:type="dxa"/>
              <w:start w:w="95" w:type="dxa"/>
              <w:end w:w="95" w:type="dxa"/>
            </w:tcMar>
            <w:vAlign w:val="center"/>
          </w:tcPr>
          <w:p>
            <w:pPr>
              <w:spacing w:after="0"/>
            </w:pPr>
            <w:r/>
            <w:r>
              <w:rPr>
                <w:rFonts w:ascii="Noto Sans CJK SC" w:hAnsi="Noto Sans CJK SC" w:eastAsia="Noto Sans CJK SC"/>
                <w:b w:val="0"/>
                <w:sz w:val="16"/>
              </w:rPr>
              <w:t>外部连接不可用；本地主体 / 世界继续运行，并积累待同步证据。</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DEDEC"/>
            <w:tcMar>
              <w:top w:w="110" w:type="dxa"/>
              <w:bottom w:w="110" w:type="dxa"/>
              <w:start w:w="120" w:type="dxa"/>
              <w:end w:w="120" w:type="dxa"/>
            </w:tcMar>
            <w:tcBorders>
              <w:top w:val="single" w:sz="8" w:color="B85450"/>
              <w:left w:val="single" w:sz="8" w:color="B85450"/>
              <w:bottom w:val="single" w:sz="8" w:color="B85450"/>
              <w:right w:val="single" w:sz="8" w:color="B85450"/>
            </w:tcBorders>
          </w:tcPr>
          <w:p>
            <w:pPr>
              <w:spacing w:after="0"/>
              <w:jc w:val="center"/>
            </w:pPr>
            <w:r>
              <w:rPr>
                <w:rFonts w:ascii="Noto Sans CJK SC" w:hAnsi="Noto Sans CJK SC" w:eastAsia="Noto Sans CJK SC"/>
                <w:b/>
                <w:color w:val="17324D"/>
                <w:sz w:val="20"/>
              </w:rPr>
              <w:t>退化只允许降低能力，不允许降低主权、权限边界和证据完整性的最低安全底线。</w:t>
            </w:r>
          </w:p>
        </w:tc>
      </w:tr>
    </w:tbl>
    <w:p/>
    <w:p>
      <w:pPr>
        <w:pStyle w:val="Heading1"/>
      </w:pPr>
      <w:r>
        <w:t>3. 新互联网协议套件总图</w:t>
      </w:r>
    </w:p>
    <w:p>
      <w:r>
        <w:t>协议套件以“共享语义 + 多个 Canonical Owner（规范所有者）+ 多种线路映射”为原则。同一语义只能有一个正式 Owner；协议之间通过共享对象和显式依赖组合，不得互相复制核心职责。</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624"/>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编号</w:t>
            </w:r>
          </w:p>
        </w:tc>
        <w:tc>
          <w:tcPr>
            <w:tcW w:type="dxa" w:w="243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协议域</w:t>
            </w:r>
          </w:p>
        </w:tc>
        <w:tc>
          <w:tcPr>
            <w:tcW w:type="dxa" w:w="2154"/>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Canonical Owner（规范所有权）</w:t>
            </w:r>
          </w:p>
        </w:tc>
        <w:tc>
          <w:tcPr>
            <w:tcW w:type="dxa" w:w="5102"/>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主要职责</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P00</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Shared Semantic Core（共享语义核心）</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共享语义规范</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跨协议原语、公共信封、版本、引用和不变量。</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P01</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Subject &amp; Identity（主体与身份）</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主体协议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主体连续性、身份声明、凭证绑定、代表关系。</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P02</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Naming &amp; Addressing（命名与寻址）</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寻址协议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主体、能力、世界、节点与服务的稳定引用。</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P03</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Discovery &amp; Presence（发现与存在）</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发现协议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节点、主体、能力、Provider 与状态存在性发现。</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P04</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Intent &amp; Capability Negotiation（意图与能力协商）</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意图 / 能力协议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任务意图、能力需求、Provider 候选和协商结果。</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P05</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Authority &amp; Sovereignty（权限与主权）</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权限 / 主权协议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授权、委托、租约、撤销、世界边界。</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P06</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Trust, Evidence &amp; Provenance（信任、证据与来源）</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证据协议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来源谱系、事件回执、可信状态与证据链。</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P07</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Routing &amp; Path Selection（路由与路径选择）</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路由协议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按时延、成本、权限、可信、地域、能耗和生存性选路。</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P08</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Session &amp; Continuity（会话与连续性）</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会话协议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重连、迁移、断网恢复、跨设备连续性。</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P09</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Transport Adaptation（传输适配）</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传输适配协议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映射 UDP / TCP / QUIC / WebSocket / 本地 IPC 等承载。</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P10</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Resource, SLA &amp; Value（资源、SLA 与价值）</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资源 / 商业协议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预算、配额、服务等级、计量、价格和商业责任。</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P11</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World &amp; Data Context（世界与数据上下文）</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世界 / 数据协议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世界归属、数据生命周期、上下文、同步策略。</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P12</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Application Seed（应用种子）</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应用种子协议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软件本体、能力需求、权限、降级、验证和分发。</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P13</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Runtime Capability &amp; Lowering（运行时能力与下沉编译）</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运行时协议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设备能力协商、Provider 解析、目标 Lowering（下沉编译）。</w:t>
            </w:r>
          </w:p>
        </w:tc>
      </w:tr>
      <w:tr>
        <w:trPr>
          <w:cantSplit w:val="true"/>
        </w:trPr>
        <w:tc>
          <w:tcPr>
            <w:tcW w:type="dxa" w:w="624"/>
            <w:tcMar>
              <w:top w:w="80" w:type="dxa"/>
              <w:bottom w:w="80" w:type="dxa"/>
              <w:start w:w="95" w:type="dxa"/>
              <w:end w:w="95" w:type="dxa"/>
            </w:tcMar>
            <w:vAlign w:val="center"/>
          </w:tcPr>
          <w:p>
            <w:pPr>
              <w:spacing w:after="0"/>
            </w:pPr>
            <w:r/>
            <w:r>
              <w:rPr>
                <w:rFonts w:ascii="Noto Sans CJK SC" w:hAnsi="Noto Sans CJK SC" w:eastAsia="Noto Sans CJK SC"/>
                <w:b/>
                <w:sz w:val="14"/>
              </w:rPr>
              <w:t>P14</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4"/>
              </w:rPr>
              <w:t>Private Network &amp; Isolation（私有网络与隔离）</w:t>
            </w:r>
          </w:p>
        </w:tc>
        <w:tc>
          <w:tcPr>
            <w:tcW w:type="dxa" w:w="2154"/>
            <w:tcMar>
              <w:top w:w="80" w:type="dxa"/>
              <w:bottom w:w="80" w:type="dxa"/>
              <w:start w:w="95" w:type="dxa"/>
              <w:end w:w="95" w:type="dxa"/>
            </w:tcMar>
            <w:vAlign w:val="center"/>
          </w:tcPr>
          <w:p>
            <w:pPr>
              <w:spacing w:after="0"/>
            </w:pPr>
            <w:r/>
            <w:r>
              <w:rPr>
                <w:rFonts w:ascii="Noto Sans CJK SC" w:hAnsi="Noto Sans CJK SC" w:eastAsia="Noto Sans CJK SC"/>
                <w:b w:val="0"/>
                <w:sz w:val="14"/>
              </w:rPr>
              <w:t>私网 / VPN 协议</w:t>
            </w:r>
          </w:p>
        </w:tc>
        <w:tc>
          <w:tcPr>
            <w:tcW w:type="dxa" w:w="5102"/>
            <w:tcMar>
              <w:top w:w="80" w:type="dxa"/>
              <w:bottom w:w="80" w:type="dxa"/>
              <w:start w:w="95" w:type="dxa"/>
              <w:end w:w="95" w:type="dxa"/>
            </w:tcMar>
            <w:vAlign w:val="center"/>
          </w:tcPr>
          <w:p>
            <w:pPr>
              <w:spacing w:after="0"/>
            </w:pPr>
            <w:r/>
            <w:r>
              <w:rPr>
                <w:rFonts w:ascii="Noto Sans CJK SC" w:hAnsi="Noto Sans CJK SC" w:eastAsia="Noto Sans CJK SC"/>
                <w:b w:val="0"/>
                <w:sz w:val="14"/>
              </w:rPr>
              <w:t>主体、世界、项目和能力级网络边界与隧道策略。</w:t>
            </w:r>
          </w:p>
        </w:tc>
      </w:tr>
      <w:tr>
        <w:trPr>
          <w:cantSplit w:val="true"/>
        </w:trPr>
        <w:tc>
          <w:tcPr>
            <w:tcW w:type="dxa" w:w="62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P15</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Legacy Interoperability（旧网互操作）</w:t>
            </w:r>
          </w:p>
        </w:tc>
        <w:tc>
          <w:tcPr>
            <w:tcW w:type="dxa" w:w="2154"/>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互操作协议</w:t>
            </w:r>
          </w:p>
        </w:tc>
        <w:tc>
          <w:tcPr>
            <w:tcW w:type="dxa" w:w="5102"/>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与 IP、DNS、HTTP、TLS、现有应用与平台的渐进兼容。</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9F7EF"/>
            <w:tcMar>
              <w:top w:w="110" w:type="dxa"/>
              <w:bottom w:w="110" w:type="dxa"/>
              <w:start w:w="120" w:type="dxa"/>
              <w:end w:w="120" w:type="dxa"/>
            </w:tcMar>
            <w:tcBorders>
              <w:top w:val="single" w:sz="8" w:color="4A8C67"/>
              <w:left w:val="single" w:sz="8" w:color="4A8C67"/>
              <w:bottom w:val="single" w:sz="8" w:color="4A8C67"/>
              <w:right w:val="single" w:sz="8" w:color="4A8C67"/>
            </w:tcBorders>
          </w:tcPr>
          <w:p>
            <w:pPr>
              <w:spacing w:after="0"/>
              <w:jc w:val="center"/>
            </w:pPr>
            <w:r>
              <w:rPr>
                <w:rFonts w:ascii="Noto Sans CJK SC" w:hAnsi="Noto Sans CJK SC" w:eastAsia="Noto Sans CJK SC"/>
                <w:b/>
                <w:color w:val="17324D"/>
                <w:sz w:val="20"/>
              </w:rPr>
              <w:t>TINP v0.2 被重新定位为 P04（意图与能力协商）+ P02/P03/P07/P08 的实验性跨域原型，不拥有整个协议套件的全部语义。</w:t>
            </w:r>
          </w:p>
        </w:tc>
      </w:tr>
    </w:tbl>
    <w:p/>
    <w:p>
      <w:pPr>
        <w:pStyle w:val="Heading1"/>
      </w:pPr>
      <w:r>
        <w:t>4. Shared Internet Semantic IR（共享互联网语义中间表示）</w:t>
      </w:r>
    </w:p>
    <w:p>
      <w:r>
        <w:t>所有协议必须基于统一语义对象，而不是各自重新定义“主体、权限、证据、世界、能力”。共享互联网语义中间表示是协议套件的 Canonical Semantic Layer（规范语义层）。</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381"/>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4"/>
              </w:rPr>
              <w:t>对象</w:t>
            </w:r>
          </w:p>
        </w:tc>
        <w:tc>
          <w:tcPr>
            <w:tcW w:type="dxa" w:w="3458"/>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4"/>
              </w:rPr>
              <w:t>最低字段 / 属性</w:t>
            </w:r>
          </w:p>
        </w:tc>
        <w:tc>
          <w:tcPr>
            <w:tcW w:type="dxa" w:w="4025"/>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4"/>
              </w:rPr>
              <w:t>工程意义</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SubjectRef（主体引用）</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subject_id, subject_type, continuity_root</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稳定引用人类、AI、组织、角色等主体。</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IdentityClaim（身份声明）</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claim, issuer, credential_ref, validity</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凭证证明声明，但凭证不等于主体。</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IntentSpec（意图规范）</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goal, constraints, acceptance, context</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表达“希望现实发生什么”。</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CapabilitySpec（能力规范）</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capability_id, input, output, preconditions, guarantees</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能力与具体 Provider 分离。</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AuthorityLease（权限租约）</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issuer, subject, scope, world, expiry, delegation</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把授权变成可撤销、可过期对象。</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SovereigntyDomain（主权域）</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owner, boundary, policy, override_rules</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确定谁有最终决策权。</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EvidenceEvent（证据事件）</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source, time, actor, action, result, digest</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保存原始发生事实。</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TrustState（信任状态）</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subject/provider, evidence_refs, confidence, policy</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信任是可追溯状态，不是永久标签。</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WorldRef（世界引用）</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world_id, owner, policy, lifecycle</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承载长期上下文、权限和状态边界。</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ContinuityRef（连续性引用）</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continuity_id, checkpoints, migration_anchor</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跨设备、断线和节点迁移。</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ResourceBudget（资源预算）</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compute, memory, bandwidth, energy, time, money</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路由和 Provider 选择的现实约束。</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ValueTerms（价值条款）</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price, SLA, liability, license, retention</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机器可协商的商业条件。</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NodeRef（节点引用）</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node_id, location_hint, transports, capabilities</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节点是身体 / 承载，不是主体。</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RoutePlan（路由计划）</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hops, constraints, alternatives, ttl</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路径是带约束的计划，而非仅最短距离。</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4"/>
              </w:rPr>
              <w:t>SessionRef（会话引用）</w:t>
            </w:r>
          </w:p>
        </w:tc>
        <w:tc>
          <w:tcPr>
            <w:tcW w:type="dxa" w:w="3458"/>
            <w:tcMar>
              <w:top w:w="80" w:type="dxa"/>
              <w:bottom w:w="80" w:type="dxa"/>
              <w:start w:w="95" w:type="dxa"/>
              <w:end w:w="95" w:type="dxa"/>
            </w:tcMar>
            <w:vAlign w:val="center"/>
          </w:tcPr>
          <w:p>
            <w:pPr>
              <w:spacing w:after="0"/>
            </w:pPr>
            <w:r/>
            <w:r>
              <w:rPr>
                <w:rFonts w:ascii="Noto Sans CJK SC" w:hAnsi="Noto Sans CJK SC" w:eastAsia="Noto Sans CJK SC"/>
                <w:b w:val="0"/>
                <w:sz w:val="14"/>
              </w:rPr>
              <w:t>session_id, subjects, authority, continuity, state</w:t>
            </w:r>
          </w:p>
        </w:tc>
        <w:tc>
          <w:tcPr>
            <w:tcW w:type="dxa" w:w="4025"/>
            <w:tcMar>
              <w:top w:w="80" w:type="dxa"/>
              <w:bottom w:w="80" w:type="dxa"/>
              <w:start w:w="95" w:type="dxa"/>
              <w:end w:w="95" w:type="dxa"/>
            </w:tcMar>
            <w:vAlign w:val="center"/>
          </w:tcPr>
          <w:p>
            <w:pPr>
              <w:spacing w:after="0"/>
            </w:pPr>
            <w:r/>
            <w:r>
              <w:rPr>
                <w:rFonts w:ascii="Noto Sans CJK SC" w:hAnsi="Noto Sans CJK SC" w:eastAsia="Noto Sans CJK SC"/>
                <w:b w:val="0"/>
                <w:sz w:val="14"/>
              </w:rPr>
              <w:t>会话属于主体关系，可迁移。</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ArtifactRef（工件引用）</w:t>
            </w:r>
          </w:p>
        </w:tc>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artifact_id, type, version, evidence, owner</w:t>
            </w:r>
          </w:p>
        </w:tc>
        <w:tc>
          <w:tcPr>
            <w:tcW w:type="dxa" w:w="4025"/>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应用种子、协议包、模型、结果等可追溯工件。</w:t>
            </w:r>
          </w:p>
        </w:tc>
      </w:tr>
    </w:tbl>
    <w:p/>
    <w:p>
      <w:pPr>
        <w:pStyle w:val="Heading2"/>
      </w:pPr>
      <w:r>
        <w:t>4.1 四个必须区分的概念</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3402"/>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不得混同</w:t>
            </w:r>
          </w:p>
        </w:tc>
        <w:tc>
          <w:tcPr>
            <w:tcW w:type="dxa" w:w="6463"/>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正确关系</w:t>
            </w:r>
          </w:p>
        </w:tc>
      </w:tr>
      <w:tr>
        <w:trPr>
          <w:cantSplit w:val="true"/>
        </w:trPr>
        <w:tc>
          <w:tcPr>
            <w:tcW w:type="dxa" w:w="3402"/>
            <w:tcMar>
              <w:top w:w="80" w:type="dxa"/>
              <w:bottom w:w="80" w:type="dxa"/>
              <w:start w:w="95" w:type="dxa"/>
              <w:end w:w="95" w:type="dxa"/>
            </w:tcMar>
            <w:vAlign w:val="center"/>
          </w:tcPr>
          <w:p>
            <w:pPr>
              <w:spacing w:after="0"/>
            </w:pPr>
            <w:r/>
            <w:r>
              <w:rPr>
                <w:rFonts w:ascii="Noto Sans CJK SC" w:hAnsi="Noto Sans CJK SC" w:eastAsia="Noto Sans CJK SC"/>
                <w:b/>
                <w:sz w:val="16"/>
              </w:rPr>
              <w:t>Subject（主体） ≠ Node（节点）</w:t>
            </w:r>
          </w:p>
        </w:tc>
        <w:tc>
          <w:tcPr>
            <w:tcW w:type="dxa" w:w="6463"/>
            <w:tcMar>
              <w:top w:w="80" w:type="dxa"/>
              <w:bottom w:w="80" w:type="dxa"/>
              <w:start w:w="95" w:type="dxa"/>
              <w:end w:w="95" w:type="dxa"/>
            </w:tcMar>
            <w:vAlign w:val="center"/>
          </w:tcPr>
          <w:p>
            <w:pPr>
              <w:spacing w:after="0"/>
            </w:pPr>
            <w:r/>
            <w:r>
              <w:rPr>
                <w:rFonts w:ascii="Noto Sans CJK SC" w:hAnsi="Noto Sans CJK SC" w:eastAsia="Noto Sans CJK SC"/>
                <w:b w:val="0"/>
                <w:sz w:val="16"/>
              </w:rPr>
              <w:t>主体可拥有多个节点身体；节点失效不等于主体消失。</w:t>
            </w:r>
          </w:p>
        </w:tc>
      </w:tr>
      <w:tr>
        <w:trPr>
          <w:cantSplit w:val="true"/>
        </w:trPr>
        <w:tc>
          <w:tcPr>
            <w:tcW w:type="dxa" w:w="3402"/>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Identity（身份） ≠ Credential（凭证）</w:t>
            </w:r>
          </w:p>
        </w:tc>
        <w:tc>
          <w:tcPr>
            <w:tcW w:type="dxa" w:w="646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凭证只是证明身份声明的可替换工具。</w:t>
            </w:r>
          </w:p>
        </w:tc>
      </w:tr>
      <w:tr>
        <w:trPr>
          <w:cantSplit w:val="true"/>
        </w:trPr>
        <w:tc>
          <w:tcPr>
            <w:tcW w:type="dxa" w:w="3402"/>
            <w:tcMar>
              <w:top w:w="80" w:type="dxa"/>
              <w:bottom w:w="80" w:type="dxa"/>
              <w:start w:w="95" w:type="dxa"/>
              <w:end w:w="95" w:type="dxa"/>
            </w:tcMar>
            <w:vAlign w:val="center"/>
          </w:tcPr>
          <w:p>
            <w:pPr>
              <w:spacing w:after="0"/>
            </w:pPr>
            <w:r/>
            <w:r>
              <w:rPr>
                <w:rFonts w:ascii="Noto Sans CJK SC" w:hAnsi="Noto Sans CJK SC" w:eastAsia="Noto Sans CJK SC"/>
                <w:b/>
                <w:sz w:val="16"/>
              </w:rPr>
              <w:t>Capability（能力） ≠ Provider（能力提供器）</w:t>
            </w:r>
          </w:p>
        </w:tc>
        <w:tc>
          <w:tcPr>
            <w:tcW w:type="dxa" w:w="6463"/>
            <w:tcMar>
              <w:top w:w="80" w:type="dxa"/>
              <w:bottom w:w="80" w:type="dxa"/>
              <w:start w:w="95" w:type="dxa"/>
              <w:end w:w="95" w:type="dxa"/>
            </w:tcMar>
            <w:vAlign w:val="center"/>
          </w:tcPr>
          <w:p>
            <w:pPr>
              <w:spacing w:after="0"/>
            </w:pPr>
            <w:r/>
            <w:r>
              <w:rPr>
                <w:rFonts w:ascii="Noto Sans CJK SC" w:hAnsi="Noto Sans CJK SC" w:eastAsia="Noto Sans CJK SC"/>
                <w:b w:val="0"/>
                <w:sz w:val="16"/>
              </w:rPr>
              <w:t>能力定义语义契约，Provider 只是当前实现。</w:t>
            </w:r>
          </w:p>
        </w:tc>
      </w:tr>
      <w:tr>
        <w:trPr>
          <w:cantSplit w:val="true"/>
        </w:trPr>
        <w:tc>
          <w:tcPr>
            <w:tcW w:type="dxa" w:w="3402"/>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Protocol Semantics（协议语义） ≠ Wire Encoding（线路编码）</w:t>
            </w:r>
          </w:p>
        </w:tc>
        <w:tc>
          <w:tcPr>
            <w:tcW w:type="dxa" w:w="646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同一协议语义可下沉成调试 JSON、紧凑二进制或不同承载映射。</w:t>
            </w:r>
          </w:p>
        </w:tc>
      </w:tr>
    </w:tbl>
    <w:p/>
    <w:p>
      <w:pPr>
        <w:pStyle w:val="Heading1"/>
      </w:pPr>
      <w:r>
        <w:t>5. 跨协议不可妥协不变量</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134"/>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ID</w:t>
            </w:r>
          </w:p>
        </w:tc>
        <w:tc>
          <w:tcPr>
            <w:tcW w:type="dxa" w:w="2268"/>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不变量</w:t>
            </w:r>
          </w:p>
        </w:tc>
        <w:tc>
          <w:tcPr>
            <w:tcW w:type="dxa" w:w="6520"/>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规范要求</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INV-001</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主体连续性</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节点、IP、进程、设备变化不得默认改变主体身份。</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INV-002</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权限不扩张</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通信、路由、Provider 替换、会话迁移均不得静默扩大授权范围。</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INV-003</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撤销优先</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有效撤销必须压过缓存、离线副本和旧会话许可；无法确认时按高风险场景失败关闭。</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INV-004</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证据与解释分离</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原始事件 / 证据不得被 AI 推断覆盖或改写成事实。</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INV-005</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Provider 语义保真</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替换 Provider 时必须满足同一能力契约或明确声明降级差异。</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INV-006</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退化不突破安全底线</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D1-D4 只允许降低能力和质量，不允许绕过权限、主权或证据要求。</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INV-007</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世界边界</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跨 World（世界）的数据、权限和执行必须经过显式共享 / 授权。</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INV-008</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会话迁移保真</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迁移后主体、授权上限、证据锚点和任务语义必须保持。</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INV-009</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模拟不冒充现实</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预测、仿真、候选状态不得直接标记为权威现实结果。</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INV-010</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可追溯性</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高影响操作必须能追溯到主体、授权、路径、Provider、输入、结果和版本。</w:t>
            </w:r>
          </w:p>
        </w:tc>
      </w:tr>
      <w:tr>
        <w:trPr>
          <w:cantSplit w:val="true"/>
        </w:trPr>
        <w:tc>
          <w:tcPr>
            <w:tcW w:type="dxa" w:w="1134"/>
            <w:tcMar>
              <w:top w:w="80" w:type="dxa"/>
              <w:bottom w:w="80" w:type="dxa"/>
              <w:start w:w="95" w:type="dxa"/>
              <w:end w:w="95" w:type="dxa"/>
            </w:tcMar>
            <w:vAlign w:val="center"/>
          </w:tcPr>
          <w:p>
            <w:pPr>
              <w:spacing w:after="0"/>
            </w:pPr>
            <w:r/>
            <w:r>
              <w:rPr>
                <w:rFonts w:ascii="Noto Sans CJK SC" w:hAnsi="Noto Sans CJK SC" w:eastAsia="Noto Sans CJK SC"/>
                <w:b/>
                <w:sz w:val="16"/>
              </w:rPr>
              <w:t>INV-011</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6"/>
              </w:rPr>
              <w:t>版本可协商</w:t>
            </w:r>
          </w:p>
        </w:tc>
        <w:tc>
          <w:tcPr>
            <w:tcW w:type="dxa" w:w="6520"/>
            <w:tcMar>
              <w:top w:w="80" w:type="dxa"/>
              <w:bottom w:w="80" w:type="dxa"/>
              <w:start w:w="95" w:type="dxa"/>
              <w:end w:w="95" w:type="dxa"/>
            </w:tcMar>
            <w:vAlign w:val="center"/>
          </w:tcPr>
          <w:p>
            <w:pPr>
              <w:spacing w:after="0"/>
            </w:pPr>
            <w:r/>
            <w:r>
              <w:rPr>
                <w:rFonts w:ascii="Noto Sans CJK SC" w:hAnsi="Noto Sans CJK SC" w:eastAsia="Noto Sans CJK SC"/>
                <w:b w:val="0"/>
                <w:sz w:val="16"/>
              </w:rPr>
              <w:t>不兼容版本必须明确拒绝、降级或通过适配器转换，不得静默误解。</w:t>
            </w:r>
          </w:p>
        </w:tc>
      </w:tr>
      <w:tr>
        <w:trPr>
          <w:cantSplit w:val="true"/>
        </w:trPr>
        <w:tc>
          <w:tcPr>
            <w:tcW w:type="dxa" w:w="1134"/>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INV-012</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用户复杂度最小化</w:t>
            </w:r>
          </w:p>
        </w:tc>
        <w:tc>
          <w:tcPr>
            <w:tcW w:type="dxa" w:w="652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能由协议、运行时或自动协商解决的复杂度，不应默认暴露给生活化用户。</w:t>
            </w:r>
          </w:p>
        </w:tc>
      </w:tr>
    </w:tbl>
    <w:p/>
    <w:p>
      <w:pPr>
        <w:pStyle w:val="Heading1"/>
      </w:pPr>
      <w:r>
        <w:t>6. 公共协议 Manifest（清单）与文件结构</w:t>
      </w:r>
    </w:p>
    <w:p>
      <w:r>
        <w:t>每一个正式协议必须提供机器可读 Manifest（清单）和人类可读规范，至少包含以下字段。</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5"/>
              </w:rPr>
              <w:t>protocol_id: P04-intent-capability</w:t>
            </w:r>
            <w:r>
              <w:br/>
            </w:r>
            <w:r>
              <w:rPr>
                <w:rFonts w:ascii="Liberation Mono" w:hAnsi="Liberation Mono" w:eastAsia="Liberation Mono"/>
                <w:sz w:val="15"/>
              </w:rPr>
              <w:t>name: Intent &amp; Capability Negotiation  # 意图与能力协商</w:t>
            </w:r>
            <w:r>
              <w:br/>
            </w:r>
            <w:r>
              <w:rPr>
                <w:rFonts w:ascii="Liberation Mono" w:hAnsi="Liberation Mono" w:eastAsia="Liberation Mono"/>
                <w:sz w:val="15"/>
              </w:rPr>
              <w:t>version: 0.1.0-alpha.1</w:t>
            </w:r>
            <w:r>
              <w:br/>
            </w:r>
            <w:r>
              <w:rPr>
                <w:rFonts w:ascii="Liberation Mono" w:hAnsi="Liberation Mono" w:eastAsia="Liberation Mono"/>
                <w:sz w:val="15"/>
              </w:rPr>
              <w:t>role: canonical-protocol              # 规范协议</w:t>
            </w:r>
            <w:r>
              <w:br/>
            </w:r>
            <w:r>
              <w:rPr>
                <w:rFonts w:ascii="Liberation Mono" w:hAnsi="Liberation Mono" w:eastAsia="Liberation Mono"/>
                <w:sz w:val="15"/>
              </w:rPr>
              <w:t>semantic_owner_of:</w:t>
            </w:r>
            <w:r>
              <w:br/>
            </w:r>
            <w:r>
              <w:rPr>
                <w:rFonts w:ascii="Liberation Mono" w:hAnsi="Liberation Mono" w:eastAsia="Liberation Mono"/>
                <w:sz w:val="15"/>
              </w:rPr>
              <w:t xml:space="preserve">  - intent</w:t>
            </w:r>
            <w:r>
              <w:br/>
            </w:r>
            <w:r>
              <w:rPr>
                <w:rFonts w:ascii="Liberation Mono" w:hAnsi="Liberation Mono" w:eastAsia="Liberation Mono"/>
                <w:sz w:val="15"/>
              </w:rPr>
              <w:t xml:space="preserve">  - capability-negotiation</w:t>
            </w:r>
            <w:r>
              <w:br/>
            </w:r>
            <w:r>
              <w:rPr>
                <w:rFonts w:ascii="Liberation Mono" w:hAnsi="Liberation Mono" w:eastAsia="Liberation Mono"/>
                <w:sz w:val="15"/>
              </w:rPr>
              <w:t>depends_on:</w:t>
            </w:r>
            <w:r>
              <w:br/>
            </w:r>
            <w:r>
              <w:rPr>
                <w:rFonts w:ascii="Liberation Mono" w:hAnsi="Liberation Mono" w:eastAsia="Liberation Mono"/>
                <w:sz w:val="15"/>
              </w:rPr>
              <w:t xml:space="preserve">  - P00-shared-semantic-core</w:t>
            </w:r>
            <w:r>
              <w:br/>
            </w:r>
            <w:r>
              <w:rPr>
                <w:rFonts w:ascii="Liberation Mono" w:hAnsi="Liberation Mono" w:eastAsia="Liberation Mono"/>
                <w:sz w:val="15"/>
              </w:rPr>
              <w:t xml:space="preserve">  - P01-subject-identity</w:t>
            </w:r>
            <w:r>
              <w:br/>
            </w:r>
            <w:r>
              <w:rPr>
                <w:rFonts w:ascii="Liberation Mono" w:hAnsi="Liberation Mono" w:eastAsia="Liberation Mono"/>
                <w:sz w:val="15"/>
              </w:rPr>
              <w:t xml:space="preserve">  - P05-authority-sovereignty</w:t>
            </w:r>
            <w:r>
              <w:br/>
            </w:r>
            <w:r>
              <w:rPr>
                <w:rFonts w:ascii="Liberation Mono" w:hAnsi="Liberation Mono" w:eastAsia="Liberation Mono"/>
                <w:sz w:val="15"/>
              </w:rPr>
              <w:t xml:space="preserve">  - P06-trust-evidence</w:t>
            </w:r>
            <w:r>
              <w:br/>
            </w:r>
            <w:r>
              <w:rPr>
                <w:rFonts w:ascii="Liberation Mono" w:hAnsi="Liberation Mono" w:eastAsia="Liberation Mono"/>
                <w:sz w:val="15"/>
              </w:rPr>
              <w:t>profiles: [military, commercial, life]</w:t>
            </w:r>
            <w:r>
              <w:br/>
            </w:r>
            <w:r>
              <w:rPr>
                <w:rFonts w:ascii="Liberation Mono" w:hAnsi="Liberation Mono" w:eastAsia="Liberation Mono"/>
                <w:sz w:val="15"/>
              </w:rPr>
              <w:t>degradation: [full, reduced, essential, survival]</w:t>
            </w:r>
            <w:r>
              <w:br/>
            </w:r>
            <w:r>
              <w:rPr>
                <w:rFonts w:ascii="Liberation Mono" w:hAnsi="Liberation Mono" w:eastAsia="Liberation Mono"/>
                <w:sz w:val="15"/>
              </w:rPr>
              <w:t>wire_encodings: [debug-json, compact-binary]</w:t>
            </w:r>
            <w:r>
              <w:br/>
            </w:r>
            <w:r>
              <w:rPr>
                <w:rFonts w:ascii="Liberation Mono" w:hAnsi="Liberation Mono" w:eastAsia="Liberation Mono"/>
                <w:sz w:val="15"/>
              </w:rPr>
              <w:t>required_tests: [conformance, negative, migration, degradation]</w:t>
            </w:r>
            <w:r>
              <w:br/>
            </w:r>
            <w:r>
              <w:rPr>
                <w:rFonts w:ascii="Liberation Mono" w:hAnsi="Liberation Mono" w:eastAsia="Liberation Mono"/>
                <w:sz w:val="15"/>
              </w:rPr>
              <w:t>evidence_ledger: evidence/EVIDENCE_LEDGER.json</w:t>
            </w:r>
          </w:p>
        </w:tc>
      </w:tr>
    </w:tbl>
    <w:p/>
    <w:p>
      <w:pPr>
        <w:pStyle w:val="Heading2"/>
      </w:pPr>
      <w:r>
        <w:t>6.1 标准协议仓库结构</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5"/>
              </w:rPr>
              <w:t>protocol-name/</w:t>
            </w:r>
            <w:r>
              <w:br/>
            </w:r>
            <w:r>
              <w:rPr>
                <w:rFonts w:ascii="Liberation Mono" w:hAnsi="Liberation Mono" w:eastAsia="Liberation Mono"/>
                <w:sz w:val="15"/>
              </w:rPr>
              <w:t>├── README.md</w:t>
            </w:r>
            <w:r>
              <w:br/>
            </w:r>
            <w:r>
              <w:rPr>
                <w:rFonts w:ascii="Liberation Mono" w:hAnsi="Liberation Mono" w:eastAsia="Liberation Mono"/>
                <w:sz w:val="15"/>
              </w:rPr>
              <w:t>├── protocol.yaml                 # 机器可读协议清单</w:t>
            </w:r>
            <w:r>
              <w:br/>
            </w:r>
            <w:r>
              <w:rPr>
                <w:rFonts w:ascii="Liberation Mono" w:hAnsi="Liberation Mono" w:eastAsia="Liberation Mono"/>
                <w:sz w:val="15"/>
              </w:rPr>
              <w:t>├── specs/</w:t>
            </w:r>
            <w:r>
              <w:br/>
            </w:r>
            <w:r>
              <w:rPr>
                <w:rFonts w:ascii="Liberation Mono" w:hAnsi="Liberation Mono" w:eastAsia="Liberation Mono"/>
                <w:sz w:val="15"/>
              </w:rPr>
              <w:t>│   ├── PROTOCOL_SPEC.md          # 正式协议规范</w:t>
            </w:r>
            <w:r>
              <w:br/>
            </w:r>
            <w:r>
              <w:rPr>
                <w:rFonts w:ascii="Liberation Mono" w:hAnsi="Liberation Mono" w:eastAsia="Liberation Mono"/>
                <w:sz w:val="15"/>
              </w:rPr>
              <w:t>│   ├── STATE_MACHINE.md          # 状态机</w:t>
            </w:r>
            <w:r>
              <w:br/>
            </w:r>
            <w:r>
              <w:rPr>
                <w:rFonts w:ascii="Liberation Mono" w:hAnsi="Liberation Mono" w:eastAsia="Liberation Mono"/>
                <w:sz w:val="15"/>
              </w:rPr>
              <w:t>│   ├── SECURITY_MODEL.md         # 安全模型</w:t>
            </w:r>
            <w:r>
              <w:br/>
            </w:r>
            <w:r>
              <w:rPr>
                <w:rFonts w:ascii="Liberation Mono" w:hAnsi="Liberation Mono" w:eastAsia="Liberation Mono"/>
                <w:sz w:val="15"/>
              </w:rPr>
              <w:t>│   └── INTEROP.md                # 互操作与迁移</w:t>
            </w:r>
            <w:r>
              <w:br/>
            </w:r>
            <w:r>
              <w:rPr>
                <w:rFonts w:ascii="Liberation Mono" w:hAnsi="Liberation Mono" w:eastAsia="Liberation Mono"/>
                <w:sz w:val="15"/>
              </w:rPr>
              <w:t>├── schemas/                     # 结构定义</w:t>
            </w:r>
            <w:r>
              <w:br/>
            </w:r>
            <w:r>
              <w:rPr>
                <w:rFonts w:ascii="Liberation Mono" w:hAnsi="Liberation Mono" w:eastAsia="Liberation Mono"/>
                <w:sz w:val="15"/>
              </w:rPr>
              <w:t>├── rcl/                         # RCL 形式约束 / 语义内核</w:t>
            </w:r>
            <w:r>
              <w:br/>
            </w:r>
            <w:r>
              <w:rPr>
                <w:rFonts w:ascii="Liberation Mono" w:hAnsi="Liberation Mono" w:eastAsia="Liberation Mono"/>
                <w:sz w:val="15"/>
              </w:rPr>
              <w:t>├── src/                         # 参考实现</w:t>
            </w:r>
            <w:r>
              <w:br/>
            </w:r>
            <w:r>
              <w:rPr>
                <w:rFonts w:ascii="Liberation Mono" w:hAnsi="Liberation Mono" w:eastAsia="Liberation Mono"/>
                <w:sz w:val="15"/>
              </w:rPr>
              <w:t>├── adapters/                    # 旧网 / Provider 适配器</w:t>
            </w:r>
            <w:r>
              <w:br/>
            </w:r>
            <w:r>
              <w:rPr>
                <w:rFonts w:ascii="Liberation Mono" w:hAnsi="Liberation Mono" w:eastAsia="Liberation Mono"/>
                <w:sz w:val="15"/>
              </w:rPr>
              <w:t>├── profiles/</w:t>
            </w:r>
            <w:r>
              <w:br/>
            </w:r>
            <w:r>
              <w:rPr>
                <w:rFonts w:ascii="Liberation Mono" w:hAnsi="Liberation Mono" w:eastAsia="Liberation Mono"/>
                <w:sz w:val="15"/>
              </w:rPr>
              <w:t>│   ├── military/</w:t>
            </w:r>
            <w:r>
              <w:br/>
            </w:r>
            <w:r>
              <w:rPr>
                <w:rFonts w:ascii="Liberation Mono" w:hAnsi="Liberation Mono" w:eastAsia="Liberation Mono"/>
                <w:sz w:val="15"/>
              </w:rPr>
              <w:t>│   ├── commercial/</w:t>
            </w:r>
            <w:r>
              <w:br/>
            </w:r>
            <w:r>
              <w:rPr>
                <w:rFonts w:ascii="Liberation Mono" w:hAnsi="Liberation Mono" w:eastAsia="Liberation Mono"/>
                <w:sz w:val="15"/>
              </w:rPr>
              <w:t>│   └── life/</w:t>
            </w:r>
            <w:r>
              <w:br/>
            </w:r>
            <w:r>
              <w:rPr>
                <w:rFonts w:ascii="Liberation Mono" w:hAnsi="Liberation Mono" w:eastAsia="Liberation Mono"/>
                <w:sz w:val="15"/>
              </w:rPr>
              <w:t>├── tests/</w:t>
            </w:r>
            <w:r>
              <w:br/>
            </w:r>
            <w:r>
              <w:rPr>
                <w:rFonts w:ascii="Liberation Mono" w:hAnsi="Liberation Mono" w:eastAsia="Liberation Mono"/>
                <w:sz w:val="15"/>
              </w:rPr>
              <w:t>│   ├── conformance/</w:t>
            </w:r>
            <w:r>
              <w:br/>
            </w:r>
            <w:r>
              <w:rPr>
                <w:rFonts w:ascii="Liberation Mono" w:hAnsi="Liberation Mono" w:eastAsia="Liberation Mono"/>
                <w:sz w:val="15"/>
              </w:rPr>
              <w:t>│   ├── negative/</w:t>
            </w:r>
            <w:r>
              <w:br/>
            </w:r>
            <w:r>
              <w:rPr>
                <w:rFonts w:ascii="Liberation Mono" w:hAnsi="Liberation Mono" w:eastAsia="Liberation Mono"/>
                <w:sz w:val="15"/>
              </w:rPr>
              <w:t>│   ├── adversarial/</w:t>
            </w:r>
            <w:r>
              <w:br/>
            </w:r>
            <w:r>
              <w:rPr>
                <w:rFonts w:ascii="Liberation Mono" w:hAnsi="Liberation Mono" w:eastAsia="Liberation Mono"/>
                <w:sz w:val="15"/>
              </w:rPr>
              <w:t>│   ├── degradation/</w:t>
            </w:r>
            <w:r>
              <w:br/>
            </w:r>
            <w:r>
              <w:rPr>
                <w:rFonts w:ascii="Liberation Mono" w:hAnsi="Liberation Mono" w:eastAsia="Liberation Mono"/>
                <w:sz w:val="15"/>
              </w:rPr>
              <w:t>│   └── interoperability/</w:t>
            </w:r>
            <w:r>
              <w:br/>
            </w:r>
            <w:r>
              <w:rPr>
                <w:rFonts w:ascii="Liberation Mono" w:hAnsi="Liberation Mono" w:eastAsia="Liberation Mono"/>
                <w:sz w:val="15"/>
              </w:rPr>
              <w:t>└── evidence/</w:t>
            </w:r>
            <w:r>
              <w:br/>
            </w:r>
            <w:r>
              <w:rPr>
                <w:rFonts w:ascii="Liberation Mono" w:hAnsi="Liberation Mono" w:eastAsia="Liberation Mono"/>
                <w:sz w:val="15"/>
              </w:rPr>
              <w:t xml:space="preserve">    ├── EVIDENCE_LEDGER.json</w:t>
            </w:r>
            <w:r>
              <w:br/>
            </w:r>
            <w:r>
              <w:rPr>
                <w:rFonts w:ascii="Liberation Mono" w:hAnsi="Liberation Mono" w:eastAsia="Liberation Mono"/>
                <w:sz w:val="15"/>
              </w:rPr>
              <w:t xml:space="preserve">    ├── INTEGRATION_COURT.md</w:t>
            </w:r>
            <w:r>
              <w:br/>
            </w:r>
            <w:r>
              <w:rPr>
                <w:rFonts w:ascii="Liberation Mono" w:hAnsi="Liberation Mono" w:eastAsia="Liberation Mono"/>
                <w:sz w:val="15"/>
              </w:rPr>
              <w:t xml:space="preserve">    └── test-logs/</w:t>
            </w:r>
          </w:p>
        </w:tc>
      </w:tr>
    </w:tbl>
    <w:p/>
    <w:p>
      <w:pPr>
        <w:pStyle w:val="Heading1"/>
      </w:pPr>
      <w:r>
        <w:t>7. 每个协议规范必须回答的 18 个问题</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567"/>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w:t>
            </w:r>
          </w:p>
        </w:tc>
        <w:tc>
          <w:tcPr>
            <w:tcW w:type="dxa" w:w="2891"/>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章节</w:t>
            </w:r>
          </w:p>
        </w:tc>
        <w:tc>
          <w:tcPr>
            <w:tcW w:type="dxa" w:w="6576"/>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必须回答的问题</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1</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Purpose（目的）</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为什么存在，解决什么不能由其他协议负责的问题？</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2</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Objects（对象）</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操作哪些 Shared IR（共享中间表示）对象？</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3</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Canonical Boundary（规范边界）</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它拥有哪部分唯一语义，哪些明确不拥有？</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4</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Invariants（不变量）</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哪些状态和关系永远不能被破坏？</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5</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State Machine（状态机）</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对象怎样创建、协商、激活、退化、迁移、撤销和终止？</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6</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Message Semantics（消息语义）</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有哪些消息 / 事件类型，每种代表什么现实含义？</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7</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Wire Representation（线路表示）</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怎样编码；是否支持多种编码；如何版本协商？</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8</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Authority Boundary（权限边界）</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谁能发起、转发、修改、批准、撤销？</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9</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Failure Semantics（失败语义）</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失败是关闭、重试、降级、隔离还是回滚？</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10</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Degradation Semantics（退化语义）</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D0-D4 各等级还保留什么？</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11</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Military Profile（军事级剖面）</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分区、断网、低带宽、旧设备、节点失陷如何处理？</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12</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Commercial Profile（商用级剖面）</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SLA、成本、审计、责任、版本与迁移如何表达？</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13</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Life Profile（生活化剖面）</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普通用户怎样在不知道协议细节时使用？</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14</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Security Model（安全模型）</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认证、授权、重放、防降级、密钥 / 凭证 Provider 如何接入？</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15</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Evidence Model（证据模型）</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哪些操作必须留下什么证据？</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16</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Interoperability（互操作）</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怎样与旧协议或其他新协议共存？</w:t>
            </w:r>
          </w:p>
        </w:tc>
      </w:tr>
      <w:tr>
        <w:trPr>
          <w:cantSplit w:val="true"/>
        </w:trPr>
        <w:tc>
          <w:tcPr>
            <w:tcW w:type="dxa" w:w="567"/>
            <w:tcMar>
              <w:top w:w="80" w:type="dxa"/>
              <w:bottom w:w="80" w:type="dxa"/>
              <w:start w:w="95" w:type="dxa"/>
              <w:end w:w="95" w:type="dxa"/>
            </w:tcMar>
            <w:vAlign w:val="center"/>
          </w:tcPr>
          <w:p>
            <w:pPr>
              <w:spacing w:after="0"/>
            </w:pPr>
            <w:r/>
            <w:r>
              <w:rPr>
                <w:rFonts w:ascii="Noto Sans CJK SC" w:hAnsi="Noto Sans CJK SC" w:eastAsia="Noto Sans CJK SC"/>
                <w:b/>
                <w:sz w:val="16"/>
              </w:rPr>
              <w:t>17</w:t>
            </w:r>
          </w:p>
        </w:tc>
        <w:tc>
          <w:tcPr>
            <w:tcW w:type="dxa" w:w="2891"/>
            <w:tcMar>
              <w:top w:w="80" w:type="dxa"/>
              <w:bottom w:w="80" w:type="dxa"/>
              <w:start w:w="95" w:type="dxa"/>
              <w:end w:w="95" w:type="dxa"/>
            </w:tcMar>
            <w:vAlign w:val="center"/>
          </w:tcPr>
          <w:p>
            <w:pPr>
              <w:spacing w:after="0"/>
            </w:pPr>
            <w:r/>
            <w:r>
              <w:rPr>
                <w:rFonts w:ascii="Noto Sans CJK SC" w:hAnsi="Noto Sans CJK SC" w:eastAsia="Noto Sans CJK SC"/>
                <w:b w:val="0"/>
                <w:sz w:val="16"/>
              </w:rPr>
              <w:t>Conformance Tests（一致性测试）</w:t>
            </w:r>
          </w:p>
        </w:tc>
        <w:tc>
          <w:tcPr>
            <w:tcW w:type="dxa" w:w="6576"/>
            <w:tcMar>
              <w:top w:w="80" w:type="dxa"/>
              <w:bottom w:w="80" w:type="dxa"/>
              <w:start w:w="95" w:type="dxa"/>
              <w:end w:w="95" w:type="dxa"/>
            </w:tcMar>
            <w:vAlign w:val="center"/>
          </w:tcPr>
          <w:p>
            <w:pPr>
              <w:spacing w:after="0"/>
            </w:pPr>
            <w:r/>
            <w:r>
              <w:rPr>
                <w:rFonts w:ascii="Noto Sans CJK SC" w:hAnsi="Noto Sans CJK SC" w:eastAsia="Noto Sans CJK SC"/>
                <w:b w:val="0"/>
                <w:sz w:val="16"/>
              </w:rPr>
              <w:t>怎样机器验证实现没有偏离规范？</w:t>
            </w:r>
          </w:p>
        </w:tc>
      </w:tr>
      <w:tr>
        <w:trPr>
          <w:cantSplit w:val="true"/>
        </w:trPr>
        <w:tc>
          <w:tcPr>
            <w:tcW w:type="dxa" w:w="56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18</w:t>
            </w:r>
          </w:p>
        </w:tc>
        <w:tc>
          <w:tcPr>
            <w:tcW w:type="dxa" w:w="2891"/>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Versioning &amp; Exit（版本与退出）</w:t>
            </w:r>
          </w:p>
        </w:tc>
        <w:tc>
          <w:tcPr>
            <w:tcW w:type="dxa" w:w="657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如何升级、废弃、迁移、回滚与保留历史？</w:t>
            </w:r>
          </w:p>
        </w:tc>
      </w:tr>
    </w:tbl>
    <w:p/>
    <w:p>
      <w:pPr>
        <w:pStyle w:val="Heading1"/>
      </w:pPr>
      <w:r>
        <w:t>8. 公共信封与线路编码规则</w:t>
      </w:r>
    </w:p>
    <w:p>
      <w:r>
        <w:t>协议套件必须区分 Canonical Semantic Envelope（规范语义信封）与 Wire Encoding（线路编码）。公共信封定义语义字段；具体协议可将其下沉为不同二进制、结构化文本或承载映射。</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381"/>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字段</w:t>
            </w:r>
          </w:p>
        </w:tc>
        <w:tc>
          <w:tcPr>
            <w:tcW w:type="dxa" w:w="192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是否必需</w:t>
            </w:r>
          </w:p>
        </w:tc>
        <w:tc>
          <w:tcPr>
            <w:tcW w:type="dxa" w:w="5386"/>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含义</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protocol_id</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必须</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协议与语义 Owner 标识。</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version</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必须</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协议版本。</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message_type</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必须</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消息 / 事件语义类型。</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message_id</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必须</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全局或局部唯一消息标识。</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subject_ref</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按协议</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发起或负责主体。</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world_ref</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按协议</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所属世界 / 上下文。</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session_ref</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按协议</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所属会话。</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authority_ref</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高影响操作必须</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授权 / 租约引用。</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trace_id</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应该</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跨协议调用追踪。</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time</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应该</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时间戳与可选单调时钟信息。</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ttl / expiry</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按协议</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转发生存期或语义有效期。</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body_digest</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高风险应该</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主体载荷摘要。</w:t>
            </w:r>
          </w:p>
        </w:tc>
      </w:tr>
      <w:tr>
        <w:trPr>
          <w:cantSplit w:val="true"/>
        </w:trPr>
        <w:tc>
          <w:tcPr>
            <w:tcW w:type="dxa" w:w="2381"/>
            <w:tcMar>
              <w:top w:w="80" w:type="dxa"/>
              <w:bottom w:w="80" w:type="dxa"/>
              <w:start w:w="95" w:type="dxa"/>
              <w:end w:w="95" w:type="dxa"/>
            </w:tcMar>
            <w:vAlign w:val="center"/>
          </w:tcPr>
          <w:p>
            <w:pPr>
              <w:spacing w:after="0"/>
            </w:pPr>
            <w:r/>
            <w:r>
              <w:rPr>
                <w:rFonts w:ascii="Noto Sans CJK SC" w:hAnsi="Noto Sans CJK SC" w:eastAsia="Noto Sans CJK SC"/>
                <w:b/>
                <w:sz w:val="16"/>
              </w:rPr>
              <w:t>evidence_ref</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6"/>
              </w:rPr>
              <w:t>高影响操作必须</w:t>
            </w:r>
          </w:p>
        </w:tc>
        <w:tc>
          <w:tcPr>
            <w:tcW w:type="dxa" w:w="5386"/>
            <w:tcMar>
              <w:top w:w="80" w:type="dxa"/>
              <w:bottom w:w="80" w:type="dxa"/>
              <w:start w:w="95" w:type="dxa"/>
              <w:end w:w="95" w:type="dxa"/>
            </w:tcMar>
            <w:vAlign w:val="center"/>
          </w:tcPr>
          <w:p>
            <w:pPr>
              <w:spacing w:after="0"/>
            </w:pPr>
            <w:r/>
            <w:r>
              <w:rPr>
                <w:rFonts w:ascii="Noto Sans CJK SC" w:hAnsi="Noto Sans CJK SC" w:eastAsia="Noto Sans CJK SC"/>
                <w:b w:val="0"/>
                <w:sz w:val="16"/>
              </w:rPr>
              <w:t>证据 / 回执锚点。</w:t>
            </w:r>
          </w:p>
        </w:tc>
      </w:tr>
      <w:tr>
        <w:trPr>
          <w:cantSplit w:val="true"/>
        </w:trPr>
        <w:tc>
          <w:tcPr>
            <w:tcW w:type="dxa" w:w="238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extensions</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可以</w:t>
            </w:r>
          </w:p>
        </w:tc>
        <w:tc>
          <w:tcPr>
            <w:tcW w:type="dxa" w:w="538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版本化扩展，未知扩展必须按协议规则处理。</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AF2F8"/>
            <w:tcMar>
              <w:top w:w="110" w:type="dxa"/>
              <w:bottom w:w="110" w:type="dxa"/>
              <w:start w:w="120" w:type="dxa"/>
              <w:end w:w="120" w:type="dxa"/>
            </w:tcMar>
            <w:tcBorders>
              <w:top w:val="single" w:sz="8" w:color="5B9BD5"/>
              <w:left w:val="single" w:sz="8" w:color="5B9BD5"/>
              <w:bottom w:val="single" w:sz="8" w:color="5B9BD5"/>
              <w:right w:val="single" w:sz="8" w:color="5B9BD5"/>
            </w:tcBorders>
          </w:tcPr>
          <w:p>
            <w:pPr>
              <w:spacing w:after="0"/>
              <w:jc w:val="center"/>
            </w:pPr>
            <w:r>
              <w:rPr>
                <w:rFonts w:ascii="Noto Sans CJK SC" w:hAnsi="Noto Sans CJK SC" w:eastAsia="Noto Sans CJK SC"/>
                <w:b/>
                <w:color w:val="17324D"/>
                <w:sz w:val="20"/>
              </w:rPr>
              <w:t>线路压缩可以牺牲冗余字段，但不得牺牲规范语义；无法恢复必要语义的编码不符合本规范。</w:t>
            </w:r>
          </w:p>
        </w:tc>
      </w:tr>
    </w:tbl>
    <w:p/>
    <w:p>
      <w:pPr>
        <w:pStyle w:val="Heading1"/>
      </w:pPr>
      <w:r>
        <w:t>9. P01-P03：主体、身份、寻址与发现</w:t>
      </w:r>
    </w:p>
    <w:p>
      <w:pPr>
        <w:pStyle w:val="Heading2"/>
      </w:pPr>
      <w:r>
        <w:t>9.1 P01 Subject &amp; Identity（主体与身份）</w:t>
      </w:r>
    </w:p>
    <w:p>
      <w:pPr>
        <w:pStyle w:val="ListBullet"/>
        <w:spacing w:after="50"/>
      </w:pPr>
      <w:r>
        <w:t>主体必须拥有稳定 subject_id（主体标识）与 continuity_root（连续性根）。</w:t>
      </w:r>
    </w:p>
    <w:p>
      <w:pPr>
        <w:pStyle w:val="ListBullet"/>
        <w:spacing w:after="50"/>
      </w:pPr>
      <w:r>
        <w:t>设备、节点、应用实例、Agent 实例均只能作为 Subject Projection（主体投影）或 Body（身体）绑定。</w:t>
      </w:r>
    </w:p>
    <w:p>
      <w:pPr>
        <w:pStyle w:val="ListBullet"/>
        <w:spacing w:after="50"/>
      </w:pPr>
      <w:r>
        <w:t>Identity Credential（身份凭证）必须可轮换、可撤销、可多 Provider 共存，不得成为主体本体。</w:t>
      </w:r>
    </w:p>
    <w:p>
      <w:pPr>
        <w:pStyle w:val="ListBullet"/>
        <w:spacing w:after="50"/>
      </w:pPr>
      <w:r>
        <w:t>代表关系必须显式：Agent 代表人类、组织或其他主体行动时，必须存在可审计 delegation（委托）链。</w:t>
      </w:r>
    </w:p>
    <w:p>
      <w:pPr>
        <w:pStyle w:val="Heading2"/>
      </w:pPr>
      <w:r>
        <w:t>9.2 P02 Naming &amp; Addressing（命名与寻址）</w:t>
      </w:r>
    </w:p>
    <w:p>
      <w:pPr>
        <w:pStyle w:val="ListBullet"/>
        <w:spacing w:after="50"/>
      </w:pPr>
      <w:r>
        <w:t>地址必须支持 location-independent identity（位置无关身份），即主体迁移节点后地址语义仍可保持。</w:t>
      </w:r>
    </w:p>
    <w:p>
      <w:pPr>
        <w:pStyle w:val="ListBullet"/>
        <w:spacing w:after="50"/>
      </w:pPr>
      <w:r>
        <w:t>至少支持 Subject Address（主体地址）、Capability Address（能力地址）、World Address（世界地址）和 Node Address（节点地址）。</w:t>
      </w:r>
    </w:p>
    <w:p>
      <w:pPr>
        <w:pStyle w:val="ListBullet"/>
        <w:spacing w:after="50"/>
      </w:pPr>
      <w:r>
        <w:t>地址解析必须允许多路径、多 Provider 和离线 / 局部解析策略。</w:t>
      </w:r>
    </w:p>
    <w:p>
      <w:pPr>
        <w:pStyle w:val="ListBullet"/>
        <w:spacing w:after="50"/>
      </w:pPr>
      <w:r>
        <w:t>地址不是永久信任：成功解析不得自动授予权限。</w:t>
      </w:r>
    </w:p>
    <w:p>
      <w:pPr>
        <w:pStyle w:val="Heading2"/>
      </w:pPr>
      <w:r>
        <w:t>9.3 P03 Discovery &amp; Presence（发现与存在）</w:t>
      </w:r>
    </w:p>
    <w:p>
      <w:pPr>
        <w:pStyle w:val="ListBullet"/>
        <w:spacing w:after="50"/>
      </w:pPr>
      <w:r>
        <w:t>发现结果必须区分“存在”“可达”“可用”“被授权可调用”。</w:t>
      </w:r>
    </w:p>
    <w:p>
      <w:pPr>
        <w:pStyle w:val="ListBullet"/>
        <w:spacing w:after="50"/>
      </w:pPr>
      <w:r>
        <w:t>能力发现必须返回能力契约、Provider、版本、状态、约束和可选可信证据。</w:t>
      </w:r>
    </w:p>
    <w:p>
      <w:pPr>
        <w:pStyle w:val="ListBullet"/>
        <w:spacing w:after="50"/>
      </w:pPr>
      <w:r>
        <w:t>陈旧 Presence（存在状态）必须有明确过期语义。</w:t>
      </w:r>
    </w:p>
    <w:p>
      <w:pPr>
        <w:pStyle w:val="ListBullet"/>
        <w:spacing w:after="50"/>
      </w:pPr>
      <w:r>
        <w:t>军事级剖面必须允许局部发现和中心不可达条件下的缓存 / 邻域发现；商用级必须能审计发现来源；生活化必须尽量零配置。</w:t>
      </w:r>
    </w:p>
    <w:p>
      <w:pPr>
        <w:pStyle w:val="Heading1"/>
      </w:pPr>
      <w:r>
        <w:t>10. P04-P06：意图、能力、权限、主权、信任与证据</w:t>
      </w:r>
    </w:p>
    <w:p>
      <w:pPr>
        <w:pStyle w:val="Heading2"/>
      </w:pPr>
      <w:r>
        <w:t>10.1 P04 Intent &amp; Capability Negotiation（意图与能力协商）</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Subject 主体</w:t>
            </w:r>
            <w:r>
              <w:br/>
            </w:r>
            <w:r>
              <w:rPr>
                <w:rFonts w:ascii="Liberation Mono" w:hAnsi="Liberation Mono" w:eastAsia="Liberation Mono"/>
                <w:sz w:val="16"/>
              </w:rPr>
              <w:t>↓</w:t>
            </w:r>
            <w:r>
              <w:br/>
            </w:r>
            <w:r>
              <w:rPr>
                <w:rFonts w:ascii="Liberation Mono" w:hAnsi="Liberation Mono" w:eastAsia="Liberation Mono"/>
                <w:sz w:val="16"/>
              </w:rPr>
              <w:t>IntentSpec 意图规范</w:t>
            </w:r>
            <w:r>
              <w:br/>
            </w:r>
            <w:r>
              <w:rPr>
                <w:rFonts w:ascii="Liberation Mono" w:hAnsi="Liberation Mono" w:eastAsia="Liberation Mono"/>
                <w:sz w:val="16"/>
              </w:rPr>
              <w:t>↓</w:t>
            </w:r>
            <w:r>
              <w:br/>
            </w:r>
            <w:r>
              <w:rPr>
                <w:rFonts w:ascii="Liberation Mono" w:hAnsi="Liberation Mono" w:eastAsia="Liberation Mono"/>
                <w:sz w:val="16"/>
              </w:rPr>
              <w:t>Capability Requirement 能力需求</w:t>
            </w:r>
            <w:r>
              <w:br/>
            </w:r>
            <w:r>
              <w:rPr>
                <w:rFonts w:ascii="Liberation Mono" w:hAnsi="Liberation Mono" w:eastAsia="Liberation Mono"/>
                <w:sz w:val="16"/>
              </w:rPr>
              <w:t>↓</w:t>
            </w:r>
            <w:r>
              <w:br/>
            </w:r>
            <w:r>
              <w:rPr>
                <w:rFonts w:ascii="Liberation Mono" w:hAnsi="Liberation Mono" w:eastAsia="Liberation Mono"/>
                <w:sz w:val="16"/>
              </w:rPr>
              <w:t>Provider Candidates 候选能力提供器</w:t>
            </w:r>
            <w:r>
              <w:br/>
            </w:r>
            <w:r>
              <w:rPr>
                <w:rFonts w:ascii="Liberation Mono" w:hAnsi="Liberation Mono" w:eastAsia="Liberation Mono"/>
                <w:sz w:val="16"/>
              </w:rPr>
              <w:t>↓</w:t>
            </w:r>
            <w:r>
              <w:br/>
            </w:r>
            <w:r>
              <w:rPr>
                <w:rFonts w:ascii="Liberation Mono" w:hAnsi="Liberation Mono" w:eastAsia="Liberation Mono"/>
                <w:sz w:val="16"/>
              </w:rPr>
              <w:t>Authority / Resource / Trust Check 权限 / 资源 / 信任检查</w:t>
            </w:r>
            <w:r>
              <w:br/>
            </w:r>
            <w:r>
              <w:rPr>
                <w:rFonts w:ascii="Liberation Mono" w:hAnsi="Liberation Mono" w:eastAsia="Liberation Mono"/>
                <w:sz w:val="16"/>
              </w:rPr>
              <w:t>↓</w:t>
            </w:r>
            <w:r>
              <w:br/>
            </w:r>
            <w:r>
              <w:rPr>
                <w:rFonts w:ascii="Liberation Mono" w:hAnsi="Liberation Mono" w:eastAsia="Liberation Mono"/>
                <w:sz w:val="16"/>
              </w:rPr>
              <w:t>Agreement 协商结果</w:t>
            </w:r>
            <w:r>
              <w:br/>
            </w:r>
            <w:r>
              <w:rPr>
                <w:rFonts w:ascii="Liberation Mono" w:hAnsi="Liberation Mono" w:eastAsia="Liberation Mono"/>
                <w:sz w:val="16"/>
              </w:rPr>
              <w:t>↓</w:t>
            </w:r>
            <w:r>
              <w:br/>
            </w:r>
            <w:r>
              <w:rPr>
                <w:rFonts w:ascii="Liberation Mono" w:hAnsi="Liberation Mono" w:eastAsia="Liberation Mono"/>
                <w:sz w:val="16"/>
              </w:rPr>
              <w:t>Execution / Rejection / Degradation 执行 / 拒绝 / 降级</w:t>
            </w:r>
          </w:p>
        </w:tc>
      </w:tr>
    </w:tbl>
    <w:p/>
    <w:p>
      <w:pPr>
        <w:pStyle w:val="ListBullet"/>
        <w:spacing w:after="50"/>
      </w:pPr>
      <w:r>
        <w:t>意图协议不得自行授予权限。</w:t>
      </w:r>
    </w:p>
    <w:p>
      <w:pPr>
        <w:pStyle w:val="ListBullet"/>
        <w:spacing w:after="50"/>
      </w:pPr>
      <w:r>
        <w:t>业务载荷不得自行指定可执行 Provider 或绕过能力注册表。</w:t>
      </w:r>
    </w:p>
    <w:p>
      <w:pPr>
        <w:pStyle w:val="ListBullet"/>
        <w:spacing w:after="50"/>
      </w:pPr>
      <w:r>
        <w:t>能力匹配必须保留契约版本、输入输出、前置条件、保证和降级差异。</w:t>
      </w:r>
    </w:p>
    <w:p>
      <w:pPr>
        <w:pStyle w:val="ListBullet"/>
        <w:spacing w:after="50"/>
      </w:pPr>
      <w:r>
        <w:t>TINP v0.2 当前已验证主体 / 能力地址、能力路由、权限交集、会话迁移和证据回执，可作为此域的现有实验资产，而非最终规范。</w:t>
      </w:r>
    </w:p>
    <w:p>
      <w:pPr>
        <w:pStyle w:val="Heading2"/>
      </w:pPr>
      <w:r>
        <w:t>10.2 P05 Authority &amp; Sovereignty（权限与主权）</w:t>
      </w:r>
    </w:p>
    <w:p>
      <w:pPr>
        <w:pStyle w:val="ListBullet"/>
        <w:spacing w:after="50"/>
      </w:pPr>
      <w:r>
        <w:t>授权必须是显式对象，可包含范围、世界、期限、用途、可委托性和撤销策略。</w:t>
      </w:r>
    </w:p>
    <w:p>
      <w:pPr>
        <w:pStyle w:val="ListBullet"/>
        <w:spacing w:after="50"/>
      </w:pPr>
      <w:r>
        <w:t>跨世界共享、跨主体代表、高影响现实动作必须经过显式权限路径。</w:t>
      </w:r>
    </w:p>
    <w:p>
      <w:pPr>
        <w:pStyle w:val="ListBullet"/>
        <w:spacing w:after="50"/>
      </w:pPr>
      <w:r>
        <w:t>主权域定义最终裁决者；AI、节点、Provider 不得仅因执行能力强而获得主体定义权。</w:t>
      </w:r>
    </w:p>
    <w:p>
      <w:pPr>
        <w:pStyle w:val="ListBullet"/>
        <w:spacing w:after="50"/>
      </w:pPr>
      <w:r>
        <w:t>离线场景可使用预先签发、范围受限、时间受限的 Authority Lease（权限租约）；恢复连接后必须进行证据对账与撤销同步。</w:t>
      </w:r>
    </w:p>
    <w:p>
      <w:pPr>
        <w:pStyle w:val="Heading2"/>
      </w:pPr>
      <w:r>
        <w:t>10.3 P06 Trust, Evidence &amp; Provenance（信任、证据与来源）</w:t>
      </w:r>
    </w:p>
    <w:p>
      <w:pPr>
        <w:pStyle w:val="ListBullet"/>
        <w:spacing w:after="50"/>
      </w:pPr>
      <w:r>
        <w:t>Evidence（证据）记录发生了什么；Trust（信任）是基于证据和策略计算出的状态，两者不得混同。</w:t>
      </w:r>
    </w:p>
    <w:p>
      <w:pPr>
        <w:pStyle w:val="ListBullet"/>
        <w:spacing w:after="50"/>
      </w:pPr>
      <w:r>
        <w:t>关键执行必须产生可链接回执，包括发起主体、Provider、权限引用、输入摘要、结果摘要、时间、版本与前一证据锚点。</w:t>
      </w:r>
    </w:p>
    <w:p>
      <w:pPr>
        <w:pStyle w:val="ListBullet"/>
        <w:spacing w:after="50"/>
      </w:pPr>
      <w:r>
        <w:t>AI 的解释、归因和置信度必须作为二级对象附着在证据上，不得覆盖原始证据。</w:t>
      </w:r>
    </w:p>
    <w:p>
      <w:pPr>
        <w:pStyle w:val="ListBullet"/>
        <w:spacing w:after="50"/>
      </w:pPr>
      <w:r>
        <w:t>军事级强调抗欺骗与局部证据连续；商用级强调审计和责任链；生活化强调把证据翻译成人类可理解说明。</w:t>
      </w:r>
    </w:p>
    <w:p>
      <w:pPr>
        <w:pStyle w:val="Heading1"/>
      </w:pPr>
      <w:r>
        <w:t>11. P07 路由：从网络路径升级为现实约束路径</w:t>
      </w:r>
    </w:p>
    <w:p>
      <w:r>
        <w:t>P07 Routing &amp; Path Selection（路由与路径选择）不只寻找“能到”的路径，还要寻找“在当前主体、权限、资源和现实条件下有资格走”的路径。</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val="true"/>
        </w:trPr>
        <w:tc>
          <w:tcPr>
            <w:tcW w:type="dxa" w:w="1984"/>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路由维度</w:t>
            </w:r>
          </w:p>
        </w:tc>
        <w:tc>
          <w:tcPr>
            <w:tcW w:type="dxa" w:w="192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示例</w:t>
            </w:r>
          </w:p>
        </w:tc>
        <w:tc>
          <w:tcPr>
            <w:tcW w:type="dxa" w:w="1757"/>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军事级关注</w:t>
            </w:r>
          </w:p>
        </w:tc>
        <w:tc>
          <w:tcPr>
            <w:tcW w:type="dxa" w:w="1757"/>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商用级关注</w:t>
            </w:r>
          </w:p>
        </w:tc>
        <w:tc>
          <w:tcPr>
            <w:tcW w:type="dxa" w:w="1871"/>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4"/>
              </w:rPr>
              <w:t>生活化关注</w:t>
            </w:r>
          </w:p>
        </w:tc>
      </w:tr>
      <w:tr>
        <w:trPr>
          <w:cantSplit w:val="true"/>
        </w:trPr>
        <w:tc>
          <w:tcPr>
            <w:tcW w:type="dxa" w:w="1984"/>
            <w:tcMar>
              <w:top w:w="80" w:type="dxa"/>
              <w:bottom w:w="80" w:type="dxa"/>
              <w:start w:w="95" w:type="dxa"/>
              <w:end w:w="95" w:type="dxa"/>
            </w:tcMar>
            <w:vAlign w:val="center"/>
          </w:tcPr>
          <w:p>
            <w:pPr>
              <w:spacing w:after="0"/>
            </w:pPr>
            <w:r/>
            <w:r>
              <w:rPr>
                <w:rFonts w:ascii="Noto Sans CJK SC" w:hAnsi="Noto Sans CJK SC" w:eastAsia="Noto Sans CJK SC"/>
                <w:b/>
                <w:sz w:val="14"/>
              </w:rPr>
              <w:t>Reachability（可达性）</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4"/>
              </w:rPr>
              <w:t>能否到达目标主体 / 能力</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多路径、分区</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稳定性</w:t>
            </w:r>
          </w:p>
        </w:tc>
        <w:tc>
          <w:tcPr>
            <w:tcW w:type="dxa" w:w="1871"/>
            <w:tcMar>
              <w:top w:w="80" w:type="dxa"/>
              <w:bottom w:w="80" w:type="dxa"/>
              <w:start w:w="95" w:type="dxa"/>
              <w:end w:w="95" w:type="dxa"/>
            </w:tcMar>
            <w:vAlign w:val="center"/>
          </w:tcPr>
          <w:p>
            <w:pPr>
              <w:spacing w:after="0"/>
            </w:pPr>
            <w:r/>
            <w:r>
              <w:rPr>
                <w:rFonts w:ascii="Noto Sans CJK SC" w:hAnsi="Noto Sans CJK SC" w:eastAsia="Noto Sans CJK SC"/>
                <w:b w:val="0"/>
                <w:sz w:val="14"/>
              </w:rPr>
              <w:t>自动恢复</w:t>
            </w:r>
          </w:p>
        </w:tc>
      </w:tr>
      <w:tr>
        <w:trPr>
          <w:cantSplit w:val="true"/>
        </w:trPr>
        <w:tc>
          <w:tcPr>
            <w:tcW w:type="dxa" w:w="198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Latency（时延）</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&lt; 200 ms</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关键路径优先</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SLA</w:t>
            </w:r>
          </w:p>
        </w:tc>
        <w:tc>
          <w:tcPr>
            <w:tcW w:type="dxa" w:w="1871"/>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感知流畅</w:t>
            </w:r>
          </w:p>
        </w:tc>
      </w:tr>
      <w:tr>
        <w:trPr>
          <w:cantSplit w:val="true"/>
        </w:trPr>
        <w:tc>
          <w:tcPr>
            <w:tcW w:type="dxa" w:w="1984"/>
            <w:tcMar>
              <w:top w:w="80" w:type="dxa"/>
              <w:bottom w:w="80" w:type="dxa"/>
              <w:start w:w="95" w:type="dxa"/>
              <w:end w:w="95" w:type="dxa"/>
            </w:tcMar>
            <w:vAlign w:val="center"/>
          </w:tcPr>
          <w:p>
            <w:pPr>
              <w:spacing w:after="0"/>
            </w:pPr>
            <w:r/>
            <w:r>
              <w:rPr>
                <w:rFonts w:ascii="Noto Sans CJK SC" w:hAnsi="Noto Sans CJK SC" w:eastAsia="Noto Sans CJK SC"/>
                <w:b/>
                <w:sz w:val="14"/>
              </w:rPr>
              <w:t>Authority（权限）</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4"/>
              </w:rPr>
              <w:t>只读 / 可写 / 可委托</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最低权限</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责任链</w:t>
            </w:r>
          </w:p>
        </w:tc>
        <w:tc>
          <w:tcPr>
            <w:tcW w:type="dxa" w:w="1871"/>
            <w:tcMar>
              <w:top w:w="80" w:type="dxa"/>
              <w:bottom w:w="80" w:type="dxa"/>
              <w:start w:w="95" w:type="dxa"/>
              <w:end w:w="95" w:type="dxa"/>
            </w:tcMar>
            <w:vAlign w:val="center"/>
          </w:tcPr>
          <w:p>
            <w:pPr>
              <w:spacing w:after="0"/>
            </w:pPr>
            <w:r/>
            <w:r>
              <w:rPr>
                <w:rFonts w:ascii="Noto Sans CJK SC" w:hAnsi="Noto Sans CJK SC" w:eastAsia="Noto Sans CJK SC"/>
                <w:b w:val="0"/>
                <w:sz w:val="14"/>
              </w:rPr>
              <w:t>自然语言提示</w:t>
            </w:r>
          </w:p>
        </w:tc>
      </w:tr>
      <w:tr>
        <w:trPr>
          <w:cantSplit w:val="true"/>
        </w:trPr>
        <w:tc>
          <w:tcPr>
            <w:tcW w:type="dxa" w:w="198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Trust（信任）</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最低证据阈值</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抗欺骗</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合规</w:t>
            </w:r>
          </w:p>
        </w:tc>
        <w:tc>
          <w:tcPr>
            <w:tcW w:type="dxa" w:w="1871"/>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默认安全</w:t>
            </w:r>
          </w:p>
        </w:tc>
      </w:tr>
      <w:tr>
        <w:trPr>
          <w:cantSplit w:val="true"/>
        </w:trPr>
        <w:tc>
          <w:tcPr>
            <w:tcW w:type="dxa" w:w="1984"/>
            <w:tcMar>
              <w:top w:w="80" w:type="dxa"/>
              <w:bottom w:w="80" w:type="dxa"/>
              <w:start w:w="95" w:type="dxa"/>
              <w:end w:w="95" w:type="dxa"/>
            </w:tcMar>
            <w:vAlign w:val="center"/>
          </w:tcPr>
          <w:p>
            <w:pPr>
              <w:spacing w:after="0"/>
            </w:pPr>
            <w:r/>
            <w:r>
              <w:rPr>
                <w:rFonts w:ascii="Noto Sans CJK SC" w:hAnsi="Noto Sans CJK SC" w:eastAsia="Noto Sans CJK SC"/>
                <w:b/>
                <w:sz w:val="14"/>
              </w:rPr>
              <w:t>Cost（成本）</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4"/>
              </w:rPr>
              <w:t>每次调用上限</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资源生存</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预算 / 计费</w:t>
            </w:r>
          </w:p>
        </w:tc>
        <w:tc>
          <w:tcPr>
            <w:tcW w:type="dxa" w:w="1871"/>
            <w:tcMar>
              <w:top w:w="80" w:type="dxa"/>
              <w:bottom w:w="80" w:type="dxa"/>
              <w:start w:w="95" w:type="dxa"/>
              <w:end w:w="95" w:type="dxa"/>
            </w:tcMar>
            <w:vAlign w:val="center"/>
          </w:tcPr>
          <w:p>
            <w:pPr>
              <w:spacing w:after="0"/>
            </w:pPr>
            <w:r/>
            <w:r>
              <w:rPr>
                <w:rFonts w:ascii="Noto Sans CJK SC" w:hAnsi="Noto Sans CJK SC" w:eastAsia="Noto Sans CJK SC"/>
                <w:b w:val="0"/>
                <w:sz w:val="14"/>
              </w:rPr>
              <w:t>自动控费</w:t>
            </w:r>
          </w:p>
        </w:tc>
      </w:tr>
      <w:tr>
        <w:trPr>
          <w:cantSplit w:val="true"/>
        </w:trPr>
        <w:tc>
          <w:tcPr>
            <w:tcW w:type="dxa" w:w="198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Region（地域）</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数据不得离开指定区域</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主权边界</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合规</w:t>
            </w:r>
          </w:p>
        </w:tc>
        <w:tc>
          <w:tcPr>
            <w:tcW w:type="dxa" w:w="1871"/>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无需用户理解</w:t>
            </w:r>
          </w:p>
        </w:tc>
      </w:tr>
      <w:tr>
        <w:trPr>
          <w:cantSplit w:val="true"/>
        </w:trPr>
        <w:tc>
          <w:tcPr>
            <w:tcW w:type="dxa" w:w="1984"/>
            <w:tcMar>
              <w:top w:w="80" w:type="dxa"/>
              <w:bottom w:w="80" w:type="dxa"/>
              <w:start w:w="95" w:type="dxa"/>
              <w:end w:w="95" w:type="dxa"/>
            </w:tcMar>
            <w:vAlign w:val="center"/>
          </w:tcPr>
          <w:p>
            <w:pPr>
              <w:spacing w:after="0"/>
            </w:pPr>
            <w:r/>
            <w:r>
              <w:rPr>
                <w:rFonts w:ascii="Noto Sans CJK SC" w:hAnsi="Noto Sans CJK SC" w:eastAsia="Noto Sans CJK SC"/>
                <w:b/>
                <w:sz w:val="14"/>
              </w:rPr>
              <w:t>Energy（能耗）</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4"/>
              </w:rPr>
              <w:t>低功耗优先</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续航</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运营成本</w:t>
            </w:r>
          </w:p>
        </w:tc>
        <w:tc>
          <w:tcPr>
            <w:tcW w:type="dxa" w:w="1871"/>
            <w:tcMar>
              <w:top w:w="80" w:type="dxa"/>
              <w:bottom w:w="80" w:type="dxa"/>
              <w:start w:w="95" w:type="dxa"/>
              <w:end w:w="95" w:type="dxa"/>
            </w:tcMar>
            <w:vAlign w:val="center"/>
          </w:tcPr>
          <w:p>
            <w:pPr>
              <w:spacing w:after="0"/>
            </w:pPr>
            <w:r/>
            <w:r>
              <w:rPr>
                <w:rFonts w:ascii="Noto Sans CJK SC" w:hAnsi="Noto Sans CJK SC" w:eastAsia="Noto Sans CJK SC"/>
                <w:b w:val="0"/>
                <w:sz w:val="14"/>
              </w:rPr>
              <w:t>设备不发热</w:t>
            </w:r>
          </w:p>
        </w:tc>
      </w:tr>
      <w:tr>
        <w:trPr>
          <w:cantSplit w:val="true"/>
        </w:trPr>
        <w:tc>
          <w:tcPr>
            <w:tcW w:type="dxa" w:w="1984"/>
            <w:tcMar>
              <w:top w:w="80" w:type="dxa"/>
              <w:bottom w:w="80" w:type="dxa"/>
              <w:start w:w="95" w:type="dxa"/>
              <w:end w:w="95" w:type="dxa"/>
            </w:tcMar>
            <w:vAlign w:val="center"/>
            <w:shd w:fill="F7F9FA"/>
          </w:tcPr>
          <w:p>
            <w:pPr>
              <w:spacing w:after="0"/>
            </w:pPr>
            <w:r/>
            <w:r>
              <w:rPr>
                <w:rFonts w:ascii="Noto Sans CJK SC" w:hAnsi="Noto Sans CJK SC" w:eastAsia="Noto Sans CJK SC"/>
                <w:b/>
                <w:sz w:val="14"/>
              </w:rPr>
              <w:t>Survivability（生存性）</w:t>
            </w:r>
          </w:p>
        </w:tc>
        <w:tc>
          <w:tcPr>
            <w:tcW w:type="dxa" w:w="1928"/>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主路径失败仍有替代</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核心</w:t>
            </w:r>
          </w:p>
        </w:tc>
        <w:tc>
          <w:tcPr>
            <w:tcW w:type="dxa" w:w="1757"/>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灾备</w:t>
            </w:r>
          </w:p>
        </w:tc>
        <w:tc>
          <w:tcPr>
            <w:tcW w:type="dxa" w:w="1871"/>
            <w:tcMar>
              <w:top w:w="80" w:type="dxa"/>
              <w:bottom w:w="80" w:type="dxa"/>
              <w:start w:w="95" w:type="dxa"/>
              <w:end w:w="95" w:type="dxa"/>
            </w:tcMar>
            <w:vAlign w:val="center"/>
            <w:shd w:fill="F7F9FA"/>
          </w:tcPr>
          <w:p>
            <w:pPr>
              <w:spacing w:after="0"/>
            </w:pPr>
            <w:r/>
            <w:r>
              <w:rPr>
                <w:rFonts w:ascii="Noto Sans CJK SC" w:hAnsi="Noto Sans CJK SC" w:eastAsia="Noto Sans CJK SC"/>
                <w:b w:val="0"/>
                <w:sz w:val="14"/>
              </w:rPr>
              <w:t>无感切换</w:t>
            </w:r>
          </w:p>
        </w:tc>
      </w:tr>
      <w:tr>
        <w:trPr>
          <w:cantSplit w:val="true"/>
        </w:trPr>
        <w:tc>
          <w:tcPr>
            <w:tcW w:type="dxa" w:w="1984"/>
            <w:tcMar>
              <w:top w:w="80" w:type="dxa"/>
              <w:bottom w:w="80" w:type="dxa"/>
              <w:start w:w="95" w:type="dxa"/>
              <w:end w:w="95" w:type="dxa"/>
            </w:tcMar>
            <w:vAlign w:val="center"/>
          </w:tcPr>
          <w:p>
            <w:pPr>
              <w:spacing w:after="0"/>
            </w:pPr>
            <w:r/>
            <w:r>
              <w:rPr>
                <w:rFonts w:ascii="Noto Sans CJK SC" w:hAnsi="Noto Sans CJK SC" w:eastAsia="Noto Sans CJK SC"/>
                <w:b/>
                <w:sz w:val="14"/>
              </w:rPr>
              <w:t>Semantic Fit（语义匹配）</w:t>
            </w:r>
          </w:p>
        </w:tc>
        <w:tc>
          <w:tcPr>
            <w:tcW w:type="dxa" w:w="1928"/>
            <w:tcMar>
              <w:top w:w="80" w:type="dxa"/>
              <w:bottom w:w="80" w:type="dxa"/>
              <w:start w:w="95" w:type="dxa"/>
              <w:end w:w="95" w:type="dxa"/>
            </w:tcMar>
            <w:vAlign w:val="center"/>
          </w:tcPr>
          <w:p>
            <w:pPr>
              <w:spacing w:after="0"/>
            </w:pPr>
            <w:r/>
            <w:r>
              <w:rPr>
                <w:rFonts w:ascii="Noto Sans CJK SC" w:hAnsi="Noto Sans CJK SC" w:eastAsia="Noto Sans CJK SC"/>
                <w:b w:val="0"/>
                <w:sz w:val="14"/>
              </w:rPr>
              <w:t>Provider 满足能力契约</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保真</w:t>
            </w:r>
          </w:p>
        </w:tc>
        <w:tc>
          <w:tcPr>
            <w:tcW w:type="dxa" w:w="1757"/>
            <w:tcMar>
              <w:top w:w="80" w:type="dxa"/>
              <w:bottom w:w="80" w:type="dxa"/>
              <w:start w:w="95" w:type="dxa"/>
              <w:end w:w="95" w:type="dxa"/>
            </w:tcMar>
            <w:vAlign w:val="center"/>
          </w:tcPr>
          <w:p>
            <w:pPr>
              <w:spacing w:after="0"/>
            </w:pPr>
            <w:r/>
            <w:r>
              <w:rPr>
                <w:rFonts w:ascii="Noto Sans CJK SC" w:hAnsi="Noto Sans CJK SC" w:eastAsia="Noto Sans CJK SC"/>
                <w:b w:val="0"/>
                <w:sz w:val="14"/>
              </w:rPr>
              <w:t>服务一致</w:t>
            </w:r>
          </w:p>
        </w:tc>
        <w:tc>
          <w:tcPr>
            <w:tcW w:type="dxa" w:w="1871"/>
            <w:tcMar>
              <w:top w:w="80" w:type="dxa"/>
              <w:bottom w:w="80" w:type="dxa"/>
              <w:start w:w="95" w:type="dxa"/>
              <w:end w:w="95" w:type="dxa"/>
            </w:tcMar>
            <w:vAlign w:val="center"/>
          </w:tcPr>
          <w:p>
            <w:pPr>
              <w:spacing w:after="0"/>
            </w:pPr>
            <w:r/>
            <w:r>
              <w:rPr>
                <w:rFonts w:ascii="Noto Sans CJK SC" w:hAnsi="Noto Sans CJK SC" w:eastAsia="Noto Sans CJK SC"/>
                <w:b w:val="0"/>
                <w:sz w:val="14"/>
              </w:rPr>
              <w:t>结果符合意图</w:t>
            </w:r>
          </w:p>
        </w:tc>
      </w:tr>
    </w:tbl>
    <w:p/>
    <w:p>
      <w:pPr>
        <w:pStyle w:val="Heading2"/>
      </w:pPr>
      <w:r>
        <w:t>11.1 路由输出</w:t>
      </w:r>
    </w:p>
    <w:p>
      <w:pPr>
        <w:pStyle w:val="ListBullet"/>
        <w:spacing w:after="50"/>
      </w:pPr>
      <w:r>
        <w:t>主路径与候选备份路径。</w:t>
      </w:r>
    </w:p>
    <w:p>
      <w:pPr>
        <w:pStyle w:val="ListBullet"/>
        <w:spacing w:after="50"/>
      </w:pPr>
      <w:r>
        <w:t>路径约束被满足 / 被降级的证据。</w:t>
      </w:r>
    </w:p>
    <w:p>
      <w:pPr>
        <w:pStyle w:val="ListBullet"/>
        <w:spacing w:after="50"/>
      </w:pPr>
      <w:r>
        <w:t>预计资源成本、可信等级和有效期。</w:t>
      </w:r>
    </w:p>
    <w:p>
      <w:pPr>
        <w:pStyle w:val="ListBullet"/>
        <w:spacing w:after="50"/>
      </w:pPr>
      <w:r>
        <w:t>每一跳允许看到 / 修改的对象范围。</w:t>
      </w:r>
    </w:p>
    <w:p>
      <w:pPr>
        <w:pStyle w:val="ListBullet"/>
        <w:spacing w:after="50"/>
      </w:pPr>
      <w:r>
        <w:t>失败时的回退、重试、迁移或隔离策略。</w:t>
      </w:r>
    </w:p>
    <w:p>
      <w:pPr>
        <w:pStyle w:val="Heading1"/>
      </w:pPr>
      <w:r>
        <w:t>12. P08-P09：会话连续性与传输适配</w:t>
      </w:r>
    </w:p>
    <w:p>
      <w:pPr>
        <w:pStyle w:val="Heading2"/>
      </w:pPr>
      <w:r>
        <w:t>12.1 Session State Machine（会话状态机）</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CREATED 已创建</w:t>
            </w:r>
            <w:r>
              <w:br/>
            </w:r>
            <w:r>
              <w:rPr>
                <w:rFonts w:ascii="Liberation Mono" w:hAnsi="Liberation Mono" w:eastAsia="Liberation Mono"/>
                <w:sz w:val="16"/>
              </w:rPr>
              <w:t xml:space="preserve">  ↓</w:t>
            </w:r>
            <w:r>
              <w:br/>
            </w:r>
            <w:r>
              <w:rPr>
                <w:rFonts w:ascii="Liberation Mono" w:hAnsi="Liberation Mono" w:eastAsia="Liberation Mono"/>
                <w:sz w:val="16"/>
              </w:rPr>
              <w:t>NEGOTIATING 协商中</w:t>
            </w:r>
            <w:r>
              <w:br/>
            </w:r>
            <w:r>
              <w:rPr>
                <w:rFonts w:ascii="Liberation Mono" w:hAnsi="Liberation Mono" w:eastAsia="Liberation Mono"/>
                <w:sz w:val="16"/>
              </w:rPr>
              <w:t xml:space="preserve">  ↓</w:t>
            </w:r>
            <w:r>
              <w:br/>
            </w:r>
            <w:r>
              <w:rPr>
                <w:rFonts w:ascii="Liberation Mono" w:hAnsi="Liberation Mono" w:eastAsia="Liberation Mono"/>
                <w:sz w:val="16"/>
              </w:rPr>
              <w:t>ACTIVE 活跃</w:t>
            </w:r>
            <w:r>
              <w:br/>
            </w:r>
            <w:r>
              <w:rPr>
                <w:rFonts w:ascii="Liberation Mono" w:hAnsi="Liberation Mono" w:eastAsia="Liberation Mono"/>
                <w:sz w:val="16"/>
              </w:rPr>
              <w:t xml:space="preserve">  ├─→ DEGRADED 降级 ──→ ACTIVE</w:t>
            </w:r>
            <w:r>
              <w:br/>
            </w:r>
            <w:r>
              <w:rPr>
                <w:rFonts w:ascii="Liberation Mono" w:hAnsi="Liberation Mono" w:eastAsia="Liberation Mono"/>
                <w:sz w:val="16"/>
              </w:rPr>
              <w:t xml:space="preserve">  ├─→ MIGRATING 迁移 ─→ ACTIVE</w:t>
            </w:r>
            <w:r>
              <w:br/>
            </w:r>
            <w:r>
              <w:rPr>
                <w:rFonts w:ascii="Liberation Mono" w:hAnsi="Liberation Mono" w:eastAsia="Liberation Mono"/>
                <w:sz w:val="16"/>
              </w:rPr>
              <w:t xml:space="preserve">  ├─→ SUSPENDED 挂起 ─→ ACTIVE / CLOSED</w:t>
            </w:r>
            <w:r>
              <w:br/>
            </w:r>
            <w:r>
              <w:rPr>
                <w:rFonts w:ascii="Liberation Mono" w:hAnsi="Liberation Mono" w:eastAsia="Liberation Mono"/>
                <w:sz w:val="16"/>
              </w:rPr>
              <w:t xml:space="preserve">  ├─→ REVOKED 已撤销</w:t>
            </w:r>
            <w:r>
              <w:br/>
            </w:r>
            <w:r>
              <w:rPr>
                <w:rFonts w:ascii="Liberation Mono" w:hAnsi="Liberation Mono" w:eastAsia="Liberation Mono"/>
                <w:sz w:val="16"/>
              </w:rPr>
              <w:t xml:space="preserve">  └─→ CLOSED 已关闭</w:t>
            </w:r>
          </w:p>
        </w:tc>
      </w:tr>
    </w:tbl>
    <w:p/>
    <w:p>
      <w:pPr>
        <w:pStyle w:val="ListBullet"/>
        <w:spacing w:after="50"/>
      </w:pPr>
      <w:r>
        <w:t>Session（会话）必须绑定主体关系和授权，不得只绑定 IP + 端口。</w:t>
      </w:r>
    </w:p>
    <w:p>
      <w:pPr>
        <w:pStyle w:val="ListBullet"/>
        <w:spacing w:after="50"/>
      </w:pPr>
      <w:r>
        <w:t>Session Migration（会话迁移）后必须保持主体、授权上限、连续性锚点与证据链。</w:t>
      </w:r>
    </w:p>
    <w:p>
      <w:pPr>
        <w:pStyle w:val="ListBullet"/>
        <w:spacing w:after="50"/>
      </w:pPr>
      <w:r>
        <w:t>断网可进入 D3 / D4，本地积累的事件在恢复后按规则同步，不允许把离线推断直接当权威现实。</w:t>
      </w:r>
    </w:p>
    <w:p>
      <w:pPr>
        <w:pStyle w:val="Heading2"/>
      </w:pPr>
      <w:r>
        <w:t>12.2 P09 Transport Adaptation（传输适配）</w:t>
      </w:r>
    </w:p>
    <w:p>
      <w:r>
        <w:t>传输适配层负责把上层协议语义映射到现有或未来承载。上层不得依赖某一具体传输成为唯一实现。</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835"/>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承载 Provider</w:t>
            </w:r>
          </w:p>
        </w:tc>
        <w:tc>
          <w:tcPr>
            <w:tcW w:type="dxa" w:w="294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适合场景</w:t>
            </w:r>
          </w:p>
        </w:tc>
        <w:tc>
          <w:tcPr>
            <w:tcW w:type="dxa" w:w="3969"/>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工程说明</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Loopback（回环）</w:t>
            </w:r>
          </w:p>
        </w:tc>
        <w:tc>
          <w:tcPr>
            <w:tcW w:type="dxa" w:w="2948"/>
            <w:tcMar>
              <w:top w:w="80" w:type="dxa"/>
              <w:bottom w:w="80" w:type="dxa"/>
              <w:start w:w="95" w:type="dxa"/>
              <w:end w:w="95" w:type="dxa"/>
            </w:tcMar>
            <w:vAlign w:val="center"/>
          </w:tcPr>
          <w:p>
            <w:pPr>
              <w:spacing w:after="0"/>
            </w:pPr>
            <w:r/>
            <w:r>
              <w:rPr>
                <w:rFonts w:ascii="Noto Sans CJK SC" w:hAnsi="Noto Sans CJK SC" w:eastAsia="Noto Sans CJK SC"/>
                <w:b w:val="0"/>
                <w:sz w:val="16"/>
              </w:rPr>
              <w:t>本地测试 / 单机</w:t>
            </w:r>
          </w:p>
        </w:tc>
        <w:tc>
          <w:tcPr>
            <w:tcW w:type="dxa" w:w="3969"/>
            <w:tcMar>
              <w:top w:w="80" w:type="dxa"/>
              <w:bottom w:w="80" w:type="dxa"/>
              <w:start w:w="95" w:type="dxa"/>
              <w:end w:w="95" w:type="dxa"/>
            </w:tcMar>
            <w:vAlign w:val="center"/>
          </w:tcPr>
          <w:p>
            <w:pPr>
              <w:spacing w:after="0"/>
            </w:pPr>
            <w:r/>
            <w:r>
              <w:rPr>
                <w:rFonts w:ascii="Noto Sans CJK SC" w:hAnsi="Noto Sans CJK SC" w:eastAsia="Noto Sans CJK SC"/>
                <w:b w:val="0"/>
                <w:sz w:val="16"/>
              </w:rPr>
              <w:t>最低参考实现。</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UDP（用户数据报协议）</w:t>
            </w:r>
          </w:p>
        </w:tc>
        <w:tc>
          <w:tcPr>
            <w:tcW w:type="dxa" w:w="294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轻量、实时、实验路由</w:t>
            </w:r>
          </w:p>
        </w:tc>
        <w:tc>
          <w:tcPr>
            <w:tcW w:type="dxa" w:w="3969"/>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需要上层自行补可靠性 / 安全策略。</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TCP（传输控制协议）</w:t>
            </w:r>
          </w:p>
        </w:tc>
        <w:tc>
          <w:tcPr>
            <w:tcW w:type="dxa" w:w="2948"/>
            <w:tcMar>
              <w:top w:w="80" w:type="dxa"/>
              <w:bottom w:w="80" w:type="dxa"/>
              <w:start w:w="95" w:type="dxa"/>
              <w:end w:w="95" w:type="dxa"/>
            </w:tcMar>
            <w:vAlign w:val="center"/>
          </w:tcPr>
          <w:p>
            <w:pPr>
              <w:spacing w:after="0"/>
            </w:pPr>
            <w:r/>
            <w:r>
              <w:rPr>
                <w:rFonts w:ascii="Noto Sans CJK SC" w:hAnsi="Noto Sans CJK SC" w:eastAsia="Noto Sans CJK SC"/>
                <w:b w:val="0"/>
                <w:sz w:val="16"/>
              </w:rPr>
              <w:t>兼容传统可靠流</w:t>
            </w:r>
          </w:p>
        </w:tc>
        <w:tc>
          <w:tcPr>
            <w:tcW w:type="dxa" w:w="3969"/>
            <w:tcMar>
              <w:top w:w="80" w:type="dxa"/>
              <w:bottom w:w="80" w:type="dxa"/>
              <w:start w:w="95" w:type="dxa"/>
              <w:end w:w="95" w:type="dxa"/>
            </w:tcMar>
            <w:vAlign w:val="center"/>
          </w:tcPr>
          <w:p>
            <w:pPr>
              <w:spacing w:after="0"/>
            </w:pPr>
            <w:r/>
            <w:r>
              <w:rPr>
                <w:rFonts w:ascii="Noto Sans CJK SC" w:hAnsi="Noto Sans CJK SC" w:eastAsia="Noto Sans CJK SC"/>
                <w:b w:val="0"/>
                <w:sz w:val="16"/>
              </w:rPr>
              <w:t>适合大量旧系统互操作。</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QUIC（快速 UDP 互联网连接）</w:t>
            </w:r>
          </w:p>
        </w:tc>
        <w:tc>
          <w:tcPr>
            <w:tcW w:type="dxa" w:w="294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现代加密多路复用</w:t>
            </w:r>
          </w:p>
        </w:tc>
        <w:tc>
          <w:tcPr>
            <w:tcW w:type="dxa" w:w="3969"/>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作为可选高能力承载。</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WebSocket（网页双向通信）</w:t>
            </w:r>
          </w:p>
        </w:tc>
        <w:tc>
          <w:tcPr>
            <w:tcW w:type="dxa" w:w="2948"/>
            <w:tcMar>
              <w:top w:w="80" w:type="dxa"/>
              <w:bottom w:w="80" w:type="dxa"/>
              <w:start w:w="95" w:type="dxa"/>
              <w:end w:w="95" w:type="dxa"/>
            </w:tcMar>
            <w:vAlign w:val="center"/>
          </w:tcPr>
          <w:p>
            <w:pPr>
              <w:spacing w:after="0"/>
            </w:pPr>
            <w:r/>
            <w:r>
              <w:rPr>
                <w:rFonts w:ascii="Noto Sans CJK SC" w:hAnsi="Noto Sans CJK SC" w:eastAsia="Noto Sans CJK SC"/>
                <w:b w:val="0"/>
                <w:sz w:val="16"/>
              </w:rPr>
              <w:t>浏览器 / 旧 Web 桥</w:t>
            </w:r>
          </w:p>
        </w:tc>
        <w:tc>
          <w:tcPr>
            <w:tcW w:type="dxa" w:w="3969"/>
            <w:tcMar>
              <w:top w:w="80" w:type="dxa"/>
              <w:bottom w:w="80" w:type="dxa"/>
              <w:start w:w="95" w:type="dxa"/>
              <w:end w:w="95" w:type="dxa"/>
            </w:tcMar>
            <w:vAlign w:val="center"/>
          </w:tcPr>
          <w:p>
            <w:pPr>
              <w:spacing w:after="0"/>
            </w:pPr>
            <w:r/>
            <w:r>
              <w:rPr>
                <w:rFonts w:ascii="Noto Sans CJK SC" w:hAnsi="Noto Sans CJK SC" w:eastAsia="Noto Sans CJK SC"/>
                <w:b w:val="0"/>
                <w:sz w:val="16"/>
              </w:rPr>
              <w:t>用于迁移期兼容。</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IPC（进程间通信）</w:t>
            </w:r>
          </w:p>
        </w:tc>
        <w:tc>
          <w:tcPr>
            <w:tcW w:type="dxa" w:w="294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本机器官 / Runtime</w:t>
            </w:r>
          </w:p>
        </w:tc>
        <w:tc>
          <w:tcPr>
            <w:tcW w:type="dxa" w:w="3969"/>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绕过不必要网络开销。</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Future Native（未来原生承载）</w:t>
            </w:r>
          </w:p>
        </w:tc>
        <w:tc>
          <w:tcPr>
            <w:tcW w:type="dxa" w:w="2948"/>
            <w:tcMar>
              <w:top w:w="80" w:type="dxa"/>
              <w:bottom w:w="80" w:type="dxa"/>
              <w:start w:w="95" w:type="dxa"/>
              <w:end w:w="95" w:type="dxa"/>
            </w:tcMar>
            <w:vAlign w:val="center"/>
          </w:tcPr>
          <w:p>
            <w:pPr>
              <w:spacing w:after="0"/>
            </w:pPr>
            <w:r/>
            <w:r>
              <w:rPr>
                <w:rFonts w:ascii="Noto Sans CJK SC" w:hAnsi="Noto Sans CJK SC" w:eastAsia="Noto Sans CJK SC"/>
                <w:b w:val="0"/>
                <w:sz w:val="16"/>
              </w:rPr>
              <w:t>未来下沉层</w:t>
            </w:r>
          </w:p>
        </w:tc>
        <w:tc>
          <w:tcPr>
            <w:tcW w:type="dxa" w:w="3969"/>
            <w:tcMar>
              <w:top w:w="80" w:type="dxa"/>
              <w:bottom w:w="80" w:type="dxa"/>
              <w:start w:w="95" w:type="dxa"/>
              <w:end w:w="95" w:type="dxa"/>
            </w:tcMar>
            <w:vAlign w:val="center"/>
          </w:tcPr>
          <w:p>
            <w:pPr>
              <w:spacing w:after="0"/>
            </w:pPr>
            <w:r/>
            <w:r>
              <w:rPr>
                <w:rFonts w:ascii="Noto Sans CJK SC" w:hAnsi="Noto Sans CJK SC" w:eastAsia="Noto Sans CJK SC"/>
                <w:b w:val="0"/>
                <w:sz w:val="16"/>
              </w:rPr>
              <w:t>本规范预留，不提前绑定。</w:t>
            </w:r>
          </w:p>
        </w:tc>
      </w:tr>
    </w:tbl>
    <w:p/>
    <w:p>
      <w:pPr>
        <w:pStyle w:val="Heading1"/>
      </w:pPr>
      <w:r>
        <w:t>13. P10-P11：资源、SLA、价值、世界与数据</w:t>
      </w:r>
    </w:p>
    <w:p>
      <w:pPr>
        <w:pStyle w:val="Heading2"/>
      </w:pPr>
      <w:r>
        <w:t>13.1 Resource / SLA / Value（资源 / 服务等级 / 价值）</w:t>
      </w:r>
    </w:p>
    <w:p>
      <w:pPr>
        <w:pStyle w:val="ListBullet"/>
        <w:spacing w:after="50"/>
      </w:pPr>
      <w:r>
        <w:t>能力请求可附带 ResourceBudget（资源预算）：算力、内存、带宽、能源、时间、金钱。</w:t>
      </w:r>
    </w:p>
    <w:p>
      <w:pPr>
        <w:pStyle w:val="ListBullet"/>
        <w:spacing w:after="50"/>
      </w:pPr>
      <w:r>
        <w:t>商业 Provider 可以声明 SLA（服务等级协议）：成功率、时延、数据地域、保留期、可用性与责任边界。</w:t>
      </w:r>
    </w:p>
    <w:p>
      <w:pPr>
        <w:pStyle w:val="ListBullet"/>
        <w:spacing w:after="50"/>
      </w:pPr>
      <w:r>
        <w:t>路由与 Provider 选择必须能把 SLA 与资源约束纳入决策，而不是在应用层事后补合同。</w:t>
      </w:r>
    </w:p>
    <w:p>
      <w:pPr>
        <w:pStyle w:val="ListBullet"/>
        <w:spacing w:after="50"/>
      </w:pPr>
      <w:r>
        <w:t>计量与结算数据必须与执行证据链接，避免“计费发生了但无法证明服务发生了什么”。</w:t>
      </w:r>
    </w:p>
    <w:p>
      <w:pPr>
        <w:pStyle w:val="Heading2"/>
      </w:pPr>
      <w:r>
        <w:t>13.2 World &amp; Data Context（世界与数据上下文）</w:t>
      </w:r>
    </w:p>
    <w:p>
      <w:pPr>
        <w:pStyle w:val="ListBullet"/>
        <w:spacing w:after="50"/>
      </w:pPr>
      <w:r>
        <w:t>数据必须可以声明所属 World（世界）、Owner（所有者）、共享范围、生命周期和删除 / 保留策略。</w:t>
      </w:r>
    </w:p>
    <w:p>
      <w:pPr>
        <w:pStyle w:val="ListBullet"/>
        <w:spacing w:after="50"/>
      </w:pPr>
      <w:r>
        <w:t>世界是上下文和主权边界，不等于 VLAN（虚拟局域网）或传统网络段；同一世界可跨多个节点和传输。</w:t>
      </w:r>
    </w:p>
    <w:p>
      <w:pPr>
        <w:pStyle w:val="ListBullet"/>
        <w:spacing w:after="50"/>
      </w:pPr>
      <w:r>
        <w:t>跨世界数据移动必须带授权和来源信息。</w:t>
      </w:r>
    </w:p>
    <w:p>
      <w:pPr>
        <w:pStyle w:val="ListBullet"/>
        <w:spacing w:after="50"/>
      </w:pPr>
      <w:r>
        <w:t>世界状态必须区分 observed（已观测）、believed（当前认知）、predicted（预测）、candidate（候选）和 authoritative（权威）等状态类别，避免模拟污染现实。</w:t>
      </w:r>
    </w:p>
    <w:p>
      <w:pPr>
        <w:pStyle w:val="Heading1"/>
      </w:pPr>
      <w:r>
        <w:t>14. P12-P13：Application Seed（应用种子）与 Runtime（运行时）</w:t>
      </w:r>
    </w:p>
    <w:p>
      <w:r>
        <w:t>协议套件的软件侧目标不是创造另一个 APK / EXE / IPA，而是把“软件是什么”与“软件在某设备上如何运行”彻底解耦。</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3458"/>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Application Seed（应用种子）内容</w:t>
            </w:r>
          </w:p>
        </w:tc>
        <w:tc>
          <w:tcPr>
            <w:tcW w:type="dxa" w:w="6406"/>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说明</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Intent（意图）</w:t>
            </w:r>
          </w:p>
        </w:tc>
        <w:tc>
          <w:tcPr>
            <w:tcW w:type="dxa" w:w="6406"/>
            <w:tcMar>
              <w:top w:w="80" w:type="dxa"/>
              <w:bottom w:w="80" w:type="dxa"/>
              <w:start w:w="95" w:type="dxa"/>
              <w:end w:w="95" w:type="dxa"/>
            </w:tcMar>
            <w:vAlign w:val="center"/>
          </w:tcPr>
          <w:p>
            <w:pPr>
              <w:spacing w:after="0"/>
            </w:pPr>
            <w:r/>
            <w:r>
              <w:rPr>
                <w:rFonts w:ascii="Noto Sans CJK SC" w:hAnsi="Noto Sans CJK SC" w:eastAsia="Noto Sans CJK SC"/>
                <w:b w:val="0"/>
                <w:sz w:val="16"/>
              </w:rPr>
              <w:t>软件解决什么问题、服务什么情境。</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Program Logic（程序逻辑）</w:t>
            </w:r>
          </w:p>
        </w:tc>
        <w:tc>
          <w:tcPr>
            <w:tcW w:type="dxa" w:w="640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平台无关核心逻辑或可 Lowering 的表示。</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Data Model（数据模型）</w:t>
            </w:r>
          </w:p>
        </w:tc>
        <w:tc>
          <w:tcPr>
            <w:tcW w:type="dxa" w:w="6406"/>
            <w:tcMar>
              <w:top w:w="80" w:type="dxa"/>
              <w:bottom w:w="80" w:type="dxa"/>
              <w:start w:w="95" w:type="dxa"/>
              <w:end w:w="95" w:type="dxa"/>
            </w:tcMar>
            <w:vAlign w:val="center"/>
          </w:tcPr>
          <w:p>
            <w:pPr>
              <w:spacing w:after="0"/>
            </w:pPr>
            <w:r/>
            <w:r>
              <w:rPr>
                <w:rFonts w:ascii="Noto Sans CJK SC" w:hAnsi="Noto Sans CJK SC" w:eastAsia="Noto Sans CJK SC"/>
                <w:b w:val="0"/>
                <w:sz w:val="16"/>
              </w:rPr>
              <w:t>状态、对象、持久化和迁移规则。</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Capability Requirements（能力需求）</w:t>
            </w:r>
          </w:p>
        </w:tc>
        <w:tc>
          <w:tcPr>
            <w:tcW w:type="dxa" w:w="640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存储、网络、摄像头、GPU、AI 推理等。</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Authority Requirements（权限需求）</w:t>
            </w:r>
          </w:p>
        </w:tc>
        <w:tc>
          <w:tcPr>
            <w:tcW w:type="dxa" w:w="6406"/>
            <w:tcMar>
              <w:top w:w="80" w:type="dxa"/>
              <w:bottom w:w="80" w:type="dxa"/>
              <w:start w:w="95" w:type="dxa"/>
              <w:end w:w="95" w:type="dxa"/>
            </w:tcMar>
            <w:vAlign w:val="center"/>
          </w:tcPr>
          <w:p>
            <w:pPr>
              <w:spacing w:after="0"/>
            </w:pPr>
            <w:r/>
            <w:r>
              <w:rPr>
                <w:rFonts w:ascii="Noto Sans CJK SC" w:hAnsi="Noto Sans CJK SC" w:eastAsia="Noto Sans CJK SC"/>
                <w:b w:val="0"/>
                <w:sz w:val="16"/>
              </w:rPr>
              <w:t>访问范围、隐私、主权与委托边界。</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UI Strategy（界面策略）</w:t>
            </w:r>
          </w:p>
        </w:tc>
        <w:tc>
          <w:tcPr>
            <w:tcW w:type="dxa" w:w="640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图形、触控、CLI、VR、无 UI 等可选身体。</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Dependencies（依赖）</w:t>
            </w:r>
          </w:p>
        </w:tc>
        <w:tc>
          <w:tcPr>
            <w:tcW w:type="dxa" w:w="6406"/>
            <w:tcMar>
              <w:top w:w="80" w:type="dxa"/>
              <w:bottom w:w="80" w:type="dxa"/>
              <w:start w:w="95" w:type="dxa"/>
              <w:end w:w="95" w:type="dxa"/>
            </w:tcMar>
            <w:vAlign w:val="center"/>
          </w:tcPr>
          <w:p>
            <w:pPr>
              <w:spacing w:after="0"/>
            </w:pPr>
            <w:r/>
            <w:r>
              <w:rPr>
                <w:rFonts w:ascii="Noto Sans CJK SC" w:hAnsi="Noto Sans CJK SC" w:eastAsia="Noto Sans CJK SC"/>
                <w:b w:val="0"/>
                <w:sz w:val="16"/>
              </w:rPr>
              <w:t>依赖能力契约，不锁定单一 Provider。</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Resource Budget（资源预算）</w:t>
            </w:r>
          </w:p>
        </w:tc>
        <w:tc>
          <w:tcPr>
            <w:tcW w:type="dxa" w:w="640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内存、CPU、GPU、带宽、能源、成本。</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Degradation Rules（降级规则）</w:t>
            </w:r>
          </w:p>
        </w:tc>
        <w:tc>
          <w:tcPr>
            <w:tcW w:type="dxa" w:w="6406"/>
            <w:tcMar>
              <w:top w:w="80" w:type="dxa"/>
              <w:bottom w:w="80" w:type="dxa"/>
              <w:start w:w="95" w:type="dxa"/>
              <w:end w:w="95" w:type="dxa"/>
            </w:tcMar>
            <w:vAlign w:val="center"/>
          </w:tcPr>
          <w:p>
            <w:pPr>
              <w:spacing w:after="0"/>
            </w:pPr>
            <w:r/>
            <w:r>
              <w:rPr>
                <w:rFonts w:ascii="Noto Sans CJK SC" w:hAnsi="Noto Sans CJK SC" w:eastAsia="Noto Sans CJK SC"/>
                <w:b w:val="0"/>
                <w:sz w:val="16"/>
              </w:rPr>
              <w:t>设备能力不足时如何从 D0 降至 D3。</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Validation Rules（验证规则）</w:t>
            </w:r>
          </w:p>
        </w:tc>
        <w:tc>
          <w:tcPr>
            <w:tcW w:type="dxa" w:w="6406"/>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什么输出才算合法和完成。</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Application Seed 应用种子</w:t>
            </w:r>
            <w:r>
              <w:br/>
            </w:r>
            <w:r>
              <w:rPr>
                <w:rFonts w:ascii="Liberation Mono" w:hAnsi="Liberation Mono" w:eastAsia="Liberation Mono"/>
                <w:sz w:val="16"/>
              </w:rPr>
              <w:t>↓</w:t>
            </w:r>
            <w:r>
              <w:br/>
            </w:r>
            <w:r>
              <w:rPr>
                <w:rFonts w:ascii="Liberation Mono" w:hAnsi="Liberation Mono" w:eastAsia="Liberation Mono"/>
                <w:sz w:val="16"/>
              </w:rPr>
              <w:t>Device / Runtime Capability Probe 设备 / 运行时能力探测</w:t>
            </w:r>
            <w:r>
              <w:br/>
            </w:r>
            <w:r>
              <w:rPr>
                <w:rFonts w:ascii="Liberation Mono" w:hAnsi="Liberation Mono" w:eastAsia="Liberation Mono"/>
                <w:sz w:val="16"/>
              </w:rPr>
              <w:t>↓</w:t>
            </w:r>
            <w:r>
              <w:br/>
            </w:r>
            <w:r>
              <w:rPr>
                <w:rFonts w:ascii="Liberation Mono" w:hAnsi="Liberation Mono" w:eastAsia="Liberation Mono"/>
                <w:sz w:val="16"/>
              </w:rPr>
              <w:t>Capability Resolution 能力解析</w:t>
            </w:r>
            <w:r>
              <w:br/>
            </w:r>
            <w:r>
              <w:rPr>
                <w:rFonts w:ascii="Liberation Mono" w:hAnsi="Liberation Mono" w:eastAsia="Liberation Mono"/>
                <w:sz w:val="16"/>
              </w:rPr>
              <w:t>↓</w:t>
            </w:r>
            <w:r>
              <w:br/>
            </w:r>
            <w:r>
              <w:rPr>
                <w:rFonts w:ascii="Liberation Mono" w:hAnsi="Liberation Mono" w:eastAsia="Liberation Mono"/>
                <w:sz w:val="16"/>
              </w:rPr>
              <w:t>Provider Selection 能力提供器选择</w:t>
            </w:r>
            <w:r>
              <w:br/>
            </w:r>
            <w:r>
              <w:rPr>
                <w:rFonts w:ascii="Liberation Mono" w:hAnsi="Liberation Mono" w:eastAsia="Liberation Mono"/>
                <w:sz w:val="16"/>
              </w:rPr>
              <w:t>↓</w:t>
            </w:r>
            <w:r>
              <w:br/>
            </w:r>
            <w:r>
              <w:rPr>
                <w:rFonts w:ascii="Liberation Mono" w:hAnsi="Liberation Mono" w:eastAsia="Liberation Mono"/>
                <w:sz w:val="16"/>
              </w:rPr>
              <w:t>Target Lowering 目标下沉编译</w:t>
            </w:r>
            <w:r>
              <w:br/>
            </w:r>
            <w:r>
              <w:rPr>
                <w:rFonts w:ascii="Liberation Mono" w:hAnsi="Liberation Mono" w:eastAsia="Liberation Mono"/>
                <w:sz w:val="16"/>
              </w:rPr>
              <w:t>↓</w:t>
            </w:r>
            <w:r>
              <w:br/>
            </w:r>
            <w:r>
              <w:rPr>
                <w:rFonts w:ascii="Liberation Mono" w:hAnsi="Liberation Mono" w:eastAsia="Liberation Mono"/>
                <w:sz w:val="16"/>
              </w:rPr>
              <w:t>Runtime Body 运行身体</w:t>
            </w:r>
            <w:r>
              <w:br/>
            </w:r>
            <w:r>
              <w:rPr>
                <w:rFonts w:ascii="Liberation Mono" w:hAnsi="Liberation Mono" w:eastAsia="Liberation Mono"/>
                <w:sz w:val="16"/>
              </w:rPr>
              <w:t>↓</w:t>
            </w:r>
            <w:r>
              <w:br/>
            </w:r>
            <w:r>
              <w:rPr>
                <w:rFonts w:ascii="Liberation Mono" w:hAnsi="Liberation Mono" w:eastAsia="Liberation Mono"/>
                <w:sz w:val="16"/>
              </w:rPr>
              <w:t>Validation + Evidence 验证 + 证据</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FF2CC"/>
            <w:tcMar>
              <w:top w:w="110" w:type="dxa"/>
              <w:bottom w:w="110" w:type="dxa"/>
              <w:start w:w="120" w:type="dxa"/>
              <w:end w:w="120" w:type="dxa"/>
            </w:tcMar>
            <w:tcBorders>
              <w:top w:val="single" w:sz="8" w:color="C99700"/>
              <w:left w:val="single" w:sz="8" w:color="C99700"/>
              <w:bottom w:val="single" w:sz="8" w:color="C99700"/>
              <w:right w:val="single" w:sz="8" w:color="C99700"/>
            </w:tcBorders>
          </w:tcPr>
          <w:p>
            <w:pPr>
              <w:spacing w:after="0"/>
              <w:jc w:val="center"/>
            </w:pPr>
            <w:r>
              <w:rPr>
                <w:rFonts w:ascii="Noto Sans CJK SC" w:hAnsi="Noto Sans CJK SC" w:eastAsia="Noto Sans CJK SC"/>
                <w:b/>
                <w:color w:val="17324D"/>
                <w:sz w:val="20"/>
              </w:rPr>
              <w:t>软件适应设备，而不是要求用户为了软件持续追赶设备和系统版本。</w:t>
            </w:r>
          </w:p>
        </w:tc>
      </w:tr>
    </w:tbl>
    <w:p/>
    <w:p>
      <w:pPr>
        <w:pStyle w:val="Heading1"/>
      </w:pPr>
      <w:r>
        <w:t>15. P14：Private Network &amp; Isolation（私有网络与隔离 / VPN）</w:t>
      </w:r>
    </w:p>
    <w:p>
      <w:r>
        <w:t>新私网协议的目标不是只把设备放进同一虚拟局域网，而是表达“哪些主体、世界、项目、能力和数据在什么条件下彼此可见与可达”。</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3458"/>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传统 VPN 常见对象</w:t>
            </w:r>
          </w:p>
        </w:tc>
        <w:tc>
          <w:tcPr>
            <w:tcW w:type="dxa" w:w="6463"/>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新私网对象</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设备 / IP</w:t>
            </w:r>
          </w:p>
        </w:tc>
        <w:tc>
          <w:tcPr>
            <w:tcW w:type="dxa" w:w="6463"/>
            <w:tcMar>
              <w:top w:w="80" w:type="dxa"/>
              <w:bottom w:w="80" w:type="dxa"/>
              <w:start w:w="95" w:type="dxa"/>
              <w:end w:w="95" w:type="dxa"/>
            </w:tcMar>
            <w:vAlign w:val="center"/>
          </w:tcPr>
          <w:p>
            <w:pPr>
              <w:spacing w:after="0"/>
            </w:pPr>
            <w:r/>
            <w:r>
              <w:rPr>
                <w:rFonts w:ascii="Noto Sans CJK SC" w:hAnsi="Noto Sans CJK SC" w:eastAsia="Noto Sans CJK SC"/>
                <w:b w:val="0"/>
                <w:sz w:val="16"/>
              </w:rPr>
              <w:t>Subject（主体）</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网段</w:t>
            </w:r>
          </w:p>
        </w:tc>
        <w:tc>
          <w:tcPr>
            <w:tcW w:type="dxa" w:w="646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World（世界） / Project（项目）</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端口 / 服务</w:t>
            </w:r>
          </w:p>
        </w:tc>
        <w:tc>
          <w:tcPr>
            <w:tcW w:type="dxa" w:w="6463"/>
            <w:tcMar>
              <w:top w:w="80" w:type="dxa"/>
              <w:bottom w:w="80" w:type="dxa"/>
              <w:start w:w="95" w:type="dxa"/>
              <w:end w:w="95" w:type="dxa"/>
            </w:tcMar>
            <w:vAlign w:val="center"/>
          </w:tcPr>
          <w:p>
            <w:pPr>
              <w:spacing w:after="0"/>
            </w:pPr>
            <w:r/>
            <w:r>
              <w:rPr>
                <w:rFonts w:ascii="Noto Sans CJK SC" w:hAnsi="Noto Sans CJK SC" w:eastAsia="Noto Sans CJK SC"/>
                <w:b w:val="0"/>
                <w:sz w:val="16"/>
              </w:rPr>
              <w:t>Capability（能力）</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静态 ACL（访问控制列表）</w:t>
            </w:r>
          </w:p>
        </w:tc>
        <w:tc>
          <w:tcPr>
            <w:tcW w:type="dxa" w:w="646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Authority Lease（权限租约）</w:t>
            </w:r>
          </w:p>
        </w:tc>
      </w:tr>
      <w:tr>
        <w:trPr>
          <w:cantSplit w:val="true"/>
        </w:trPr>
        <w:tc>
          <w:tcPr>
            <w:tcW w:type="dxa" w:w="3458"/>
            <w:tcMar>
              <w:top w:w="80" w:type="dxa"/>
              <w:bottom w:w="80" w:type="dxa"/>
              <w:start w:w="95" w:type="dxa"/>
              <w:end w:w="95" w:type="dxa"/>
            </w:tcMar>
            <w:vAlign w:val="center"/>
          </w:tcPr>
          <w:p>
            <w:pPr>
              <w:spacing w:after="0"/>
            </w:pPr>
            <w:r/>
            <w:r>
              <w:rPr>
                <w:rFonts w:ascii="Noto Sans CJK SC" w:hAnsi="Noto Sans CJK SC" w:eastAsia="Noto Sans CJK SC"/>
                <w:b/>
                <w:sz w:val="16"/>
              </w:rPr>
              <w:t>隧道在线 / 离线</w:t>
            </w:r>
          </w:p>
        </w:tc>
        <w:tc>
          <w:tcPr>
            <w:tcW w:type="dxa" w:w="6463"/>
            <w:tcMar>
              <w:top w:w="80" w:type="dxa"/>
              <w:bottom w:w="80" w:type="dxa"/>
              <w:start w:w="95" w:type="dxa"/>
              <w:end w:w="95" w:type="dxa"/>
            </w:tcMar>
            <w:vAlign w:val="center"/>
          </w:tcPr>
          <w:p>
            <w:pPr>
              <w:spacing w:after="0"/>
            </w:pPr>
            <w:r/>
            <w:r>
              <w:rPr>
                <w:rFonts w:ascii="Noto Sans CJK SC" w:hAnsi="Noto Sans CJK SC" w:eastAsia="Noto Sans CJK SC"/>
                <w:b w:val="0"/>
                <w:sz w:val="16"/>
              </w:rPr>
              <w:t>Continuity（连续性）+ Degradation（退化）</w:t>
            </w:r>
          </w:p>
        </w:tc>
      </w:tr>
      <w:tr>
        <w:trPr>
          <w:cantSplit w:val="true"/>
        </w:trPr>
        <w:tc>
          <w:tcPr>
            <w:tcW w:type="dxa" w:w="3458"/>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集中配置</w:t>
            </w:r>
          </w:p>
        </w:tc>
        <w:tc>
          <w:tcPr>
            <w:tcW w:type="dxa" w:w="646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主权域 + Provider 可替换策略</w:t>
            </w:r>
          </w:p>
        </w:tc>
      </w:tr>
    </w:tbl>
    <w:p/>
    <w:p>
      <w:pPr>
        <w:pStyle w:val="ListBullet"/>
        <w:spacing w:after="50"/>
      </w:pPr>
      <w:r>
        <w:t>私网必须支持按主体、世界、项目、能力和时间限制网络可见性。</w:t>
      </w:r>
    </w:p>
    <w:p>
      <w:pPr>
        <w:pStyle w:val="ListBullet"/>
        <w:spacing w:after="50"/>
      </w:pPr>
      <w:r>
        <w:t>节点加入私网不自动获得全部世界 / 能力访问权。</w:t>
      </w:r>
    </w:p>
    <w:p>
      <w:pPr>
        <w:pStyle w:val="ListBullet"/>
        <w:spacing w:after="50"/>
      </w:pPr>
      <w:r>
        <w:t>网络隔离策略必须与 P05 权限 / 主权协议一致。</w:t>
      </w:r>
    </w:p>
    <w:p>
      <w:pPr>
        <w:pStyle w:val="ListBullet"/>
        <w:spacing w:after="50"/>
      </w:pPr>
      <w:r>
        <w:t>生产加密由 Security Provider（安全能力提供器）提供；新私网协议不得把未验证新密码原语当作默认生产依赖。</w:t>
      </w:r>
    </w:p>
    <w:p>
      <w:pPr>
        <w:pStyle w:val="Heading1"/>
      </w:pPr>
      <w:r>
        <w:t>16. P15：旧互联网互操作与渐进迁移</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阶段 0：继续使用现有 IP / DNS / TCP / UDP / QUIC / TLS / HTTP 等承载</w:t>
            </w:r>
            <w:r>
              <w:br/>
            </w:r>
            <w:r>
              <w:rPr>
                <w:rFonts w:ascii="Liberation Mono" w:hAnsi="Liberation Mono" w:eastAsia="Liberation Mono"/>
                <w:sz w:val="16"/>
              </w:rPr>
              <w:t>↓</w:t>
            </w:r>
            <w:r>
              <w:br/>
            </w:r>
            <w:r>
              <w:rPr>
                <w:rFonts w:ascii="Liberation Mono" w:hAnsi="Liberation Mono" w:eastAsia="Liberation Mono"/>
                <w:sz w:val="16"/>
              </w:rPr>
              <w:t>阶段 1：在旧网上叠加主体、意图、能力、权限、证据和连续性</w:t>
            </w:r>
            <w:r>
              <w:br/>
            </w:r>
            <w:r>
              <w:rPr>
                <w:rFonts w:ascii="Liberation Mono" w:hAnsi="Liberation Mono" w:eastAsia="Liberation Mono"/>
                <w:sz w:val="16"/>
              </w:rPr>
              <w:t>↓</w:t>
            </w:r>
            <w:r>
              <w:br/>
            </w:r>
            <w:r>
              <w:rPr>
                <w:rFonts w:ascii="Liberation Mono" w:hAnsi="Liberation Mono" w:eastAsia="Liberation Mono"/>
                <w:sz w:val="16"/>
              </w:rPr>
              <w:t>阶段 2：Application Seed + Runtime 减少 APK / EXE / IPA 割裂</w:t>
            </w:r>
            <w:r>
              <w:br/>
            </w:r>
            <w:r>
              <w:rPr>
                <w:rFonts w:ascii="Liberation Mono" w:hAnsi="Liberation Mono" w:eastAsia="Liberation Mono"/>
                <w:sz w:val="16"/>
              </w:rPr>
              <w:t>↓</w:t>
            </w:r>
            <w:r>
              <w:br/>
            </w:r>
            <w:r>
              <w:rPr>
                <w:rFonts w:ascii="Liberation Mono" w:hAnsi="Liberation Mono" w:eastAsia="Liberation Mono"/>
                <w:sz w:val="16"/>
              </w:rPr>
              <w:t>阶段 3：主体寻址、能力路由、私网和世界边界逐步原生化</w:t>
            </w:r>
            <w:r>
              <w:br/>
            </w:r>
            <w:r>
              <w:rPr>
                <w:rFonts w:ascii="Liberation Mono" w:hAnsi="Liberation Mono" w:eastAsia="Liberation Mono"/>
                <w:sz w:val="16"/>
              </w:rPr>
              <w:t>↓</w:t>
            </w:r>
            <w:r>
              <w:br/>
            </w:r>
            <w:r>
              <w:rPr>
                <w:rFonts w:ascii="Liberation Mono" w:hAnsi="Liberation Mono" w:eastAsia="Liberation Mono"/>
                <w:sz w:val="16"/>
              </w:rPr>
              <w:t>阶段 4：只有当旧底层成为明确瓶颈时，才继续下沉重构</w:t>
            </w:r>
          </w:p>
        </w:tc>
      </w:tr>
    </w:tbl>
    <w:p/>
    <w:p>
      <w:pPr>
        <w:pStyle w:val="Heading2"/>
      </w:pPr>
      <w:r>
        <w:t>16.1 互操作原则</w:t>
      </w:r>
    </w:p>
    <w:p>
      <w:pPr>
        <w:pStyle w:val="ListBullet"/>
        <w:spacing w:after="50"/>
      </w:pPr>
      <w:r>
        <w:t>新协议必须能桥接旧系统，而不是要求用户先完成一次巨大迁徙。</w:t>
      </w:r>
    </w:p>
    <w:p>
      <w:pPr>
        <w:pStyle w:val="ListBullet"/>
        <w:spacing w:after="50"/>
      </w:pPr>
      <w:r>
        <w:t>旧网地址可作为 Node Location Hint（节点位置提示），但不得提升为主体身份。</w:t>
      </w:r>
    </w:p>
    <w:p>
      <w:pPr>
        <w:pStyle w:val="ListBullet"/>
        <w:spacing w:after="50"/>
      </w:pPr>
      <w:r>
        <w:t>HTTP / DNS / TLS 等可以作为 Legacy Provider（旧网能力提供器）被调用。</w:t>
      </w:r>
    </w:p>
    <w:p>
      <w:pPr>
        <w:pStyle w:val="ListBullet"/>
        <w:spacing w:after="50"/>
      </w:pPr>
      <w:r>
        <w:t>适配器必须记录语义损失：旧协议无法表达的新语义不得静默丢弃。</w:t>
      </w:r>
    </w:p>
    <w:p>
      <w:pPr>
        <w:pStyle w:val="ListBullet"/>
        <w:spacing w:after="50"/>
      </w:pPr>
      <w:r>
        <w:t>无法安全映射时必须失败关闭或显式降级。</w:t>
      </w:r>
    </w:p>
    <w:p>
      <w:pPr>
        <w:pStyle w:val="Heading1"/>
      </w:pPr>
      <w:r>
        <w:t>17. 安全工程基线</w:t>
      </w:r>
    </w:p>
    <w:p>
      <w:r>
        <w:t>安全不是独立附加层，而是跨 P01-P15 的共同约束。这里规定协议套件必须具备的安全工程能力，而不提前冻结具体密码算法。</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191"/>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ID</w:t>
            </w:r>
          </w:p>
        </w:tc>
        <w:tc>
          <w:tcPr>
            <w:tcW w:type="dxa" w:w="2438"/>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要求</w:t>
            </w:r>
          </w:p>
        </w:tc>
        <w:tc>
          <w:tcPr>
            <w:tcW w:type="dxa" w:w="6293"/>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说明</w:t>
            </w:r>
          </w:p>
        </w:tc>
      </w:tr>
      <w:tr>
        <w:trPr>
          <w:cantSplit w:val="true"/>
        </w:trPr>
        <w:tc>
          <w:tcPr>
            <w:tcW w:type="dxa" w:w="1191"/>
            <w:tcMar>
              <w:top w:w="80" w:type="dxa"/>
              <w:bottom w:w="80" w:type="dxa"/>
              <w:start w:w="95" w:type="dxa"/>
              <w:end w:w="95" w:type="dxa"/>
            </w:tcMar>
            <w:vAlign w:val="center"/>
          </w:tcPr>
          <w:p>
            <w:pPr>
              <w:spacing w:after="0"/>
            </w:pPr>
            <w:r/>
            <w:r>
              <w:rPr>
                <w:rFonts w:ascii="Noto Sans CJK SC" w:hAnsi="Noto Sans CJK SC" w:eastAsia="Noto Sans CJK SC"/>
                <w:b/>
                <w:sz w:val="16"/>
              </w:rPr>
              <w:t>SEC-001</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6"/>
              </w:rPr>
              <w:t>算法 / Provider 可替换</w:t>
            </w:r>
          </w:p>
        </w:tc>
        <w:tc>
          <w:tcPr>
            <w:tcW w:type="dxa" w:w="6293"/>
            <w:tcMar>
              <w:top w:w="80" w:type="dxa"/>
              <w:bottom w:w="80" w:type="dxa"/>
              <w:start w:w="95" w:type="dxa"/>
              <w:end w:w="95" w:type="dxa"/>
            </w:tcMar>
            <w:vAlign w:val="center"/>
          </w:tcPr>
          <w:p>
            <w:pPr>
              <w:spacing w:after="0"/>
            </w:pPr>
            <w:r/>
            <w:r>
              <w:rPr>
                <w:rFonts w:ascii="Noto Sans CJK SC" w:hAnsi="Noto Sans CJK SC" w:eastAsia="Noto Sans CJK SC"/>
                <w:b w:val="0"/>
                <w:sz w:val="16"/>
              </w:rPr>
              <w:t>安全语义与具体密码算法解耦，可在不改变上层协议语义的情况下替换。</w:t>
            </w:r>
          </w:p>
        </w:tc>
      </w:tr>
      <w:tr>
        <w:trPr>
          <w:cantSplit w:val="true"/>
        </w:trPr>
        <w:tc>
          <w:tcPr>
            <w:tcW w:type="dxa" w:w="119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SEC-002</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身份凭证可轮换</w:t>
            </w:r>
          </w:p>
        </w:tc>
        <w:tc>
          <w:tcPr>
            <w:tcW w:type="dxa" w:w="629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凭证失效 / 泄漏不等于主体永久失效。</w:t>
            </w:r>
          </w:p>
        </w:tc>
      </w:tr>
      <w:tr>
        <w:trPr>
          <w:cantSplit w:val="true"/>
        </w:trPr>
        <w:tc>
          <w:tcPr>
            <w:tcW w:type="dxa" w:w="1191"/>
            <w:tcMar>
              <w:top w:w="80" w:type="dxa"/>
              <w:bottom w:w="80" w:type="dxa"/>
              <w:start w:w="95" w:type="dxa"/>
              <w:end w:w="95" w:type="dxa"/>
            </w:tcMar>
            <w:vAlign w:val="center"/>
          </w:tcPr>
          <w:p>
            <w:pPr>
              <w:spacing w:after="0"/>
            </w:pPr>
            <w:r/>
            <w:r>
              <w:rPr>
                <w:rFonts w:ascii="Noto Sans CJK SC" w:hAnsi="Noto Sans CJK SC" w:eastAsia="Noto Sans CJK SC"/>
                <w:b/>
                <w:sz w:val="16"/>
              </w:rPr>
              <w:t>SEC-003</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6"/>
              </w:rPr>
              <w:t>最小权限</w:t>
            </w:r>
          </w:p>
        </w:tc>
        <w:tc>
          <w:tcPr>
            <w:tcW w:type="dxa" w:w="6293"/>
            <w:tcMar>
              <w:top w:w="80" w:type="dxa"/>
              <w:bottom w:w="80" w:type="dxa"/>
              <w:start w:w="95" w:type="dxa"/>
              <w:end w:w="95" w:type="dxa"/>
            </w:tcMar>
            <w:vAlign w:val="center"/>
          </w:tcPr>
          <w:p>
            <w:pPr>
              <w:spacing w:after="0"/>
            </w:pPr>
            <w:r/>
            <w:r>
              <w:rPr>
                <w:rFonts w:ascii="Noto Sans CJK SC" w:hAnsi="Noto Sans CJK SC" w:eastAsia="Noto Sans CJK SC"/>
                <w:b w:val="0"/>
                <w:sz w:val="16"/>
              </w:rPr>
              <w:t>默认按任务和世界授予最小范围。</w:t>
            </w:r>
          </w:p>
        </w:tc>
      </w:tr>
      <w:tr>
        <w:trPr>
          <w:cantSplit w:val="true"/>
        </w:trPr>
        <w:tc>
          <w:tcPr>
            <w:tcW w:type="dxa" w:w="119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SEC-004</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抗降级</w:t>
            </w:r>
          </w:p>
        </w:tc>
        <w:tc>
          <w:tcPr>
            <w:tcW w:type="dxa" w:w="629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攻击者不得诱导协商到低于策略底线的安全配置。</w:t>
            </w:r>
          </w:p>
        </w:tc>
      </w:tr>
      <w:tr>
        <w:trPr>
          <w:cantSplit w:val="true"/>
        </w:trPr>
        <w:tc>
          <w:tcPr>
            <w:tcW w:type="dxa" w:w="1191"/>
            <w:tcMar>
              <w:top w:w="80" w:type="dxa"/>
              <w:bottom w:w="80" w:type="dxa"/>
              <w:start w:w="95" w:type="dxa"/>
              <w:end w:w="95" w:type="dxa"/>
            </w:tcMar>
            <w:vAlign w:val="center"/>
          </w:tcPr>
          <w:p>
            <w:pPr>
              <w:spacing w:after="0"/>
            </w:pPr>
            <w:r/>
            <w:r>
              <w:rPr>
                <w:rFonts w:ascii="Noto Sans CJK SC" w:hAnsi="Noto Sans CJK SC" w:eastAsia="Noto Sans CJK SC"/>
                <w:b/>
                <w:sz w:val="16"/>
              </w:rPr>
              <w:t>SEC-005</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6"/>
              </w:rPr>
              <w:t>抗重放</w:t>
            </w:r>
          </w:p>
        </w:tc>
        <w:tc>
          <w:tcPr>
            <w:tcW w:type="dxa" w:w="6293"/>
            <w:tcMar>
              <w:top w:w="80" w:type="dxa"/>
              <w:bottom w:w="80" w:type="dxa"/>
              <w:start w:w="95" w:type="dxa"/>
              <w:end w:w="95" w:type="dxa"/>
            </w:tcMar>
            <w:vAlign w:val="center"/>
          </w:tcPr>
          <w:p>
            <w:pPr>
              <w:spacing w:after="0"/>
            </w:pPr>
            <w:r/>
            <w:r>
              <w:rPr>
                <w:rFonts w:ascii="Noto Sans CJK SC" w:hAnsi="Noto Sans CJK SC" w:eastAsia="Noto Sans CJK SC"/>
                <w:b w:val="0"/>
                <w:sz w:val="16"/>
              </w:rPr>
              <w:t>高影响消息必须有可验证的新鲜度 / 唯一性。</w:t>
            </w:r>
          </w:p>
        </w:tc>
      </w:tr>
      <w:tr>
        <w:trPr>
          <w:cantSplit w:val="true"/>
        </w:trPr>
        <w:tc>
          <w:tcPr>
            <w:tcW w:type="dxa" w:w="119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SEC-006</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撤销传播</w:t>
            </w:r>
          </w:p>
        </w:tc>
        <w:tc>
          <w:tcPr>
            <w:tcW w:type="dxa" w:w="629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撤销信息应拥有高优先级传播和本地失效语义。</w:t>
            </w:r>
          </w:p>
        </w:tc>
      </w:tr>
      <w:tr>
        <w:trPr>
          <w:cantSplit w:val="true"/>
        </w:trPr>
        <w:tc>
          <w:tcPr>
            <w:tcW w:type="dxa" w:w="1191"/>
            <w:tcMar>
              <w:top w:w="80" w:type="dxa"/>
              <w:bottom w:w="80" w:type="dxa"/>
              <w:start w:w="95" w:type="dxa"/>
              <w:end w:w="95" w:type="dxa"/>
            </w:tcMar>
            <w:vAlign w:val="center"/>
          </w:tcPr>
          <w:p>
            <w:pPr>
              <w:spacing w:after="0"/>
            </w:pPr>
            <w:r/>
            <w:r>
              <w:rPr>
                <w:rFonts w:ascii="Noto Sans CJK SC" w:hAnsi="Noto Sans CJK SC" w:eastAsia="Noto Sans CJK SC"/>
                <w:b/>
                <w:sz w:val="16"/>
              </w:rPr>
              <w:t>SEC-007</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6"/>
              </w:rPr>
              <w:t>隔离与恢复</w:t>
            </w:r>
          </w:p>
        </w:tc>
        <w:tc>
          <w:tcPr>
            <w:tcW w:type="dxa" w:w="6293"/>
            <w:tcMar>
              <w:top w:w="80" w:type="dxa"/>
              <w:bottom w:w="80" w:type="dxa"/>
              <w:start w:w="95" w:type="dxa"/>
              <w:end w:w="95" w:type="dxa"/>
            </w:tcMar>
            <w:vAlign w:val="center"/>
          </w:tcPr>
          <w:p>
            <w:pPr>
              <w:spacing w:after="0"/>
            </w:pPr>
            <w:r/>
            <w:r>
              <w:rPr>
                <w:rFonts w:ascii="Noto Sans CJK SC" w:hAnsi="Noto Sans CJK SC" w:eastAsia="Noto Sans CJK SC"/>
                <w:b w:val="0"/>
                <w:sz w:val="16"/>
              </w:rPr>
              <w:t>节点失陷后应能隔离节点、迁移主体连续性并保留证据。</w:t>
            </w:r>
          </w:p>
        </w:tc>
      </w:tr>
      <w:tr>
        <w:trPr>
          <w:cantSplit w:val="true"/>
        </w:trPr>
        <w:tc>
          <w:tcPr>
            <w:tcW w:type="dxa" w:w="119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SEC-008</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秘密材料最小暴露</w:t>
            </w:r>
          </w:p>
        </w:tc>
        <w:tc>
          <w:tcPr>
            <w:tcW w:type="dxa" w:w="629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协议清单、日志和证据包不得默认包含秘密材料。</w:t>
            </w:r>
          </w:p>
        </w:tc>
      </w:tr>
      <w:tr>
        <w:trPr>
          <w:cantSplit w:val="true"/>
        </w:trPr>
        <w:tc>
          <w:tcPr>
            <w:tcW w:type="dxa" w:w="1191"/>
            <w:tcMar>
              <w:top w:w="80" w:type="dxa"/>
              <w:bottom w:w="80" w:type="dxa"/>
              <w:start w:w="95" w:type="dxa"/>
              <w:end w:w="95" w:type="dxa"/>
            </w:tcMar>
            <w:vAlign w:val="center"/>
          </w:tcPr>
          <w:p>
            <w:pPr>
              <w:spacing w:after="0"/>
            </w:pPr>
            <w:r/>
            <w:r>
              <w:rPr>
                <w:rFonts w:ascii="Noto Sans CJK SC" w:hAnsi="Noto Sans CJK SC" w:eastAsia="Noto Sans CJK SC"/>
                <w:b/>
                <w:sz w:val="16"/>
              </w:rPr>
              <w:t>SEC-009</w:t>
            </w:r>
          </w:p>
        </w:tc>
        <w:tc>
          <w:tcPr>
            <w:tcW w:type="dxa" w:w="2438"/>
            <w:tcMar>
              <w:top w:w="80" w:type="dxa"/>
              <w:bottom w:w="80" w:type="dxa"/>
              <w:start w:w="95" w:type="dxa"/>
              <w:end w:w="95" w:type="dxa"/>
            </w:tcMar>
            <w:vAlign w:val="center"/>
          </w:tcPr>
          <w:p>
            <w:pPr>
              <w:spacing w:after="0"/>
            </w:pPr>
            <w:r/>
            <w:r>
              <w:rPr>
                <w:rFonts w:ascii="Noto Sans CJK SC" w:hAnsi="Noto Sans CJK SC" w:eastAsia="Noto Sans CJK SC"/>
                <w:b w:val="0"/>
                <w:sz w:val="16"/>
              </w:rPr>
              <w:t>独立验证</w:t>
            </w:r>
          </w:p>
        </w:tc>
        <w:tc>
          <w:tcPr>
            <w:tcW w:type="dxa" w:w="6293"/>
            <w:tcMar>
              <w:top w:w="80" w:type="dxa"/>
              <w:bottom w:w="80" w:type="dxa"/>
              <w:start w:w="95" w:type="dxa"/>
              <w:end w:w="95" w:type="dxa"/>
            </w:tcMar>
            <w:vAlign w:val="center"/>
          </w:tcPr>
          <w:p>
            <w:pPr>
              <w:spacing w:after="0"/>
            </w:pPr>
            <w:r/>
            <w:r>
              <w:rPr>
                <w:rFonts w:ascii="Noto Sans CJK SC" w:hAnsi="Noto Sans CJK SC" w:eastAsia="Noto Sans CJK SC"/>
                <w:b w:val="0"/>
                <w:sz w:val="16"/>
              </w:rPr>
              <w:t>新密码原语或高风险安全机制在生产采用前必须经过独立密码分析 / 形式验证 / 攻击测试中的适当组合。</w:t>
            </w:r>
          </w:p>
        </w:tc>
      </w:tr>
      <w:tr>
        <w:trPr>
          <w:cantSplit w:val="true"/>
        </w:trPr>
        <w:tc>
          <w:tcPr>
            <w:tcW w:type="dxa" w:w="1191"/>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SEC-010</w:t>
            </w:r>
          </w:p>
        </w:tc>
        <w:tc>
          <w:tcPr>
            <w:tcW w:type="dxa" w:w="2438"/>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失败关闭</w:t>
            </w:r>
          </w:p>
        </w:tc>
        <w:tc>
          <w:tcPr>
            <w:tcW w:type="dxa" w:w="6293"/>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权限、身份、版本或安全策略不可确定时，高风险路径默认拒绝。</w:t>
            </w:r>
          </w:p>
        </w:tc>
      </w:tr>
    </w:tbl>
    <w:p/>
    <w:p>
      <w:pPr>
        <w:pStyle w:val="Heading1"/>
      </w:pPr>
      <w:r>
        <w:t>18. RCL（现实编译语言）形式约束与协议 Lowering（下沉）</w:t>
      </w:r>
    </w:p>
    <w:p>
      <w:r>
        <w:t>RCL 负责表达跨协议稳定语义、权限、不变量、候选变换与现实提交约束；具体网络运行时仍由对应协议和 Provider 执行。</w:t>
      </w:r>
    </w:p>
    <w:p>
      <w:pPr>
        <w:pStyle w:val="ListBullet"/>
        <w:spacing w:after="50"/>
      </w:pPr>
      <w:r>
        <w:t>RCL 应该拥有 Shared IR 的机器可读类型镜像。</w:t>
      </w:r>
    </w:p>
    <w:p>
      <w:pPr>
        <w:pStyle w:val="ListBullet"/>
        <w:spacing w:after="50"/>
      </w:pPr>
      <w:r>
        <w:t>协议的不可妥协不变量应该进入 RCL guard / invariant（守卫 / 不变量）表达。</w:t>
      </w:r>
    </w:p>
    <w:p>
      <w:pPr>
        <w:pStyle w:val="ListBullet"/>
        <w:spacing w:after="50"/>
      </w:pPr>
      <w:r>
        <w:t>线路编码、Socket、NAT 等具体传输细节不应全部塞进 RCL Canonical Core（规范核心）。</w:t>
      </w:r>
    </w:p>
    <w:p>
      <w:pPr>
        <w:pStyle w:val="ListBullet"/>
        <w:spacing w:after="50"/>
      </w:pPr>
      <w:r>
        <w:t>候选路由、Provider 替换、会话迁移和高影响动作必须在 realize（现实提交）前通过权限、证据与不变量检查。</w:t>
      </w:r>
    </w:p>
    <w:p>
      <w:pPr>
        <w:pStyle w:val="ListBullet"/>
        <w:spacing w:after="50"/>
      </w:pPr>
      <w:r>
        <w:t>预测 / 模拟路径与权威提交路径必须分离。</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AF2F8"/>
            <w:tcMar>
              <w:top w:w="110" w:type="dxa"/>
              <w:bottom w:w="110" w:type="dxa"/>
              <w:start w:w="120" w:type="dxa"/>
              <w:end w:w="120" w:type="dxa"/>
            </w:tcMar>
            <w:tcBorders>
              <w:top w:val="single" w:sz="8" w:color="5B9BD5"/>
              <w:left w:val="single" w:sz="8" w:color="5B9BD5"/>
              <w:bottom w:val="single" w:sz="8" w:color="5B9BD5"/>
              <w:right w:val="single" w:sz="8" w:color="5B9BD5"/>
            </w:tcBorders>
          </w:tcPr>
          <w:p>
            <w:pPr>
              <w:spacing w:after="0"/>
              <w:jc w:val="center"/>
            </w:pPr>
            <w:r>
              <w:rPr>
                <w:rFonts w:ascii="Noto Sans CJK SC" w:hAnsi="Noto Sans CJK SC" w:eastAsia="Noto Sans CJK SC"/>
                <w:b/>
                <w:color w:val="17324D"/>
                <w:sz w:val="20"/>
              </w:rPr>
              <w:t>RCL 是协议语义和现实约束的编译核心之一，不是新的 TCP 实现。</w:t>
            </w:r>
          </w:p>
        </w:tc>
      </w:tr>
    </w:tbl>
    <w:p/>
    <w:p>
      <w:pPr>
        <w:pStyle w:val="Heading1"/>
      </w:pPr>
      <w:r>
        <w:t>19. 一致性测试与三原则验收矩阵</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835"/>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6"/>
              </w:rPr>
              <w:t>测试类别</w:t>
            </w:r>
          </w:p>
        </w:tc>
        <w:tc>
          <w:tcPr>
            <w:tcW w:type="dxa" w:w="7030"/>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6"/>
              </w:rPr>
              <w:t>必须验证什么</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Unit（单元）</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对象、编码、状态机、边界条件。</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Conformance（一致性）</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实现是否满足协议必须 / 不得。</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Negative（负例）</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越权、错误版本、错误主体、陈旧状态、错误路由必须被拒绝。</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Adversarial（对抗）</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重放、降级、篡改、伪造来源、恶意扩展、节点失陷。</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Interoperability（互操作）</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不同实现、不同版本、不同 Transport Provider 是否兼容。</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Migration（迁移）</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节点 / 设备 / Provider / 版本迁移是否保持主体和语义。</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Degradation（退化）</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D0→D4 是否按设计逐级保留核心能力。</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Rollback（回滚）</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失败更新、错误 Provider、错误策略能否恢复。</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Fuzz（模糊测试）</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随机 / 畸形输入不导致未定义越权或崩溃。</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Long-run（长期运行）</w:t>
            </w:r>
          </w:p>
        </w:tc>
        <w:tc>
          <w:tcPr>
            <w:tcW w:type="dxa" w:w="7030"/>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状态、回执、缓存、撤销和版本在长时间运行中是否漂移。</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Performance（性能）</w:t>
            </w:r>
          </w:p>
        </w:tc>
        <w:tc>
          <w:tcPr>
            <w:tcW w:type="dxa" w:w="7030"/>
            <w:tcMar>
              <w:top w:w="80" w:type="dxa"/>
              <w:bottom w:w="80" w:type="dxa"/>
              <w:start w:w="95" w:type="dxa"/>
              <w:end w:w="95" w:type="dxa"/>
            </w:tcMar>
            <w:vAlign w:val="center"/>
          </w:tcPr>
          <w:p>
            <w:pPr>
              <w:spacing w:after="0"/>
            </w:pPr>
            <w:r/>
            <w:r>
              <w:rPr>
                <w:rFonts w:ascii="Noto Sans CJK SC" w:hAnsi="Noto Sans CJK SC" w:eastAsia="Noto Sans CJK SC"/>
                <w:b w:val="0"/>
                <w:sz w:val="16"/>
              </w:rPr>
              <w:t>时延、内存、带宽、CPU、能耗与最低设备基线。</w:t>
            </w:r>
          </w:p>
        </w:tc>
      </w:tr>
    </w:tbl>
    <w:p/>
    <w:p>
      <w:pPr>
        <w:pStyle w:val="Heading2"/>
      </w:pPr>
      <w:r>
        <w:t>19.1 三剖面自动验收</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232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5"/>
              </w:rPr>
              <w:t>场景</w:t>
            </w:r>
          </w:p>
        </w:tc>
        <w:tc>
          <w:tcPr>
            <w:tcW w:type="dxa" w:w="249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5"/>
              </w:rPr>
              <w:t>军事级</w:t>
            </w:r>
          </w:p>
        </w:tc>
        <w:tc>
          <w:tcPr>
            <w:tcW w:type="dxa" w:w="249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5"/>
              </w:rPr>
              <w:t>商用级</w:t>
            </w:r>
          </w:p>
        </w:tc>
        <w:tc>
          <w:tcPr>
            <w:tcW w:type="dxa" w:w="2494"/>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5"/>
              </w:rPr>
              <w:t>生活化</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断网</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核心状态本地继续</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离线行为可审计并恢复同步</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无需用户手动切换</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低带宽</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关键状态优先</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SLA 明确降级</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自动选择轻量实现</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旧设备</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至少 D3 生存能力</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长期支持与兼容策略</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自动 Lowering（下沉）</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节点失效</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多路径 / 隔离 / 迁移</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灾备与回滚</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尽量无感</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Provider 下线</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有替代能力</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供应商可替换</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不要求用户重新配置</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权限撤销</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快速失效</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审计完整</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人类可理解提示</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升级失败</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旧版本继续</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回滚</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不暴露依赖修复</w:t>
            </w:r>
          </w:p>
        </w:tc>
      </w:tr>
      <w:tr>
        <w:trPr>
          <w:cantSplit w:val="true"/>
        </w:trPr>
        <w:tc>
          <w:tcPr>
            <w:tcW w:type="dxa" w:w="2324"/>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跨平台</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同一软件 / 主体身份</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统一治理</w:t>
            </w:r>
          </w:p>
        </w:tc>
        <w:tc>
          <w:tcPr>
            <w:tcW w:type="dxa" w:w="2494"/>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无需理解 APK / EXE / IPA</w:t>
            </w:r>
          </w:p>
        </w:tc>
      </w:tr>
      <w:tr>
        <w:trPr>
          <w:cantSplit w:val="true"/>
        </w:trPr>
        <w:tc>
          <w:tcPr>
            <w:tcW w:type="dxa" w:w="2324"/>
            <w:tcMar>
              <w:top w:w="80" w:type="dxa"/>
              <w:bottom w:w="80" w:type="dxa"/>
              <w:start w:w="95" w:type="dxa"/>
              <w:end w:w="95" w:type="dxa"/>
            </w:tcMar>
            <w:vAlign w:val="center"/>
          </w:tcPr>
          <w:p>
            <w:pPr>
              <w:spacing w:after="0"/>
            </w:pPr>
            <w:r/>
            <w:r>
              <w:rPr>
                <w:rFonts w:ascii="Noto Sans CJK SC" w:hAnsi="Noto Sans CJK SC" w:eastAsia="Noto Sans CJK SC"/>
                <w:b/>
                <w:sz w:val="15"/>
              </w:rPr>
              <w:t>AI 参与</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可隔离、可撤销、可证据化</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责任链 / 成本 / SLA</w:t>
            </w:r>
          </w:p>
        </w:tc>
        <w:tc>
          <w:tcPr>
            <w:tcW w:type="dxa" w:w="2494"/>
            <w:tcMar>
              <w:top w:w="80" w:type="dxa"/>
              <w:bottom w:w="80" w:type="dxa"/>
              <w:start w:w="95" w:type="dxa"/>
              <w:end w:w="95" w:type="dxa"/>
            </w:tcMar>
            <w:vAlign w:val="center"/>
          </w:tcPr>
          <w:p>
            <w:pPr>
              <w:spacing w:after="0"/>
            </w:pPr>
            <w:r/>
            <w:r>
              <w:rPr>
                <w:rFonts w:ascii="Noto Sans CJK SC" w:hAnsi="Noto Sans CJK SC" w:eastAsia="Noto Sans CJK SC"/>
                <w:b w:val="0"/>
                <w:sz w:val="15"/>
              </w:rPr>
              <w:t>用户主要表达意图</w:t>
            </w:r>
          </w:p>
        </w:tc>
      </w:tr>
    </w:tbl>
    <w:p/>
    <w:p>
      <w:pPr>
        <w:pStyle w:val="Heading1"/>
      </w:pPr>
      <w:r>
        <w:t>20. 协议成熟度、产品成熟度与发布门</w:t>
      </w:r>
    </w:p>
    <w:p>
      <w:pPr>
        <w:pStyle w:val="Heading2"/>
      </w:pPr>
      <w:r>
        <w:t>20.1 形式 / 工程成熟度</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247"/>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等级</w:t>
            </w:r>
          </w:p>
        </w:tc>
        <w:tc>
          <w:tcPr>
            <w:tcW w:type="dxa" w:w="8617"/>
            <w:tcMar>
              <w:top w:w="80" w:type="dxa"/>
              <w:bottom w:w="80" w:type="dxa"/>
              <w:start w:w="95" w:type="dxa"/>
              <w:end w:w="95" w:type="dxa"/>
            </w:tcMar>
            <w:vAlign w:val="center"/>
            <w:shd w:fill="17324D"/>
          </w:tcPr>
          <w:p>
            <w:pPr>
              <w:spacing w:after="0"/>
            </w:pPr>
            <w:r/>
            <w:r>
              <w:rPr>
                <w:rFonts w:ascii="Noto Sans CJK SC" w:hAnsi="Noto Sans CJK SC" w:eastAsia="Noto Sans CJK SC"/>
                <w:b/>
                <w:color w:val="FFFFFF"/>
                <w:sz w:val="16"/>
              </w:rPr>
              <w:t>含义</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F0</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命名 / 假说：只有概念。</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F1</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对象、Schema（结构定义）、边界与不变量明确。</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F2</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存在可执行参考实现。</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F3</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状态流和端到端最小闭环跑通。</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F4</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自动正负例、失败关闭和可重复证据。</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F4.5</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与至少一个独立实现 / 旧协议存在直接互操作见证。</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F5</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真实用户、真实设备、真实网络环境长期验证。</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F6</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生产级高强度形式证明 / 独立安全评估 / 大规模验证达到目标领域要求。</w:t>
            </w:r>
          </w:p>
        </w:tc>
      </w:tr>
    </w:tbl>
    <w:p/>
    <w:p>
      <w:pPr>
        <w:pStyle w:val="Heading2"/>
      </w:pPr>
      <w:r>
        <w:t>20.2 产品状态</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IDEA → SKELETON → EXECUTABLE → CANDIDATE → READY → VERIFIED → LIVING ORGAN</w:t>
            </w:r>
            <w:r>
              <w:br/>
            </w:r>
            <w:r>
              <w:rPr>
                <w:rFonts w:ascii="Liberation Mono" w:hAnsi="Liberation Mono" w:eastAsia="Liberation Mono"/>
                <w:sz w:val="16"/>
              </w:rPr>
              <w:t>构想    骨架       可执行        候选        就绪      已验证      持续器官</w:t>
            </w:r>
          </w:p>
        </w:tc>
      </w:tr>
    </w:tbl>
    <w:p/>
    <w:p>
      <w:r>
        <w:t>形式成熟度与产品成熟度不得互相冒充：有形式文档不等于可用，有可运行 Demo（演示）也不等于已证明。</w:t>
      </w:r>
    </w:p>
    <w:p>
      <w:pPr>
        <w:pStyle w:val="Heading1"/>
      </w:pPr>
      <w:r>
        <w:t>21. 多文明联邦工程流程</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5"/>
              </w:rPr>
              <w:t>Founder Twin（创始人裁决）</w:t>
            </w:r>
            <w:r>
              <w:br/>
            </w:r>
            <w:r>
              <w:rPr>
                <w:rFonts w:ascii="Liberation Mono" w:hAnsi="Liberation Mono" w:eastAsia="Liberation Mono"/>
                <w:sz w:val="15"/>
              </w:rPr>
              <w:t>↓</w:t>
            </w:r>
            <w:r>
              <w:br/>
            </w:r>
            <w:r>
              <w:rPr>
                <w:rFonts w:ascii="Liberation Mono" w:hAnsi="Liberation Mono" w:eastAsia="Liberation Mono"/>
                <w:sz w:val="15"/>
              </w:rPr>
              <w:t>柳清莲 Gate（高噪声 / 高风险输入过滤）</w:t>
            </w:r>
            <w:r>
              <w:br/>
            </w:r>
            <w:r>
              <w:rPr>
                <w:rFonts w:ascii="Liberation Mono" w:hAnsi="Liberation Mono" w:eastAsia="Liberation Mono"/>
                <w:sz w:val="15"/>
              </w:rPr>
              <w:t>↓</w:t>
            </w:r>
            <w:r>
              <w:br/>
            </w:r>
            <w:r>
              <w:rPr>
                <w:rFonts w:ascii="Liberation Mono" w:hAnsi="Liberation Mono" w:eastAsia="Liberation Mono"/>
                <w:sz w:val="15"/>
              </w:rPr>
              <w:t>洞哥 Grounding（土木承重 / 工程验收）</w:t>
            </w:r>
            <w:r>
              <w:br/>
            </w:r>
            <w:r>
              <w:rPr>
                <w:rFonts w:ascii="Liberation Mono" w:hAnsi="Liberation Mono" w:eastAsia="Liberation Mono"/>
                <w:sz w:val="15"/>
              </w:rPr>
              <w:t>↓</w:t>
            </w:r>
            <w:r>
              <w:br/>
            </w:r>
            <w:r>
              <w:rPr>
                <w:rFonts w:ascii="Liberation Mono" w:hAnsi="Liberation Mono" w:eastAsia="Liberation Mono"/>
                <w:sz w:val="15"/>
              </w:rPr>
              <w:t>产品文明（目标、价值、优先级）</w:t>
            </w:r>
            <w:r>
              <w:br/>
            </w:r>
            <w:r>
              <w:rPr>
                <w:rFonts w:ascii="Liberation Mono" w:hAnsi="Liberation Mono" w:eastAsia="Liberation Mono"/>
                <w:sz w:val="15"/>
              </w:rPr>
              <w:t>↓</w:t>
            </w:r>
            <w:r>
              <w:br/>
            </w:r>
            <w:r>
              <w:rPr>
                <w:rFonts w:ascii="Liberation Mono" w:hAnsi="Liberation Mono" w:eastAsia="Liberation Mono"/>
                <w:sz w:val="15"/>
              </w:rPr>
              <w:t>UX / 设计文明（交互、渐进披露、生活化）</w:t>
            </w:r>
            <w:r>
              <w:br/>
            </w:r>
            <w:r>
              <w:rPr>
                <w:rFonts w:ascii="Liberation Mono" w:hAnsi="Liberation Mono" w:eastAsia="Liberation Mono"/>
                <w:sz w:val="15"/>
              </w:rPr>
              <w:t>↓</w:t>
            </w:r>
            <w:r>
              <w:br/>
            </w:r>
            <w:r>
              <w:rPr>
                <w:rFonts w:ascii="Liberation Mono" w:hAnsi="Liberation Mono" w:eastAsia="Liberation Mono"/>
                <w:sz w:val="15"/>
              </w:rPr>
              <w:t>工程文明（架构、协议边界、接口）</w:t>
            </w:r>
            <w:r>
              <w:br/>
            </w:r>
            <w:r>
              <w:rPr>
                <w:rFonts w:ascii="Liberation Mono" w:hAnsi="Liberation Mono" w:eastAsia="Liberation Mono"/>
                <w:sz w:val="15"/>
              </w:rPr>
              <w:t>↓</w:t>
            </w:r>
            <w:r>
              <w:br/>
            </w:r>
            <w:r>
              <w:rPr>
                <w:rFonts w:ascii="Liberation Mono" w:hAnsi="Liberation Mono" w:eastAsia="Liberation Mono"/>
                <w:sz w:val="15"/>
              </w:rPr>
              <w:t>代码文明（参考实现、适配器、RCL）</w:t>
            </w:r>
            <w:r>
              <w:br/>
            </w:r>
            <w:r>
              <w:rPr>
                <w:rFonts w:ascii="Liberation Mono" w:hAnsi="Liberation Mono" w:eastAsia="Liberation Mono"/>
                <w:sz w:val="15"/>
              </w:rPr>
              <w:t>↓</w:t>
            </w:r>
            <w:r>
              <w:br/>
            </w:r>
            <w:r>
              <w:rPr>
                <w:rFonts w:ascii="Liberation Mono" w:hAnsi="Liberation Mono" w:eastAsia="Liberation Mono"/>
                <w:sz w:val="15"/>
              </w:rPr>
              <w:t>测试文明（一致性、负例、退化、互操作）</w:t>
            </w:r>
            <w:r>
              <w:br/>
            </w:r>
            <w:r>
              <w:rPr>
                <w:rFonts w:ascii="Liberation Mono" w:hAnsi="Liberation Mono" w:eastAsia="Liberation Mono"/>
                <w:sz w:val="15"/>
              </w:rPr>
              <w:t>↓</w:t>
            </w:r>
            <w:r>
              <w:br/>
            </w:r>
            <w:r>
              <w:rPr>
                <w:rFonts w:ascii="Liberation Mono" w:hAnsi="Liberation Mono" w:eastAsia="Liberation Mono"/>
                <w:sz w:val="15"/>
              </w:rPr>
              <w:t>安全文明（权限、撤销、攻击面、秘密材料）</w:t>
            </w:r>
            <w:r>
              <w:br/>
            </w:r>
            <w:r>
              <w:rPr>
                <w:rFonts w:ascii="Liberation Mono" w:hAnsi="Liberation Mono" w:eastAsia="Liberation Mono"/>
                <w:sz w:val="15"/>
              </w:rPr>
              <w:t>↓</w:t>
            </w:r>
            <w:r>
              <w:br/>
            </w:r>
            <w:r>
              <w:rPr>
                <w:rFonts w:ascii="Liberation Mono" w:hAnsi="Liberation Mono" w:eastAsia="Liberation Mono"/>
                <w:sz w:val="15"/>
              </w:rPr>
              <w:t>发布文明（包、版本、迁移、说明）</w:t>
            </w:r>
            <w:r>
              <w:br/>
            </w:r>
            <w:r>
              <w:rPr>
                <w:rFonts w:ascii="Liberation Mono" w:hAnsi="Liberation Mono" w:eastAsia="Liberation Mono"/>
                <w:sz w:val="15"/>
              </w:rPr>
              <w:t>↓</w:t>
            </w:r>
            <w:r>
              <w:br/>
            </w:r>
            <w:r>
              <w:rPr>
                <w:rFonts w:ascii="Liberation Mono" w:hAnsi="Liberation Mono" w:eastAsia="Liberation Mono"/>
                <w:sz w:val="15"/>
              </w:rPr>
              <w:t>Integration Court（集成法院）</w:t>
            </w:r>
            <w:r>
              <w:br/>
            </w:r>
            <w:r>
              <w:rPr>
                <w:rFonts w:ascii="Liberation Mono" w:hAnsi="Liberation Mono" w:eastAsia="Liberation Mono"/>
                <w:sz w:val="15"/>
              </w:rPr>
              <w:t>↓</w:t>
            </w:r>
            <w:r>
              <w:br/>
            </w:r>
            <w:r>
              <w:rPr>
                <w:rFonts w:ascii="Liberation Mono" w:hAnsi="Liberation Mono" w:eastAsia="Liberation Mono"/>
                <w:sz w:val="15"/>
              </w:rPr>
              <w:t>Evidence Ledger（证据账本）</w:t>
            </w:r>
          </w:p>
        </w:tc>
      </w:tr>
    </w:tbl>
    <w:p/>
    <w:p>
      <w:r>
        <w:t>每次协议工程任务至少产出：</w:t>
      </w:r>
    </w:p>
    <w:p>
      <w:pPr>
        <w:pStyle w:val="ListBullet"/>
        <w:spacing w:after="50"/>
      </w:pPr>
      <w:r>
        <w:t>目标裁决。</w:t>
      </w:r>
    </w:p>
    <w:p>
      <w:pPr>
        <w:pStyle w:val="ListBullet"/>
        <w:spacing w:after="50"/>
      </w:pPr>
      <w:r>
        <w:t>影响协议 / 模块。</w:t>
      </w:r>
    </w:p>
    <w:p>
      <w:pPr>
        <w:pStyle w:val="ListBullet"/>
        <w:spacing w:after="50"/>
      </w:pPr>
      <w:r>
        <w:t>修改计划。</w:t>
      </w:r>
    </w:p>
    <w:p>
      <w:pPr>
        <w:pStyle w:val="ListBullet"/>
        <w:spacing w:after="50"/>
      </w:pPr>
      <w:r>
        <w:t>验收标准。</w:t>
      </w:r>
    </w:p>
    <w:p>
      <w:pPr>
        <w:pStyle w:val="ListBullet"/>
        <w:spacing w:after="50"/>
      </w:pPr>
      <w:r>
        <w:t>风险与回滚。</w:t>
      </w:r>
    </w:p>
    <w:p>
      <w:pPr>
        <w:pStyle w:val="ListBullet"/>
        <w:spacing w:after="50"/>
      </w:pPr>
      <w:r>
        <w:t>测试结果或失败日志。</w:t>
      </w:r>
    </w:p>
    <w:p>
      <w:pPr>
        <w:pStyle w:val="ListBullet"/>
        <w:spacing w:after="50"/>
      </w:pPr>
      <w:r>
        <w:t>Evidence Ledger（证据账本）。</w:t>
      </w:r>
    </w:p>
    <w:p>
      <w:pPr>
        <w:pStyle w:val="ListBullet"/>
        <w:spacing w:after="50"/>
      </w:pPr>
      <w:r>
        <w:t>可下载交付物或明确阻断原因。</w:t>
      </w:r>
    </w:p>
    <w:p>
      <w:pPr>
        <w:pStyle w:val="Heading1"/>
      </w:pPr>
      <w:r>
        <w:t>22. Protocol Suite（协议套件）推荐仓库结构</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4"/>
              </w:rPr>
              <w:t>taowind-next-internet/</w:t>
            </w:r>
            <w:r>
              <w:br/>
            </w:r>
            <w:r>
              <w:rPr>
                <w:rFonts w:ascii="Liberation Mono" w:hAnsi="Liberation Mono" w:eastAsia="Liberation Mono"/>
                <w:sz w:val="14"/>
              </w:rPr>
              <w:t>├── constitution/</w:t>
            </w:r>
            <w:r>
              <w:br/>
            </w:r>
            <w:r>
              <w:rPr>
                <w:rFonts w:ascii="Liberation Mono" w:hAnsi="Liberation Mono" w:eastAsia="Liberation Mono"/>
                <w:sz w:val="14"/>
              </w:rPr>
              <w:t>│   └── AI时代互联网宪法与基础架构定义_v0.2.docx</w:t>
            </w:r>
            <w:r>
              <w:br/>
            </w:r>
            <w:r>
              <w:rPr>
                <w:rFonts w:ascii="Liberation Mono" w:hAnsi="Liberation Mono" w:eastAsia="Liberation Mono"/>
                <w:sz w:val="14"/>
              </w:rPr>
              <w:t>├── shared-ir/</w:t>
            </w:r>
            <w:r>
              <w:br/>
            </w:r>
            <w:r>
              <w:rPr>
                <w:rFonts w:ascii="Liberation Mono" w:hAnsi="Liberation Mono" w:eastAsia="Liberation Mono"/>
                <w:sz w:val="14"/>
              </w:rPr>
              <w:t>│   ├── objects/</w:t>
            </w:r>
            <w:r>
              <w:br/>
            </w:r>
            <w:r>
              <w:rPr>
                <w:rFonts w:ascii="Liberation Mono" w:hAnsi="Liberation Mono" w:eastAsia="Liberation Mono"/>
                <w:sz w:val="14"/>
              </w:rPr>
              <w:t>│   ├── schemas/</w:t>
            </w:r>
            <w:r>
              <w:br/>
            </w:r>
            <w:r>
              <w:rPr>
                <w:rFonts w:ascii="Liberation Mono" w:hAnsi="Liberation Mono" w:eastAsia="Liberation Mono"/>
                <w:sz w:val="14"/>
              </w:rPr>
              <w:t>│   └── rcl/</w:t>
            </w:r>
            <w:r>
              <w:br/>
            </w:r>
            <w:r>
              <w:rPr>
                <w:rFonts w:ascii="Liberation Mono" w:hAnsi="Liberation Mono" w:eastAsia="Liberation Mono"/>
                <w:sz w:val="14"/>
              </w:rPr>
              <w:t>├── registry/</w:t>
            </w:r>
            <w:r>
              <w:br/>
            </w:r>
            <w:r>
              <w:rPr>
                <w:rFonts w:ascii="Liberation Mono" w:hAnsi="Liberation Mono" w:eastAsia="Liberation Mono"/>
                <w:sz w:val="14"/>
              </w:rPr>
              <w:t>│   ├── protocols.yaml</w:t>
            </w:r>
            <w:r>
              <w:br/>
            </w:r>
            <w:r>
              <w:rPr>
                <w:rFonts w:ascii="Liberation Mono" w:hAnsi="Liberation Mono" w:eastAsia="Liberation Mono"/>
                <w:sz w:val="14"/>
              </w:rPr>
              <w:t>│   ├── capabilities.yaml</w:t>
            </w:r>
            <w:r>
              <w:br/>
            </w:r>
            <w:r>
              <w:rPr>
                <w:rFonts w:ascii="Liberation Mono" w:hAnsi="Liberation Mono" w:eastAsia="Liberation Mono"/>
                <w:sz w:val="14"/>
              </w:rPr>
              <w:t>│   ├── providers.yaml</w:t>
            </w:r>
            <w:r>
              <w:br/>
            </w:r>
            <w:r>
              <w:rPr>
                <w:rFonts w:ascii="Liberation Mono" w:hAnsi="Liberation Mono" w:eastAsia="Liberation Mono"/>
                <w:sz w:val="14"/>
              </w:rPr>
              <w:t>│   └── evidence-status.yaml</w:t>
            </w:r>
            <w:r>
              <w:br/>
            </w:r>
            <w:r>
              <w:rPr>
                <w:rFonts w:ascii="Liberation Mono" w:hAnsi="Liberation Mono" w:eastAsia="Liberation Mono"/>
                <w:sz w:val="14"/>
              </w:rPr>
              <w:t>├── protocols/</w:t>
            </w:r>
            <w:r>
              <w:br/>
            </w:r>
            <w:r>
              <w:rPr>
                <w:rFonts w:ascii="Liberation Mono" w:hAnsi="Liberation Mono" w:eastAsia="Liberation Mono"/>
                <w:sz w:val="14"/>
              </w:rPr>
              <w:t>│   ├── P01-subject-identity/</w:t>
            </w:r>
            <w:r>
              <w:br/>
            </w:r>
            <w:r>
              <w:rPr>
                <w:rFonts w:ascii="Liberation Mono" w:hAnsi="Liberation Mono" w:eastAsia="Liberation Mono"/>
                <w:sz w:val="14"/>
              </w:rPr>
              <w:t>│   ├── P02-naming-addressing/</w:t>
            </w:r>
            <w:r>
              <w:br/>
            </w:r>
            <w:r>
              <w:rPr>
                <w:rFonts w:ascii="Liberation Mono" w:hAnsi="Liberation Mono" w:eastAsia="Liberation Mono"/>
                <w:sz w:val="14"/>
              </w:rPr>
              <w:t>│   ├── P03-discovery-presence/</w:t>
            </w:r>
            <w:r>
              <w:br/>
            </w:r>
            <w:r>
              <w:rPr>
                <w:rFonts w:ascii="Liberation Mono" w:hAnsi="Liberation Mono" w:eastAsia="Liberation Mono"/>
                <w:sz w:val="14"/>
              </w:rPr>
              <w:t>│   ├── P04-intent-capability/</w:t>
            </w:r>
            <w:r>
              <w:br/>
            </w:r>
            <w:r>
              <w:rPr>
                <w:rFonts w:ascii="Liberation Mono" w:hAnsi="Liberation Mono" w:eastAsia="Liberation Mono"/>
                <w:sz w:val="14"/>
              </w:rPr>
              <w:t>│   ├── P05-authority-sovereignty/</w:t>
            </w:r>
            <w:r>
              <w:br/>
            </w:r>
            <w:r>
              <w:rPr>
                <w:rFonts w:ascii="Liberation Mono" w:hAnsi="Liberation Mono" w:eastAsia="Liberation Mono"/>
                <w:sz w:val="14"/>
              </w:rPr>
              <w:t>│   ├── P06-trust-evidence/</w:t>
            </w:r>
            <w:r>
              <w:br/>
            </w:r>
            <w:r>
              <w:rPr>
                <w:rFonts w:ascii="Liberation Mono" w:hAnsi="Liberation Mono" w:eastAsia="Liberation Mono"/>
                <w:sz w:val="14"/>
              </w:rPr>
              <w:t>│   ├── P07-routing/</w:t>
            </w:r>
            <w:r>
              <w:br/>
            </w:r>
            <w:r>
              <w:rPr>
                <w:rFonts w:ascii="Liberation Mono" w:hAnsi="Liberation Mono" w:eastAsia="Liberation Mono"/>
                <w:sz w:val="14"/>
              </w:rPr>
              <w:t>│   ├── P08-session-continuity/</w:t>
            </w:r>
            <w:r>
              <w:br/>
            </w:r>
            <w:r>
              <w:rPr>
                <w:rFonts w:ascii="Liberation Mono" w:hAnsi="Liberation Mono" w:eastAsia="Liberation Mono"/>
                <w:sz w:val="14"/>
              </w:rPr>
              <w:t>│   ├── P09-transport-adaptation/</w:t>
            </w:r>
            <w:r>
              <w:br/>
            </w:r>
            <w:r>
              <w:rPr>
                <w:rFonts w:ascii="Liberation Mono" w:hAnsi="Liberation Mono" w:eastAsia="Liberation Mono"/>
                <w:sz w:val="14"/>
              </w:rPr>
              <w:t>│   ├── P10-resource-sla-value/</w:t>
            </w:r>
            <w:r>
              <w:br/>
            </w:r>
            <w:r>
              <w:rPr>
                <w:rFonts w:ascii="Liberation Mono" w:hAnsi="Liberation Mono" w:eastAsia="Liberation Mono"/>
                <w:sz w:val="14"/>
              </w:rPr>
              <w:t>│   ├── P11-world-data/</w:t>
            </w:r>
            <w:r>
              <w:br/>
            </w:r>
            <w:r>
              <w:rPr>
                <w:rFonts w:ascii="Liberation Mono" w:hAnsi="Liberation Mono" w:eastAsia="Liberation Mono"/>
                <w:sz w:val="14"/>
              </w:rPr>
              <w:t>│   ├── P12-application-seed/</w:t>
            </w:r>
            <w:r>
              <w:br/>
            </w:r>
            <w:r>
              <w:rPr>
                <w:rFonts w:ascii="Liberation Mono" w:hAnsi="Liberation Mono" w:eastAsia="Liberation Mono"/>
                <w:sz w:val="14"/>
              </w:rPr>
              <w:t>│   ├── P13-runtime-lowering/</w:t>
            </w:r>
            <w:r>
              <w:br/>
            </w:r>
            <w:r>
              <w:rPr>
                <w:rFonts w:ascii="Liberation Mono" w:hAnsi="Liberation Mono" w:eastAsia="Liberation Mono"/>
                <w:sz w:val="14"/>
              </w:rPr>
              <w:t>│   ├── P14-private-network/</w:t>
            </w:r>
            <w:r>
              <w:br/>
            </w:r>
            <w:r>
              <w:rPr>
                <w:rFonts w:ascii="Liberation Mono" w:hAnsi="Liberation Mono" w:eastAsia="Liberation Mono"/>
                <w:sz w:val="14"/>
              </w:rPr>
              <w:t>│   └── P15-legacy-interop/</w:t>
            </w:r>
            <w:r>
              <w:br/>
            </w:r>
            <w:r>
              <w:rPr>
                <w:rFonts w:ascii="Liberation Mono" w:hAnsi="Liberation Mono" w:eastAsia="Liberation Mono"/>
                <w:sz w:val="14"/>
              </w:rPr>
              <w:t>├── profiles/</w:t>
            </w:r>
            <w:r>
              <w:br/>
            </w:r>
            <w:r>
              <w:rPr>
                <w:rFonts w:ascii="Liberation Mono" w:hAnsi="Liberation Mono" w:eastAsia="Liberation Mono"/>
                <w:sz w:val="14"/>
              </w:rPr>
              <w:t>│   ├── military/</w:t>
            </w:r>
            <w:r>
              <w:br/>
            </w:r>
            <w:r>
              <w:rPr>
                <w:rFonts w:ascii="Liberation Mono" w:hAnsi="Liberation Mono" w:eastAsia="Liberation Mono"/>
                <w:sz w:val="14"/>
              </w:rPr>
              <w:t>│   ├── commercial/</w:t>
            </w:r>
            <w:r>
              <w:br/>
            </w:r>
            <w:r>
              <w:rPr>
                <w:rFonts w:ascii="Liberation Mono" w:hAnsi="Liberation Mono" w:eastAsia="Liberation Mono"/>
                <w:sz w:val="14"/>
              </w:rPr>
              <w:t>│   └── life/</w:t>
            </w:r>
            <w:r>
              <w:br/>
            </w:r>
            <w:r>
              <w:rPr>
                <w:rFonts w:ascii="Liberation Mono" w:hAnsi="Liberation Mono" w:eastAsia="Liberation Mono"/>
                <w:sz w:val="14"/>
              </w:rPr>
              <w:t>├── tests/</w:t>
            </w:r>
            <w:r>
              <w:br/>
            </w:r>
            <w:r>
              <w:rPr>
                <w:rFonts w:ascii="Liberation Mono" w:hAnsi="Liberation Mono" w:eastAsia="Liberation Mono"/>
                <w:sz w:val="14"/>
              </w:rPr>
              <w:t>│   ├── conformance/</w:t>
            </w:r>
            <w:r>
              <w:br/>
            </w:r>
            <w:r>
              <w:rPr>
                <w:rFonts w:ascii="Liberation Mono" w:hAnsi="Liberation Mono" w:eastAsia="Liberation Mono"/>
                <w:sz w:val="14"/>
              </w:rPr>
              <w:t>│   ├── interoperability/</w:t>
            </w:r>
            <w:r>
              <w:br/>
            </w:r>
            <w:r>
              <w:rPr>
                <w:rFonts w:ascii="Liberation Mono" w:hAnsi="Liberation Mono" w:eastAsia="Liberation Mono"/>
                <w:sz w:val="14"/>
              </w:rPr>
              <w:t>│   └── degradation/</w:t>
            </w:r>
            <w:r>
              <w:br/>
            </w:r>
            <w:r>
              <w:rPr>
                <w:rFonts w:ascii="Liberation Mono" w:hAnsi="Liberation Mono" w:eastAsia="Liberation Mono"/>
                <w:sz w:val="14"/>
              </w:rPr>
              <w:t>├── reference-runtime/</w:t>
            </w:r>
            <w:r>
              <w:br/>
            </w:r>
            <w:r>
              <w:rPr>
                <w:rFonts w:ascii="Liberation Mono" w:hAnsi="Liberation Mono" w:eastAsia="Liberation Mono"/>
                <w:sz w:val="14"/>
              </w:rPr>
              <w:t>├── adapters/</w:t>
            </w:r>
            <w:r>
              <w:br/>
            </w:r>
            <w:r>
              <w:rPr>
                <w:rFonts w:ascii="Liberation Mono" w:hAnsi="Liberation Mono" w:eastAsia="Liberation Mono"/>
                <w:sz w:val="14"/>
              </w:rPr>
              <w:t>├── integration-court/</w:t>
            </w:r>
            <w:r>
              <w:br/>
            </w:r>
            <w:r>
              <w:rPr>
                <w:rFonts w:ascii="Liberation Mono" w:hAnsi="Liberation Mono" w:eastAsia="Liberation Mono"/>
                <w:sz w:val="14"/>
              </w:rPr>
              <w:t>└── evidence-ledger/</w:t>
            </w:r>
          </w:p>
        </w:tc>
      </w:tr>
    </w:tbl>
    <w:p/>
    <w:p>
      <w:pPr>
        <w:pStyle w:val="Heading1"/>
      </w:pPr>
      <w:r>
        <w:t>23. TINP v0.2 的正式归位与迁移策略</w:t>
      </w:r>
    </w:p>
    <w:p>
      <w:r>
        <w:t>现有 TINP v0.2.0-alpha.1 已作为实验资产验证了部分核心假设。本规范不废弃它，而是把它拆回正确的协议职责。</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3005"/>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5"/>
              </w:rPr>
              <w:t>TINP v0.2 现有能力</w:t>
            </w:r>
          </w:p>
        </w:tc>
        <w:tc>
          <w:tcPr>
            <w:tcW w:type="dxa" w:w="2268"/>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5"/>
              </w:rPr>
              <w:t>新协议套件归属</w:t>
            </w:r>
          </w:p>
        </w:tc>
        <w:tc>
          <w:tcPr>
            <w:tcW w:type="dxa" w:w="4706"/>
            <w:tcMar>
              <w:top w:w="80" w:type="dxa"/>
              <w:bottom w:w="80" w:type="dxa"/>
              <w:start w:w="95" w:type="dxa"/>
              <w:end w:w="95" w:type="dxa"/>
            </w:tcMar>
            <w:vAlign w:val="center"/>
            <w:shd w:fill="245B78"/>
          </w:tcPr>
          <w:p>
            <w:pPr>
              <w:spacing w:after="0"/>
            </w:pPr>
            <w:r/>
            <w:r>
              <w:rPr>
                <w:rFonts w:ascii="Noto Sans CJK SC" w:hAnsi="Noto Sans CJK SC" w:eastAsia="Noto Sans CJK SC"/>
                <w:b/>
                <w:color w:val="FFFFFF"/>
                <w:sz w:val="15"/>
              </w:rPr>
              <w:t>处理方式</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Subject Address（主体地址）</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P02</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保留为候选语法，等待统一地址规范。</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Capability Address（能力地址）</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P02 / P04</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拆分地址语义与能力协商语义。</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Node Directory（节点目录）</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P03</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迁入发现协议。</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Capability Discovery（能力发现）</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P03 / P04</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发现与协商职责分离。</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Route Graph（路由图）</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P07</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升级为多维约束 RoutePlan。</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Multi-hop（多跳）</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P07 / P09</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路由语义与传输承载分离。</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Session Migration（会话迁移）</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P08</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保留已验证不变量，迁入正式状态机。</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Transport Provider Registry（传输提供器注册表）</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P09</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升级为统一 Transport Provider Contract。</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Security Provider Registry（安全提供器注册表）</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横切 / P05-P06</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保留接口思想，不在 TINP 内拥有密码学语义。</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OPP CHP Bridge（OPP 文明握手桥）</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P04 / 互操作</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保留为能力 / 协议协商适配器。</w:t>
            </w:r>
          </w:p>
        </w:tc>
      </w:tr>
      <w:tr>
        <w:trPr>
          <w:cantSplit w:val="true"/>
        </w:trPr>
        <w:tc>
          <w:tcPr>
            <w:tcW w:type="dxa" w:w="3005"/>
            <w:tcMar>
              <w:top w:w="80" w:type="dxa"/>
              <w:bottom w:w="80" w:type="dxa"/>
              <w:start w:w="95" w:type="dxa"/>
              <w:end w:w="95" w:type="dxa"/>
            </w:tcMar>
            <w:vAlign w:val="center"/>
          </w:tcPr>
          <w:p>
            <w:pPr>
              <w:spacing w:after="0"/>
            </w:pPr>
            <w:r/>
            <w:r>
              <w:rPr>
                <w:rFonts w:ascii="Noto Sans CJK SC" w:hAnsi="Noto Sans CJK SC" w:eastAsia="Noto Sans CJK SC"/>
                <w:b/>
                <w:sz w:val="15"/>
              </w:rPr>
              <w:t>RNR Payload Bridge（现实网络运行时载荷桥）</w:t>
            </w:r>
          </w:p>
        </w:tc>
        <w:tc>
          <w:tcPr>
            <w:tcW w:type="dxa" w:w="2268"/>
            <w:tcMar>
              <w:top w:w="80" w:type="dxa"/>
              <w:bottom w:w="80" w:type="dxa"/>
              <w:start w:w="95" w:type="dxa"/>
              <w:end w:w="95" w:type="dxa"/>
            </w:tcMar>
            <w:vAlign w:val="center"/>
          </w:tcPr>
          <w:p>
            <w:pPr>
              <w:spacing w:after="0"/>
            </w:pPr>
            <w:r/>
            <w:r>
              <w:rPr>
                <w:rFonts w:ascii="Noto Sans CJK SC" w:hAnsi="Noto Sans CJK SC" w:eastAsia="Noto Sans CJK SC"/>
                <w:b w:val="0"/>
                <w:sz w:val="15"/>
              </w:rPr>
              <w:t>P11 / 互操作</w:t>
            </w:r>
          </w:p>
        </w:tc>
        <w:tc>
          <w:tcPr>
            <w:tcW w:type="dxa" w:w="4706"/>
            <w:tcMar>
              <w:top w:w="80" w:type="dxa"/>
              <w:bottom w:w="80" w:type="dxa"/>
              <w:start w:w="95" w:type="dxa"/>
              <w:end w:w="95" w:type="dxa"/>
            </w:tcMar>
            <w:vAlign w:val="center"/>
          </w:tcPr>
          <w:p>
            <w:pPr>
              <w:spacing w:after="0"/>
            </w:pPr>
            <w:r/>
            <w:r>
              <w:rPr>
                <w:rFonts w:ascii="Noto Sans CJK SC" w:hAnsi="Noto Sans CJK SC" w:eastAsia="Noto Sans CJK SC"/>
                <w:b w:val="0"/>
                <w:sz w:val="15"/>
              </w:rPr>
              <w:t>保留为世界 / 状态载荷适配器。</w:t>
            </w:r>
          </w:p>
        </w:tc>
      </w:tr>
      <w:tr>
        <w:trPr>
          <w:cantSplit w:val="true"/>
        </w:trPr>
        <w:tc>
          <w:tcPr>
            <w:tcW w:type="dxa" w:w="3005"/>
            <w:tcMar>
              <w:top w:w="80" w:type="dxa"/>
              <w:bottom w:w="80" w:type="dxa"/>
              <w:start w:w="95" w:type="dxa"/>
              <w:end w:w="95" w:type="dxa"/>
            </w:tcMar>
            <w:vAlign w:val="center"/>
            <w:shd w:fill="F7F9FA"/>
          </w:tcPr>
          <w:p>
            <w:pPr>
              <w:spacing w:after="0"/>
            </w:pPr>
            <w:r/>
            <w:r>
              <w:rPr>
                <w:rFonts w:ascii="Noto Sans CJK SC" w:hAnsi="Noto Sans CJK SC" w:eastAsia="Noto Sans CJK SC"/>
                <w:b/>
                <w:sz w:val="15"/>
              </w:rPr>
              <w:t>Evidence Receipt Chain（证据回执链）</w:t>
            </w:r>
          </w:p>
        </w:tc>
        <w:tc>
          <w:tcPr>
            <w:tcW w:type="dxa" w:w="2268"/>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P06</w:t>
            </w:r>
          </w:p>
        </w:tc>
        <w:tc>
          <w:tcPr>
            <w:tcW w:type="dxa" w:w="4706"/>
            <w:tcMar>
              <w:top w:w="80" w:type="dxa"/>
              <w:bottom w:w="80" w:type="dxa"/>
              <w:start w:w="95" w:type="dxa"/>
              <w:end w:w="95" w:type="dxa"/>
            </w:tcMar>
            <w:vAlign w:val="center"/>
            <w:shd w:fill="F7F9FA"/>
          </w:tcPr>
          <w:p>
            <w:pPr>
              <w:spacing w:after="0"/>
            </w:pPr>
            <w:r/>
            <w:r>
              <w:rPr>
                <w:rFonts w:ascii="Noto Sans CJK SC" w:hAnsi="Noto Sans CJK SC" w:eastAsia="Noto Sans CJK SC"/>
                <w:b w:val="0"/>
                <w:sz w:val="15"/>
              </w:rPr>
              <w:t>上移为共享证据协议。</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9F7EF"/>
            <w:tcMar>
              <w:top w:w="110" w:type="dxa"/>
              <w:bottom w:w="110" w:type="dxa"/>
              <w:start w:w="120" w:type="dxa"/>
              <w:end w:w="120" w:type="dxa"/>
            </w:tcMar>
            <w:tcBorders>
              <w:top w:val="single" w:sz="8" w:color="4A8C67"/>
              <w:left w:val="single" w:sz="8" w:color="4A8C67"/>
              <w:bottom w:val="single" w:sz="8" w:color="4A8C67"/>
              <w:right w:val="single" w:sz="8" w:color="4A8C67"/>
            </w:tcBorders>
          </w:tcPr>
          <w:p>
            <w:pPr>
              <w:spacing w:after="0"/>
              <w:jc w:val="center"/>
            </w:pPr>
            <w:r>
              <w:rPr>
                <w:rFonts w:ascii="Noto Sans CJK SC" w:hAnsi="Noto Sans CJK SC" w:eastAsia="Noto Sans CJK SC"/>
                <w:b/>
                <w:color w:val="17324D"/>
                <w:sz w:val="20"/>
              </w:rPr>
              <w:t>当前已重新运行 TINP v0.2 测试：22 / 22 PASS；这证明现有实验基线可继续复用，但不等于协议套件已完成。</w:t>
            </w:r>
          </w:p>
        </w:tc>
      </w:tr>
    </w:tbl>
    <w:p/>
    <w:p>
      <w:pPr>
        <w:pStyle w:val="Heading1"/>
      </w:pPr>
      <w:r>
        <w:t>24. 第一阶段工程路线图</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835"/>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阶段</w:t>
            </w:r>
          </w:p>
        </w:tc>
        <w:tc>
          <w:tcPr>
            <w:tcW w:type="dxa" w:w="7087"/>
            <w:tcMar>
              <w:top w:w="80" w:type="dxa"/>
              <w:bottom w:w="80" w:type="dxa"/>
              <w:start w:w="95" w:type="dxa"/>
              <w:end w:w="95" w:type="dxa"/>
            </w:tcMar>
            <w:vAlign w:val="center"/>
            <w:shd w:fill="2C6B66"/>
          </w:tcPr>
          <w:p>
            <w:pPr>
              <w:spacing w:after="0"/>
            </w:pPr>
            <w:r/>
            <w:r>
              <w:rPr>
                <w:rFonts w:ascii="Noto Sans CJK SC" w:hAnsi="Noto Sans CJK SC" w:eastAsia="Noto Sans CJK SC"/>
                <w:b/>
                <w:color w:val="FFFFFF"/>
                <w:sz w:val="16"/>
              </w:rPr>
              <w:t>主要交付</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Phase 0｜冻结工程基线</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6"/>
              </w:rPr>
              <w:t>本文件 v0.1、协议注册表、Shared IR 最小对象、跨协议不变量。</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Phase 1｜拆分 TINP</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把寻址、发现、路由、会话、证据等从实验单体拆回 P02-P08。</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Phase 2｜P00 Shared Semantic Core</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6"/>
              </w:rPr>
              <w:t>建立 Schema + RCL 语义内核 + 公共信封 + 版本规则。</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Phase 3｜P01-P06 主体与治理链</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主体、寻址、发现、意图能力、权限主权、证据可信形成最小闭环。</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Phase 4｜P07-P09 网络运行链</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6"/>
              </w:rPr>
              <w:t>多维路由、会话连续性、传输适配在三节点 / 多节点环境跑通。</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Phase 5｜P10-P11 商业与世界链</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SLA、预算、世界、数据生命周期和权威状态进入协议。</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Phase 6｜P12-P13 软件存在链</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6"/>
              </w:rPr>
              <w:t>Application Seed + Runtime Capability + Lowering 最小跨设备 Demo。</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Phase 7｜P14 私网 / VPN</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按主体、世界、项目、能力构造新私网，并接成熟 Security Provider。</w:t>
            </w:r>
          </w:p>
        </w:tc>
      </w:tr>
      <w:tr>
        <w:trPr>
          <w:cantSplit w:val="true"/>
        </w:trPr>
        <w:tc>
          <w:tcPr>
            <w:tcW w:type="dxa" w:w="2835"/>
            <w:tcMar>
              <w:top w:w="80" w:type="dxa"/>
              <w:bottom w:w="80" w:type="dxa"/>
              <w:start w:w="95" w:type="dxa"/>
              <w:end w:w="95" w:type="dxa"/>
            </w:tcMar>
            <w:vAlign w:val="center"/>
          </w:tcPr>
          <w:p>
            <w:pPr>
              <w:spacing w:after="0"/>
            </w:pPr>
            <w:r/>
            <w:r>
              <w:rPr>
                <w:rFonts w:ascii="Noto Sans CJK SC" w:hAnsi="Noto Sans CJK SC" w:eastAsia="Noto Sans CJK SC"/>
                <w:b/>
                <w:sz w:val="16"/>
              </w:rPr>
              <w:t>Phase 8｜P15 迁移与浏览器 Provider</w:t>
            </w:r>
          </w:p>
        </w:tc>
        <w:tc>
          <w:tcPr>
            <w:tcW w:type="dxa" w:w="7087"/>
            <w:tcMar>
              <w:top w:w="80" w:type="dxa"/>
              <w:bottom w:w="80" w:type="dxa"/>
              <w:start w:w="95" w:type="dxa"/>
              <w:end w:w="95" w:type="dxa"/>
            </w:tcMar>
            <w:vAlign w:val="center"/>
          </w:tcPr>
          <w:p>
            <w:pPr>
              <w:spacing w:after="0"/>
            </w:pPr>
            <w:r/>
            <w:r>
              <w:rPr>
                <w:rFonts w:ascii="Noto Sans CJK SC" w:hAnsi="Noto Sans CJK SC" w:eastAsia="Noto Sans CJK SC"/>
                <w:b w:val="0"/>
                <w:sz w:val="16"/>
              </w:rPr>
              <w:t>旧网桥、浏览器入口、传统应用兼容和生活化零配置验证。</w:t>
            </w:r>
          </w:p>
        </w:tc>
      </w:tr>
      <w:tr>
        <w:trPr>
          <w:cantSplit w:val="true"/>
        </w:trPr>
        <w:tc>
          <w:tcPr>
            <w:tcW w:type="dxa" w:w="2835"/>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Phase 9｜F5 真实验证</w:t>
            </w:r>
          </w:p>
        </w:tc>
        <w:tc>
          <w:tcPr>
            <w:tcW w:type="dxa" w:w="708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旧设备、低带宽、断网、企业工作流和普通用户真实长期测试。</w:t>
            </w:r>
          </w:p>
        </w:tc>
      </w:tr>
    </w:tbl>
    <w:p/>
    <w:p>
      <w:pPr>
        <w:pStyle w:val="Heading2"/>
      </w:pPr>
      <w:r>
        <w:t>24.1 第一轮最小闭环</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4F6F8"/>
            <w:tcMar>
              <w:top w:w="100" w:type="dxa"/>
              <w:bottom w:w="100" w:type="dxa"/>
              <w:start w:w="120" w:type="dxa"/>
              <w:end w:w="120" w:type="dxa"/>
            </w:tcMar>
          </w:tcPr>
          <w:p>
            <w:pPr>
              <w:spacing w:after="0"/>
            </w:pPr>
            <w:r>
              <w:rPr>
                <w:rFonts w:ascii="Liberation Mono" w:hAnsi="Liberation Mono" w:eastAsia="Liberation Mono"/>
                <w:sz w:val="16"/>
              </w:rPr>
              <w:t>Subject A 主体 A</w:t>
            </w:r>
            <w:r>
              <w:br/>
            </w:r>
            <w:r>
              <w:rPr>
                <w:rFonts w:ascii="Liberation Mono" w:hAnsi="Liberation Mono" w:eastAsia="Liberation Mono"/>
                <w:sz w:val="16"/>
              </w:rPr>
              <w:t>↓ P02 / P03</w:t>
            </w:r>
            <w:r>
              <w:br/>
            </w:r>
            <w:r>
              <w:rPr>
                <w:rFonts w:ascii="Liberation Mono" w:hAnsi="Liberation Mono" w:eastAsia="Liberation Mono"/>
                <w:sz w:val="16"/>
              </w:rPr>
              <w:t>发现 Capability X 能力 X</w:t>
            </w:r>
            <w:r>
              <w:br/>
            </w:r>
            <w:r>
              <w:rPr>
                <w:rFonts w:ascii="Liberation Mono" w:hAnsi="Liberation Mono" w:eastAsia="Liberation Mono"/>
                <w:sz w:val="16"/>
              </w:rPr>
              <w:t>↓ P04</w:t>
            </w:r>
            <w:r>
              <w:br/>
            </w:r>
            <w:r>
              <w:rPr>
                <w:rFonts w:ascii="Liberation Mono" w:hAnsi="Liberation Mono" w:eastAsia="Liberation Mono"/>
                <w:sz w:val="16"/>
              </w:rPr>
              <w:t>表达 Intent + Capability Contract 意图 + 能力契约</w:t>
            </w:r>
            <w:r>
              <w:br/>
            </w:r>
            <w:r>
              <w:rPr>
                <w:rFonts w:ascii="Liberation Mono" w:hAnsi="Liberation Mono" w:eastAsia="Liberation Mono"/>
                <w:sz w:val="16"/>
              </w:rPr>
              <w:t>↓ P05 / P06</w:t>
            </w:r>
            <w:r>
              <w:br/>
            </w:r>
            <w:r>
              <w:rPr>
                <w:rFonts w:ascii="Liberation Mono" w:hAnsi="Liberation Mono" w:eastAsia="Liberation Mono"/>
                <w:sz w:val="16"/>
              </w:rPr>
              <w:t>授权 + 证据检查</w:t>
            </w:r>
            <w:r>
              <w:br/>
            </w:r>
            <w:r>
              <w:rPr>
                <w:rFonts w:ascii="Liberation Mono" w:hAnsi="Liberation Mono" w:eastAsia="Liberation Mono"/>
                <w:sz w:val="16"/>
              </w:rPr>
              <w:t>↓ P07</w:t>
            </w:r>
            <w:r>
              <w:br/>
            </w:r>
            <w:r>
              <w:rPr>
                <w:rFonts w:ascii="Liberation Mono" w:hAnsi="Liberation Mono" w:eastAsia="Liberation Mono"/>
                <w:sz w:val="16"/>
              </w:rPr>
              <w:t>生成多维 RoutePlan 路由计划</w:t>
            </w:r>
            <w:r>
              <w:br/>
            </w:r>
            <w:r>
              <w:rPr>
                <w:rFonts w:ascii="Liberation Mono" w:hAnsi="Liberation Mono" w:eastAsia="Liberation Mono"/>
                <w:sz w:val="16"/>
              </w:rPr>
              <w:t>↓ P08 / P09</w:t>
            </w:r>
            <w:r>
              <w:br/>
            </w:r>
            <w:r>
              <w:rPr>
                <w:rFonts w:ascii="Liberation Mono" w:hAnsi="Liberation Mono" w:eastAsia="Liberation Mono"/>
                <w:sz w:val="16"/>
              </w:rPr>
              <w:t>建立并可迁移会话</w:t>
            </w:r>
            <w:r>
              <w:br/>
            </w:r>
            <w:r>
              <w:rPr>
                <w:rFonts w:ascii="Liberation Mono" w:hAnsi="Liberation Mono" w:eastAsia="Liberation Mono"/>
                <w:sz w:val="16"/>
              </w:rPr>
              <w:t>↓</w:t>
            </w:r>
            <w:r>
              <w:br/>
            </w:r>
            <w:r>
              <w:rPr>
                <w:rFonts w:ascii="Liberation Mono" w:hAnsi="Liberation Mono" w:eastAsia="Liberation Mono"/>
                <w:sz w:val="16"/>
              </w:rPr>
              <w:t>Provider 执行</w:t>
            </w:r>
            <w:r>
              <w:br/>
            </w:r>
            <w:r>
              <w:rPr>
                <w:rFonts w:ascii="Liberation Mono" w:hAnsi="Liberation Mono" w:eastAsia="Liberation Mono"/>
                <w:sz w:val="16"/>
              </w:rPr>
              <w:t>↓ P06</w:t>
            </w:r>
            <w:r>
              <w:br/>
            </w:r>
            <w:r>
              <w:rPr>
                <w:rFonts w:ascii="Liberation Mono" w:hAnsi="Liberation Mono" w:eastAsia="Liberation Mono"/>
                <w:sz w:val="16"/>
              </w:rPr>
              <w:t>产生 Evidence Receipt 证据回执</w:t>
            </w:r>
            <w:r>
              <w:br/>
            </w:r>
            <w:r>
              <w:rPr>
                <w:rFonts w:ascii="Liberation Mono" w:hAnsi="Liberation Mono" w:eastAsia="Liberation Mono"/>
                <w:sz w:val="16"/>
              </w:rPr>
              <w:t>↓</w:t>
            </w:r>
            <w:r>
              <w:br/>
            </w:r>
            <w:r>
              <w:rPr>
                <w:rFonts w:ascii="Liberation Mono" w:hAnsi="Liberation Mono" w:eastAsia="Liberation Mono"/>
                <w:sz w:val="16"/>
              </w:rPr>
              <w:t>D0→D4 退化与恢复测试</w:t>
            </w:r>
          </w:p>
        </w:tc>
      </w:tr>
    </w:tbl>
    <w:p/>
    <w:p>
      <w:pPr>
        <w:pStyle w:val="Heading1"/>
      </w:pPr>
      <w:r>
        <w:t>25. v0.1 发布验收条件</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247"/>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ID</w:t>
            </w:r>
          </w:p>
        </w:tc>
        <w:tc>
          <w:tcPr>
            <w:tcW w:type="dxa" w:w="8617"/>
            <w:tcMar>
              <w:top w:w="80" w:type="dxa"/>
              <w:bottom w:w="80" w:type="dxa"/>
              <w:start w:w="95" w:type="dxa"/>
              <w:end w:w="95" w:type="dxa"/>
            </w:tcMar>
            <w:vAlign w:val="center"/>
            <w:shd w:fill="7A3E65"/>
          </w:tcPr>
          <w:p>
            <w:pPr>
              <w:spacing w:after="0"/>
            </w:pPr>
            <w:r/>
            <w:r>
              <w:rPr>
                <w:rFonts w:ascii="Noto Sans CJK SC" w:hAnsi="Noto Sans CJK SC" w:eastAsia="Noto Sans CJK SC"/>
                <w:b/>
                <w:color w:val="FFFFFF"/>
                <w:sz w:val="16"/>
              </w:rPr>
              <w:t>验收要求</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BASE-01</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协议套件 P00-P15 的 Canonical Owner 不冲突。</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BASE-02</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Shared IR 至少拥有本文件第 4 章对象的机器可读 Schema。</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BASE-03</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12 条跨协议不变量拥有自动测试或形式表达计划。</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BASE-04</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至少 P01-P09 能组成一个真实多节点闭环。</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BASE-05</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三剖面均存在明确测试，不得只写理念。</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BASE-06</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D0-D4 退化有可执行状态定义。</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BASE-07</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旧互联网承载至少保留 UDP + TCP/QUIC 中一种适配路径。</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BASE-08</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权限撤销、版本不兼容、错误主体、错误 Provider、证据篡改全部有负例。</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BASE-09</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RCL 形式内核能编译并运行关键不变量。</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BASE-10</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每一阶段有 Integration Court（集成法院）与 Evidence Ledger（证据账本）。</w:t>
            </w:r>
          </w:p>
        </w:tc>
      </w:tr>
      <w:tr>
        <w:trPr>
          <w:cantSplit w:val="true"/>
        </w:trPr>
        <w:tc>
          <w:tcPr>
            <w:tcW w:type="dxa" w:w="1247"/>
            <w:tcMar>
              <w:top w:w="80" w:type="dxa"/>
              <w:bottom w:w="80" w:type="dxa"/>
              <w:start w:w="95" w:type="dxa"/>
              <w:end w:w="95" w:type="dxa"/>
            </w:tcMar>
            <w:vAlign w:val="center"/>
          </w:tcPr>
          <w:p>
            <w:pPr>
              <w:spacing w:after="0"/>
            </w:pPr>
            <w:r/>
            <w:r>
              <w:rPr>
                <w:rFonts w:ascii="Noto Sans CJK SC" w:hAnsi="Noto Sans CJK SC" w:eastAsia="Noto Sans CJK SC"/>
                <w:b/>
                <w:sz w:val="16"/>
              </w:rPr>
              <w:t>BASE-11</w:t>
            </w:r>
          </w:p>
        </w:tc>
        <w:tc>
          <w:tcPr>
            <w:tcW w:type="dxa" w:w="8617"/>
            <w:tcMar>
              <w:top w:w="80" w:type="dxa"/>
              <w:bottom w:w="80" w:type="dxa"/>
              <w:start w:w="95" w:type="dxa"/>
              <w:end w:w="95" w:type="dxa"/>
            </w:tcMar>
            <w:vAlign w:val="center"/>
          </w:tcPr>
          <w:p>
            <w:pPr>
              <w:spacing w:after="0"/>
            </w:pPr>
            <w:r/>
            <w:r>
              <w:rPr>
                <w:rFonts w:ascii="Noto Sans CJK SC" w:hAnsi="Noto Sans CJK SC" w:eastAsia="Noto Sans CJK SC"/>
                <w:b w:val="0"/>
                <w:sz w:val="16"/>
              </w:rPr>
              <w:t>不使用 GitHub Actions 作为唯一验证路径；本地参考测试必须可运行。</w:t>
            </w:r>
          </w:p>
        </w:tc>
      </w:tr>
      <w:tr>
        <w:trPr>
          <w:cantSplit w:val="true"/>
        </w:trPr>
        <w:tc>
          <w:tcPr>
            <w:tcW w:type="dxa" w:w="1247"/>
            <w:tcMar>
              <w:top w:w="80" w:type="dxa"/>
              <w:bottom w:w="80" w:type="dxa"/>
              <w:start w:w="95" w:type="dxa"/>
              <w:end w:w="95" w:type="dxa"/>
            </w:tcMar>
            <w:vAlign w:val="center"/>
            <w:shd w:fill="F7F9FA"/>
          </w:tcPr>
          <w:p>
            <w:pPr>
              <w:spacing w:after="0"/>
            </w:pPr>
            <w:r/>
            <w:r>
              <w:rPr>
                <w:rFonts w:ascii="Noto Sans CJK SC" w:hAnsi="Noto Sans CJK SC" w:eastAsia="Noto Sans CJK SC"/>
                <w:b/>
                <w:sz w:val="16"/>
              </w:rPr>
              <w:t>BASE-12</w:t>
            </w:r>
          </w:p>
        </w:tc>
        <w:tc>
          <w:tcPr>
            <w:tcW w:type="dxa" w:w="8617"/>
            <w:tcMar>
              <w:top w:w="80" w:type="dxa"/>
              <w:bottom w:w="80" w:type="dxa"/>
              <w:start w:w="95" w:type="dxa"/>
              <w:end w:w="95" w:type="dxa"/>
            </w:tcMar>
            <w:vAlign w:val="center"/>
            <w:shd w:fill="F7F9FA"/>
          </w:tcPr>
          <w:p>
            <w:pPr>
              <w:spacing w:after="0"/>
            </w:pPr>
            <w:r/>
            <w:r>
              <w:rPr>
                <w:rFonts w:ascii="Noto Sans CJK SC" w:hAnsi="Noto Sans CJK SC" w:eastAsia="Noto Sans CJK SC"/>
                <w:b w:val="0"/>
                <w:sz w:val="16"/>
              </w:rPr>
              <w:t>所有英文协议术语在面向用户 / 文档层必须提供中文解释。</w:t>
            </w:r>
          </w:p>
        </w:tc>
      </w:tr>
    </w:tbl>
    <w:p/>
    <w:p>
      <w:pPr>
        <w:pStyle w:val="Heading1"/>
      </w:pPr>
      <w:r>
        <w:t>26. 尚未冻结的问题</w:t>
      </w:r>
    </w:p>
    <w:p>
      <w:pPr>
        <w:pStyle w:val="ListBullet"/>
        <w:spacing w:after="50"/>
      </w:pPr>
      <w:r>
        <w:t>整个协议套件的最终正式品牌名和命名空间。</w:t>
      </w:r>
    </w:p>
    <w:p>
      <w:pPr>
        <w:pStyle w:val="ListBullet"/>
        <w:spacing w:after="50"/>
      </w:pPr>
      <w:r>
        <w:t>Subject ID（主体标识）最终编码、全局唯一性和离线创建策略。</w:t>
      </w:r>
    </w:p>
    <w:p>
      <w:pPr>
        <w:pStyle w:val="ListBullet"/>
        <w:spacing w:after="50"/>
      </w:pPr>
      <w:r>
        <w:t>World（世界）与组织 / 主体 / 项目的精确层级关系。</w:t>
      </w:r>
    </w:p>
    <w:p>
      <w:pPr>
        <w:pStyle w:val="ListBullet"/>
        <w:spacing w:after="50"/>
      </w:pPr>
      <w:r>
        <w:t>多维路由的默认目标函数及不同剖面的权重策略。</w:t>
      </w:r>
    </w:p>
    <w:p>
      <w:pPr>
        <w:pStyle w:val="ListBullet"/>
        <w:spacing w:after="50"/>
      </w:pPr>
      <w:r>
        <w:t>商业价值交换是否独立成协议，或保留在 P10。</w:t>
      </w:r>
    </w:p>
    <w:p>
      <w:pPr>
        <w:pStyle w:val="ListBullet"/>
        <w:spacing w:after="50"/>
      </w:pPr>
      <w:r>
        <w:t>Application Seed 的首个 Canonical IR（规范中间表示）采用 RCL 为主、复合 IR，还是多后端表示。</w:t>
      </w:r>
    </w:p>
    <w:p>
      <w:pPr>
        <w:pStyle w:val="ListBullet"/>
        <w:spacing w:after="50"/>
      </w:pPr>
      <w:r>
        <w:t>浏览器 Provider 与 Universal Runtime（通用运行时）的职责边界。</w:t>
      </w:r>
    </w:p>
    <w:p>
      <w:pPr>
        <w:pStyle w:val="ListBullet"/>
        <w:spacing w:after="50"/>
      </w:pPr>
      <w:r>
        <w:t>P14 私网是否采用独立协议名，及成熟 VPN / 隧道 Provider 的首批适配范围。</w:t>
      </w:r>
    </w:p>
    <w:p>
      <w:pPr>
        <w:pStyle w:val="ListBullet"/>
        <w:spacing w:after="50"/>
      </w:pPr>
      <w:r>
        <w:t>未来何时有充分证据需要下沉替换 IP 或更低层协议，而不是继续 Overlay（覆盖层）运行。</w:t>
      </w:r>
    </w:p>
    <w:p>
      <w:pPr>
        <w:pStyle w:val="Heading1"/>
        <w:pageBreakBefore/>
      </w:pPr>
      <w:r>
        <w:t>27. 总裁决</w:t>
      </w:r>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AF2F8"/>
            <w:tcMar>
              <w:top w:w="110" w:type="dxa"/>
              <w:bottom w:w="110" w:type="dxa"/>
              <w:start w:w="120" w:type="dxa"/>
              <w:end w:w="120" w:type="dxa"/>
            </w:tcMar>
            <w:tcBorders>
              <w:top w:val="single" w:sz="8" w:color="5B9BD5"/>
              <w:left w:val="single" w:sz="8" w:color="5B9BD5"/>
              <w:bottom w:val="single" w:sz="8" w:color="5B9BD5"/>
              <w:right w:val="single" w:sz="8" w:color="5B9BD5"/>
            </w:tcBorders>
          </w:tcPr>
          <w:p>
            <w:pPr>
              <w:spacing w:after="0"/>
              <w:jc w:val="center"/>
            </w:pPr>
            <w:r>
              <w:rPr>
                <w:rFonts w:ascii="Noto Sans CJK SC" w:hAnsi="Noto Sans CJK SC" w:eastAsia="Noto Sans CJK SC"/>
                <w:b/>
                <w:color w:val="17324D"/>
                <w:sz w:val="21"/>
              </w:rPr>
              <w:t>从本规范开始，TINP、主体协议、寻址、发现、路由、会话、VPN、应用种子、运行时与浏览器不再是互相漂浮的想法，而是同一套新互联网工程体系中的独立协议域与产品身体。</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FFF2CC"/>
            <w:tcMar>
              <w:top w:w="110" w:type="dxa"/>
              <w:bottom w:w="110" w:type="dxa"/>
              <w:start w:w="120" w:type="dxa"/>
              <w:end w:w="120" w:type="dxa"/>
            </w:tcMar>
            <w:tcBorders>
              <w:top w:val="single" w:sz="8" w:color="C99700"/>
              <w:left w:val="single" w:sz="8" w:color="C99700"/>
              <w:bottom w:val="single" w:sz="8" w:color="C99700"/>
              <w:right w:val="single" w:sz="8" w:color="C99700"/>
            </w:tcBorders>
          </w:tcPr>
          <w:p>
            <w:pPr>
              <w:spacing w:after="0"/>
              <w:jc w:val="center"/>
            </w:pPr>
            <w:r>
              <w:rPr>
                <w:rFonts w:ascii="Noto Sans CJK SC" w:hAnsi="Noto Sans CJK SC" w:eastAsia="Noto Sans CJK SC"/>
                <w:b/>
                <w:color w:val="17324D"/>
                <w:sz w:val="23"/>
              </w:rPr>
              <w:t>新互联网必须同时做到：军事级地活下来，商用级地承担责任，生活化地吸收复杂度。</w:t>
            </w:r>
          </w:p>
        </w:tc>
      </w:tr>
    </w:tbl>
    <w:p/>
    <w:tbl>
      <w:tblPr>
        <w:tblStyle w:val="TableGrid"/>
        <w:tblW w:type="auto" w:w="0"/>
        <w:jc w:val="center"/>
        <w:tblLook w:firstColumn="1" w:firstRow="1" w:lastColumn="0" w:lastRow="0" w:noHBand="0" w:noVBand="1" w:val="04A0"/>
      </w:tblPr>
      <w:tblGrid>
        <w:gridCol w:w="10200"/>
      </w:tblGrid>
      <w:tr>
        <w:trPr>
          <w:cantSplit w:val="true"/>
        </w:trPr>
        <w:tc>
          <w:tcPr>
            <w:tcW w:type="dxa" w:w="10200"/>
            <w:shd w:fill="E9F7EF"/>
            <w:tcMar>
              <w:top w:w="110" w:type="dxa"/>
              <w:bottom w:w="110" w:type="dxa"/>
              <w:start w:w="120" w:type="dxa"/>
              <w:end w:w="120" w:type="dxa"/>
            </w:tcMar>
            <w:tcBorders>
              <w:top w:val="single" w:sz="8" w:color="4A8C67"/>
              <w:left w:val="single" w:sz="8" w:color="4A8C67"/>
              <w:bottom w:val="single" w:sz="8" w:color="4A8C67"/>
              <w:right w:val="single" w:sz="8" w:color="4A8C67"/>
            </w:tcBorders>
          </w:tcPr>
          <w:p>
            <w:pPr>
              <w:spacing w:after="0"/>
              <w:jc w:val="center"/>
            </w:pPr>
            <w:r>
              <w:rPr>
                <w:rFonts w:ascii="Noto Sans CJK SC" w:hAnsi="Noto Sans CJK SC" w:eastAsia="Noto Sans CJK SC"/>
                <w:b/>
                <w:color w:val="17324D"/>
                <w:sz w:val="20"/>
              </w:rPr>
              <w:t>用户表达“我要什么”；网络理解“谁、凭什么、通过什么能力去完成”；软件描述“它是什么”；设备回答“我能做到什么”；基础设施负责把这些约束编译成当前现实中最合适的连接和运行身体。</w:t>
            </w:r>
          </w:p>
        </w:tc>
      </w:tr>
    </w:tbl>
    <w:p/>
    <w:p>
      <w:pPr>
        <w:jc w:val="center"/>
      </w:pPr>
      <w:r>
        <w:rPr>
          <w:rFonts w:ascii="Noto Sans CJK SC" w:hAnsi="Noto Sans CJK SC" w:eastAsia="Noto Sans CJK SC"/>
          <w:b/>
          <w:color w:val="17324D"/>
        </w:rPr>
        <w:t>— 《新互联网协议套件工程规范 v0.1》结束 —</w:t>
      </w:r>
    </w:p>
    <w:sectPr w:rsidR="00FC693F" w:rsidRPr="0006063C" w:rsidSect="00034616">
      <w:headerReference w:type="default" r:id="rId9"/>
      <w:footerReference w:type="default" r:id="rId10"/>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A8793"/>
        <w:sz w:val="16"/>
      </w:rPr>
      <w:t xml:space="preserve">道風悠遊科技有限公司｜工程规范｜第 </w:t>
    </w:r>
    <w:r>
      <w:fldChar w:fldCharType="begin"/>
      <w:instrText xml:space="preserve"> PAGE </w:instrText>
      <w:fldChar w:fldCharType="end"/>
    </w:r>
    <w:r>
      <w:rPr>
        <w:rFonts w:ascii="Noto Sans CJK SC" w:hAnsi="Noto Sans CJK SC" w:eastAsia="Noto Sans CJK SC"/>
        <w:color w:val="7A8793"/>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A8793"/>
        <w:sz w:val="16"/>
      </w:rPr>
      <w:t>新互联网协议套件工程规范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Noto Sans CJK SC" w:hAnsi="Noto Sans CJK SC" w:eastAsia="Noto Sans CJK SC"/>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CJK SC" w:hAnsi="Noto Sans CJK SC" w:eastAsia="Noto Sans CJK SC"/>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CJK SC" w:hAnsi="Noto Sans CJK SC" w:eastAsia="Noto Sans CJK SC"/>
      <w:b/>
      <w:bCs/>
      <w:color w:val="2C6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Noto Sans CJK SC" w:hAnsi="Noto Sans CJK SC" w:eastAsia="Noto Sans CJK SC"/>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