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24D"/>
          <w:sz w:val="56"/>
        </w:rPr>
        <w:t>AI时代互联网宪法与基础架构定义</w:t>
      </w:r>
    </w:p>
    <w:p>
      <w:pPr>
        <w:jc w:val="center"/>
      </w:pPr>
      <w:r>
        <w:rPr>
          <w:color w:val="5B6573"/>
          <w:sz w:val="28"/>
        </w:rPr>
        <w:t>v0.2｜从现实使用摩擦出发的互联网、软件与应用存在方式重构</w:t>
      </w:r>
    </w:p>
    <w:p/>
    <w:tbl>
      <w:tblPr>
        <w:tblW w:type="auto" w:w="0"/>
        <w:jc w:val="center"/>
        <w:tblLayout w:type="autofit"/>
        <w:tblLook w:firstColumn="1" w:firstRow="1" w:lastColumn="0" w:lastRow="0" w:noHBand="0" w:noVBand="1" w:val="04A0"/>
      </w:tblPr>
      <w:tblGrid>
        <w:gridCol w:w="9972"/>
      </w:tblGrid>
      <w:tr>
        <w:tc>
          <w:tcPr>
            <w:tcW w:type="dxa" w:w="9972"/>
            <w:shd w:fill="FFF3D6"/>
            <w:tcBorders>
              <w:top w:val="single" w:sz="8" w:color="C99700"/>
              <w:left w:val="single" w:sz="8" w:color="C99700"/>
              <w:bottom w:val="single" w:sz="8" w:color="C99700"/>
              <w:right w:val="single" w:sz="8" w:color="C99700"/>
            </w:tcBorders>
          </w:tcPr>
          <w:p>
            <w:pPr>
              <w:jc w:val="center"/>
            </w:pPr>
            <w:r>
              <w:rPr>
                <w:b/>
                <w:color w:val="17324D"/>
                <w:sz w:val="23"/>
              </w:rPr>
              <w:t>基础设施总纲：军事级 × 商用级 × 生活化</w:t>
            </w:r>
          </w:p>
        </w:tc>
      </w:tr>
    </w:tbl>
    <w:p/>
    <w:tbl>
      <w:tblPr>
        <w:tblW w:type="auto" w:w="0"/>
        <w:jc w:val="center"/>
        <w:tblLayout w:type="autofit"/>
        <w:tblLook w:firstColumn="1" w:firstRow="1" w:lastColumn="0" w:lastRow="0" w:noHBand="0" w:noVBand="1" w:val="04A0"/>
      </w:tblPr>
      <w:tblGrid>
        <w:gridCol w:w="9972"/>
      </w:tblGrid>
      <w:tr>
        <w:tc>
          <w:tcPr>
            <w:tcW w:type="dxa" w:w="9972"/>
            <w:shd w:fill="EAF2F8"/>
            <w:tcBorders>
              <w:top w:val="single" w:sz="8" w:color="5B9BD5"/>
              <w:left w:val="single" w:sz="8" w:color="5B9BD5"/>
              <w:bottom w:val="single" w:sz="8" w:color="5B9BD5"/>
              <w:right w:val="single" w:sz="8" w:color="5B9BD5"/>
            </w:tcBorders>
          </w:tcPr>
          <w:p>
            <w:pPr>
              <w:jc w:val="center"/>
            </w:pPr>
            <w:r>
              <w:rPr>
                <w:b/>
                <w:color w:val="17324D"/>
                <w:sz w:val="23"/>
              </w:rPr>
              <w:t>母命题一：基础设施不应要求用户适应技术演进，而应让技术适应用户、设备与现实条件。</w:t>
            </w:r>
          </w:p>
        </w:tc>
      </w:tr>
    </w:tbl>
    <w:p/>
    <w:tbl>
      <w:tblPr>
        <w:tblW w:type="auto" w:w="0"/>
        <w:jc w:val="center"/>
        <w:tblLayout w:type="autofit"/>
        <w:tblLook w:firstColumn="1" w:firstRow="1" w:lastColumn="0" w:lastRow="0" w:noHBand="0" w:noVBand="1" w:val="04A0"/>
      </w:tblPr>
      <w:tblGrid>
        <w:gridCol w:w="9972"/>
      </w:tblGrid>
      <w:tr>
        <w:tc>
          <w:tcPr>
            <w:tcW w:type="dxa" w:w="9972"/>
            <w:shd w:fill="E9F7EF"/>
            <w:tcBorders>
              <w:top w:val="single" w:sz="8" w:color="4A8C67"/>
              <w:left w:val="single" w:sz="8" w:color="4A8C67"/>
              <w:bottom w:val="single" w:sz="8" w:color="4A8C67"/>
              <w:right w:val="single" w:sz="8" w:color="4A8C67"/>
            </w:tcBorders>
          </w:tcPr>
          <w:p>
            <w:pPr>
              <w:jc w:val="center"/>
            </w:pPr>
            <w:r>
              <w:rPr>
                <w:b/>
                <w:color w:val="17324D"/>
                <w:sz w:val="23"/>
              </w:rPr>
              <w:t>母命题二：真正的基础设施，应在条件变坏时退化而不是崩塌；在条件变复杂时吸收复杂度，而不是把复杂度甩给用户。</w:t>
            </w:r>
          </w:p>
        </w:tc>
      </w:tr>
    </w:tbl>
    <w:p/>
    <w:p>
      <w:pPr>
        <w:jc w:val="center"/>
      </w:pPr>
      <w:r>
        <w:rPr>
          <w:color w:val="6B7280"/>
          <w:sz w:val="20"/>
        </w:rPr>
        <w:t>版本：v0.2</w:t>
        <w:br/>
        <w:t>日期：2026-09-08</w:t>
        <w:br/>
        <w:t>性质：宪法级概念基线 / 架构定义 / 后续协议与运行时编译源</w:t>
      </w:r>
    </w:p>
    <w:p>
      <w:r>
        <w:br w:type="page"/>
      </w:r>
    </w:p>
    <w:p>
      <w:pPr>
        <w:pStyle w:val="Heading1"/>
      </w:pPr>
      <w:r>
        <w:t>0. 版本修订说明：先纠正“为什么要重构”</w:t>
      </w:r>
    </w:p>
    <w:p>
      <w:r>
        <w:t>v0.1 的论证更偏向“AI时代到来，因此旧互联网不足”。v0.2 将起点前移：真正的最初原因不是 AI，而是长期现实使用中已经存在的基础设施摩擦。AI、Agent（智能体）、机器人与数字主体只是把这些旧矛盾迅速放大。</w:t>
      </w:r>
    </w:p>
    <w:tbl>
      <w:tblPr>
        <w:tblW w:type="auto" w:w="0"/>
        <w:jc w:val="center"/>
        <w:tblLook w:firstColumn="1" w:firstRow="1" w:lastColumn="0" w:lastRow="0" w:noHBand="0" w:noVBand="1" w:val="04A0"/>
      </w:tblPr>
      <w:tblGrid>
        <w:gridCol w:w="9972"/>
      </w:tblGrid>
      <w:tr>
        <w:tc>
          <w:tcPr>
            <w:tcW w:type="dxa" w:w="9972"/>
            <w:shd w:fill="F5F7F9"/>
          </w:tcPr>
          <w:p>
            <w:pPr>
              <w:spacing w:after="0"/>
            </w:pPr>
            <w:r>
              <w:rPr>
                <w:rFonts w:ascii="Consolas" w:hAnsi="Consolas"/>
                <w:sz w:val="19"/>
              </w:rPr>
              <w:t>现实使用摩擦</w:t>
            </w:r>
            <w:r>
              <w:br/>
            </w:r>
            <w:r>
              <w:rPr>
                <w:rFonts w:ascii="Consolas" w:hAnsi="Consolas"/>
                <w:sz w:val="19"/>
              </w:rPr>
              <w:t>↓</w:t>
            </w:r>
            <w:r>
              <w:br/>
            </w:r>
            <w:r>
              <w:rPr>
                <w:rFonts w:ascii="Consolas" w:hAnsi="Consolas"/>
                <w:sz w:val="19"/>
              </w:rPr>
              <w:t>浏览器过度分层、分裂、偏重</w:t>
            </w:r>
            <w:r>
              <w:br/>
            </w:r>
            <w:r>
              <w:rPr>
                <w:rFonts w:ascii="Consolas" w:hAnsi="Consolas"/>
                <w:sz w:val="19"/>
              </w:rPr>
              <w:t>↓</w:t>
            </w:r>
            <w:r>
              <w:br/>
            </w:r>
            <w:r>
              <w:rPr>
                <w:rFonts w:ascii="Consolas" w:hAnsi="Consolas"/>
                <w:sz w:val="19"/>
              </w:rPr>
              <w:t>软件生态默认用户设备持续追随外部技术升级</w:t>
            </w:r>
            <w:r>
              <w:br/>
            </w:r>
            <w:r>
              <w:rPr>
                <w:rFonts w:ascii="Consolas" w:hAnsi="Consolas"/>
                <w:sz w:val="19"/>
              </w:rPr>
              <w:t>↓</w:t>
            </w:r>
            <w:r>
              <w:br/>
            </w:r>
            <w:r>
              <w:rPr>
                <w:rFonts w:ascii="Consolas" w:hAnsi="Consolas"/>
                <w:sz w:val="19"/>
              </w:rPr>
              <w:t>APK / EXE / IPA 等平台化运行与分发形态割裂</w:t>
            </w:r>
            <w:r>
              <w:br/>
            </w:r>
            <w:r>
              <w:rPr>
                <w:rFonts w:ascii="Consolas" w:hAnsi="Consolas"/>
                <w:sz w:val="19"/>
              </w:rPr>
              <w:t>↓</w:t>
            </w:r>
            <w:r>
              <w:br/>
            </w:r>
            <w:r>
              <w:rPr>
                <w:rFonts w:ascii="Consolas" w:hAnsi="Consolas"/>
                <w:sz w:val="19"/>
              </w:rPr>
              <w:t>复杂度被持续转嫁给用户、设备与开发者</w:t>
            </w:r>
            <w:r>
              <w:br/>
            </w:r>
            <w:r>
              <w:rPr>
                <w:rFonts w:ascii="Consolas" w:hAnsi="Consolas"/>
                <w:sz w:val="19"/>
              </w:rPr>
              <w:t>↓</w:t>
            </w:r>
            <w:r>
              <w:br/>
            </w:r>
            <w:r>
              <w:rPr>
                <w:rFonts w:ascii="Consolas" w:hAnsi="Consolas"/>
                <w:sz w:val="19"/>
              </w:rPr>
              <w:t>提出基础设施三原则：军事级 × 商用级 × 生活化</w:t>
            </w:r>
            <w:r>
              <w:br/>
            </w:r>
            <w:r>
              <w:rPr>
                <w:rFonts w:ascii="Consolas" w:hAnsi="Consolas"/>
                <w:sz w:val="19"/>
              </w:rPr>
              <w:t>↓</w:t>
            </w:r>
            <w:r>
              <w:br/>
            </w:r>
            <w:r>
              <w:rPr>
                <w:rFonts w:ascii="Consolas" w:hAnsi="Consolas"/>
                <w:sz w:val="19"/>
              </w:rPr>
              <w:t>重新定义软件、浏览器、网络、运行时与分发方式</w:t>
            </w:r>
            <w:r>
              <w:br/>
            </w:r>
            <w:r>
              <w:rPr>
                <w:rFonts w:ascii="Consolas" w:hAnsi="Consolas"/>
                <w:sz w:val="19"/>
              </w:rPr>
              <w:t>↓</w:t>
            </w:r>
            <w:r>
              <w:br/>
            </w:r>
            <w:r>
              <w:rPr>
                <w:rFonts w:ascii="Consolas" w:hAnsi="Consolas"/>
                <w:sz w:val="19"/>
              </w:rPr>
              <w:t>AI 时代成为矛盾放大器，而不是最初原因</w:t>
            </w:r>
          </w:p>
        </w:tc>
      </w:tr>
    </w:tbl>
    <w:p/>
    <w:p>
      <w:pPr>
        <w:pStyle w:val="Heading2"/>
      </w:pPr>
      <w:r>
        <w:t>0.1 核心修订结论</w:t>
      </w:r>
    </w:p>
    <w:p>
      <w:pPr>
        <w:pStyle w:val="ListBullet"/>
      </w:pPr>
      <w:r>
        <w:t>AI 不是重构互联网的最初原因；AI 是让旧架构问题无法继续隐藏的加速器。</w:t>
      </w:r>
    </w:p>
    <w:p>
      <w:pPr>
        <w:pStyle w:val="ListBullet"/>
      </w:pPr>
      <w:r>
        <w:t>“军事级、商用级、生活化”不再是后置质量标签，而是所有协议、运行时与产品的总判定器。</w:t>
      </w:r>
    </w:p>
    <w:p>
      <w:pPr>
        <w:pStyle w:val="ListBullet"/>
      </w:pPr>
      <w:r>
        <w:t>浏览器、应用包、网络协议不再分别优化，而应统一放回“基础设施怎样吸收复杂度”这一母问题中。</w:t>
      </w:r>
    </w:p>
    <w:p>
      <w:pPr>
        <w:pStyle w:val="ListBullet"/>
      </w:pPr>
      <w:r>
        <w:t>TINP（TaoWind Intent-Native Network Protocol，道风意图原生网络协议）是实验实现，不等于完整的新互联网。</w:t>
      </w:r>
    </w:p>
    <w:p>
      <w:pPr>
        <w:pStyle w:val="ListBullet"/>
      </w:pPr>
      <w:r>
        <w:t>Application Seed（应用种子）是软件存在方式的候选，不等于新的安装包格式。</w:t>
      </w:r>
    </w:p>
    <w:p>
      <w:pPr>
        <w:pStyle w:val="Heading1"/>
      </w:pPr>
      <w:r>
        <w:t>1. 原始问题：现代计算基础设施把太多责任推给用户</w:t>
      </w:r>
    </w:p>
    <w:p>
      <w:pPr>
        <w:pStyle w:val="Heading2"/>
      </w:pPr>
      <w:r>
        <w:t>1.1 浏览器：从文档查看器长成超级兼容运行时</w:t>
      </w:r>
    </w:p>
    <w:p>
      <w:r>
        <w:t>现代浏览器的能力极其强大，但其结构也越来越像一个承载历史兼容性的准操作系统：用户只是打开一个页面，机器背后可能同时运行浏览器进程体系、JavaScript 运行时、WebAssembly、HTML/CSS、前端框架、UI 组件库、缓存、数据库、GPU 管线、网络层与远程服务。</w:t>
      </w:r>
    </w:p>
    <w:tbl>
      <w:tblPr>
        <w:tblW w:type="auto" w:w="0"/>
        <w:jc w:val="center"/>
        <w:tblLook w:firstColumn="1" w:firstRow="1" w:lastColumn="0" w:lastRow="0" w:noHBand="0" w:noVBand="1" w:val="04A0"/>
      </w:tblPr>
      <w:tblGrid>
        <w:gridCol w:w="9972"/>
      </w:tblGrid>
      <w:tr>
        <w:tc>
          <w:tcPr>
            <w:tcW w:type="dxa" w:w="9972"/>
            <w:shd w:fill="F5F7F9"/>
          </w:tcPr>
          <w:p>
            <w:pPr>
              <w:spacing w:after="0"/>
            </w:pPr>
            <w:r>
              <w:rPr>
                <w:rFonts w:ascii="Consolas" w:hAnsi="Consolas"/>
                <w:sz w:val="19"/>
              </w:rPr>
              <w:t>操作系统</w:t>
            </w:r>
            <w:r>
              <w:br/>
            </w:r>
            <w:r>
              <w:rPr>
                <w:rFonts w:ascii="Consolas" w:hAnsi="Consolas"/>
                <w:sz w:val="19"/>
              </w:rPr>
              <w:t>↓</w:t>
            </w:r>
            <w:r>
              <w:br/>
            </w:r>
            <w:r>
              <w:rPr>
                <w:rFonts w:ascii="Consolas" w:hAnsi="Consolas"/>
                <w:sz w:val="19"/>
              </w:rPr>
              <w:t>浏览器</w:t>
            </w:r>
            <w:r>
              <w:br/>
            </w:r>
            <w:r>
              <w:rPr>
                <w:rFonts w:ascii="Consolas" w:hAnsi="Consolas"/>
                <w:sz w:val="19"/>
              </w:rPr>
              <w:t>↓</w:t>
            </w:r>
            <w:r>
              <w:br/>
            </w:r>
            <w:r>
              <w:rPr>
                <w:rFonts w:ascii="Consolas" w:hAnsi="Consolas"/>
                <w:sz w:val="19"/>
              </w:rPr>
              <w:t>浏览器运行时</w:t>
            </w:r>
            <w:r>
              <w:br/>
            </w:r>
            <w:r>
              <w:rPr>
                <w:rFonts w:ascii="Consolas" w:hAnsi="Consolas"/>
                <w:sz w:val="19"/>
              </w:rPr>
              <w:t>↓</w:t>
            </w:r>
            <w:r>
              <w:br/>
            </w:r>
            <w:r>
              <w:rPr>
                <w:rFonts w:ascii="Consolas" w:hAnsi="Consolas"/>
                <w:sz w:val="19"/>
              </w:rPr>
              <w:t>JavaScript / WebAssembly</w:t>
            </w:r>
            <w:r>
              <w:br/>
            </w:r>
            <w:r>
              <w:rPr>
                <w:rFonts w:ascii="Consolas" w:hAnsi="Consolas"/>
                <w:sz w:val="19"/>
              </w:rPr>
              <w:t>↓</w:t>
            </w:r>
            <w:r>
              <w:br/>
            </w:r>
            <w:r>
              <w:rPr>
                <w:rFonts w:ascii="Consolas" w:hAnsi="Consolas"/>
                <w:sz w:val="19"/>
              </w:rPr>
              <w:t>HTML / CSS / 前端框架 / UI组件</w:t>
            </w:r>
            <w:r>
              <w:br/>
            </w:r>
            <w:r>
              <w:rPr>
                <w:rFonts w:ascii="Consolas" w:hAnsi="Consolas"/>
                <w:sz w:val="19"/>
              </w:rPr>
              <w:t>↓</w:t>
            </w:r>
            <w:r>
              <w:br/>
            </w:r>
            <w:r>
              <w:rPr>
                <w:rFonts w:ascii="Consolas" w:hAnsi="Consolas"/>
                <w:sz w:val="19"/>
              </w:rPr>
              <w:t>应用逻辑</w:t>
            </w:r>
            <w:r>
              <w:br/>
            </w:r>
            <w:r>
              <w:rPr>
                <w:rFonts w:ascii="Consolas" w:hAnsi="Consolas"/>
                <w:sz w:val="19"/>
              </w:rPr>
              <w:t>↓</w:t>
            </w:r>
            <w:r>
              <w:br/>
            </w:r>
            <w:r>
              <w:rPr>
                <w:rFonts w:ascii="Consolas" w:hAnsi="Consolas"/>
                <w:sz w:val="19"/>
              </w:rPr>
              <w:t>远程服务</w:t>
            </w:r>
          </w:p>
        </w:tc>
      </w:tr>
    </w:tbl>
    <w:p/>
    <w:p>
      <w:r>
        <w:t>问题不是“浏览器能力太多”本身，而是：这些能力是否应该继续由单一浏览器兼容层承担，以及这种结构是否仍是军事、商业和日常环境共同需要的最优终态。</w:t>
      </w:r>
    </w:p>
    <w:p>
      <w:pPr>
        <w:pStyle w:val="Heading2"/>
      </w:pPr>
      <w:r>
        <w:t>1.2 默认假设：用户设备会持续追随技术演进</w:t>
      </w:r>
    </w:p>
    <w:p>
      <w:r>
        <w:t>现代软件生态常默认：新功能带来新运行时，新运行时抬高系统与硬件要求，用户最终通过升级设备和系统解决兼容问题。</w:t>
      </w:r>
    </w:p>
    <w:tbl>
      <w:tblPr>
        <w:tblW w:type="auto" w:w="0"/>
        <w:jc w:val="center"/>
        <w:tblLook w:firstColumn="1" w:firstRow="1" w:lastColumn="0" w:lastRow="0" w:noHBand="0" w:noVBand="1" w:val="04A0"/>
      </w:tblPr>
      <w:tblGrid>
        <w:gridCol w:w="9972"/>
      </w:tblGrid>
      <w:tr>
        <w:tc>
          <w:tcPr>
            <w:tcW w:type="dxa" w:w="9972"/>
            <w:shd w:fill="F5F7F9"/>
          </w:tcPr>
          <w:p>
            <w:pPr>
              <w:spacing w:after="0"/>
            </w:pPr>
            <w:r>
              <w:rPr>
                <w:rFonts w:ascii="Consolas" w:hAnsi="Consolas"/>
                <w:sz w:val="19"/>
              </w:rPr>
              <w:t>新能力</w:t>
            </w:r>
            <w:r>
              <w:br/>
            </w:r>
            <w:r>
              <w:rPr>
                <w:rFonts w:ascii="Consolas" w:hAnsi="Consolas"/>
                <w:sz w:val="19"/>
              </w:rPr>
              <w:t>→ 新运行时</w:t>
            </w:r>
            <w:r>
              <w:br/>
            </w:r>
            <w:r>
              <w:rPr>
                <w:rFonts w:ascii="Consolas" w:hAnsi="Consolas"/>
                <w:sz w:val="19"/>
              </w:rPr>
              <w:t>→ 新系统要求</w:t>
            </w:r>
            <w:r>
              <w:br/>
            </w:r>
            <w:r>
              <w:rPr>
                <w:rFonts w:ascii="Consolas" w:hAnsi="Consolas"/>
                <w:sz w:val="19"/>
              </w:rPr>
              <w:t>→ 更高硬件需求</w:t>
            </w:r>
            <w:r>
              <w:br/>
            </w:r>
            <w:r>
              <w:rPr>
                <w:rFonts w:ascii="Consolas" w:hAnsi="Consolas"/>
                <w:sz w:val="19"/>
              </w:rPr>
              <w:t>→ 用户升级设备</w:t>
            </w:r>
            <w:r>
              <w:br/>
            </w:r>
            <w:r>
              <w:rPr>
                <w:rFonts w:ascii="Consolas" w:hAnsi="Consolas"/>
                <w:sz w:val="19"/>
              </w:rPr>
              <w:t>→ 再继续增加能力</w:t>
            </w:r>
          </w:p>
        </w:tc>
      </w:tr>
    </w:tbl>
    <w:p/>
    <w:tbl>
      <w:tblPr>
        <w:tblW w:type="auto" w:w="0"/>
        <w:jc w:val="center"/>
        <w:tblLayout w:type="autofit"/>
        <w:tblLook w:firstColumn="1" w:firstRow="1" w:lastColumn="0" w:lastRow="0" w:noHBand="0" w:noVBand="1" w:val="04A0"/>
      </w:tblPr>
      <w:tblGrid>
        <w:gridCol w:w="9972"/>
      </w:tblGrid>
      <w:tr>
        <w:tc>
          <w:tcPr>
            <w:tcW w:type="dxa" w:w="9972"/>
            <w:shd w:fill="FDEDEC"/>
            <w:tcBorders>
              <w:top w:val="single" w:sz="8" w:color="B85450"/>
              <w:left w:val="single" w:sz="8" w:color="B85450"/>
              <w:bottom w:val="single" w:sz="8" w:color="B85450"/>
              <w:right w:val="single" w:sz="8" w:color="B85450"/>
            </w:tcBorders>
          </w:tcPr>
          <w:p>
            <w:pPr>
              <w:jc w:val="center"/>
            </w:pPr>
            <w:r>
              <w:rPr>
                <w:b/>
                <w:color w:val="17324D"/>
                <w:sz w:val="23"/>
              </w:rPr>
              <w:t>v0.2 逆转责任：软件应询问“当前设备能做到什么”，而不是要求用户不断追赶软件。</w:t>
            </w:r>
          </w:p>
        </w:tc>
      </w:tr>
    </w:tbl>
    <w:p/>
    <w:p>
      <w:pPr>
        <w:pStyle w:val="Heading2"/>
      </w:pPr>
      <w:r>
        <w:t>1.3 APK / EXE / IPA：软件被平台合法身份切碎</w:t>
      </w:r>
    </w:p>
    <w:p>
      <w:r>
        <w:t>当前一个“应用”首先要回答自己属于 Windows、Android、iOS、Linux、Web 还是 macOS。随后又进入不同打包、签名、沙箱、SDK、权限、商店、更新和发布流程。于是“让程序运行”被拆成了多个平台文明中的重复合法化过程。</w:t>
      </w:r>
    </w:p>
    <w:tbl>
      <w:tblPr>
        <w:tblW w:type="auto" w:w="0"/>
        <w:jc w:val="center"/>
        <w:tblLayout w:type="autofit"/>
        <w:tblLook w:firstColumn="1" w:firstRow="1" w:lastColumn="0" w:lastRow="0" w:noHBand="0" w:noVBand="1" w:val="04A0"/>
      </w:tblPr>
      <w:tblGrid>
        <w:gridCol w:w="9972"/>
      </w:tblGrid>
      <w:tr>
        <w:tc>
          <w:tcPr>
            <w:tcW w:type="dxa" w:w="9972"/>
            <w:shd w:fill="E8F5E9"/>
            <w:tcBorders>
              <w:top w:val="single" w:sz="8" w:color="4A8C67"/>
              <w:left w:val="single" w:sz="8" w:color="4A8C67"/>
              <w:bottom w:val="single" w:sz="8" w:color="4A8C67"/>
              <w:right w:val="single" w:sz="8" w:color="4A8C67"/>
            </w:tcBorders>
          </w:tcPr>
          <w:p>
            <w:pPr>
              <w:jc w:val="center"/>
            </w:pPr>
            <w:r>
              <w:rPr>
                <w:b/>
                <w:color w:val="17324D"/>
                <w:sz w:val="23"/>
              </w:rPr>
              <w:t>核心判断：软件本体 ≠ 平台产物；包格式 ≠ 运行格式。</w:t>
            </w:r>
          </w:p>
        </w:tc>
      </w:tr>
    </w:tbl>
    <w:p/>
    <w:p>
      <w:pPr>
        <w:pStyle w:val="Heading1"/>
      </w:pPr>
      <w:r>
        <w:t>2. 基础设施三原则：所有后续设计的总判定器</w:t>
      </w:r>
    </w:p>
    <w:tbl>
      <w:tblPr>
        <w:tblW w:type="auto" w:w="0"/>
        <w:jc w:val="center"/>
        <w:tblLook w:firstColumn="1" w:firstRow="1" w:lastColumn="0" w:lastRow="0" w:noHBand="0" w:noVBand="1" w:val="04A0"/>
      </w:tblPr>
      <w:tblGrid>
        <w:gridCol w:w="2493"/>
        <w:gridCol w:w="2493"/>
        <w:gridCol w:w="2493"/>
        <w:gridCol w:w="2493"/>
      </w:tblGrid>
      <w:tr>
        <w:tc>
          <w:tcPr>
            <w:tcW w:type="dxa" w:w="2493"/>
            <w:vAlign w:val="center"/>
            <w:shd w:fill="17324D"/>
          </w:tcPr>
          <w:p>
            <w:r/>
            <w:r>
              <w:rPr>
                <w:b/>
                <w:color w:val="FFFFFF"/>
                <w:sz w:val="19"/>
              </w:rPr>
              <w:t>原则</w:t>
            </w:r>
          </w:p>
        </w:tc>
        <w:tc>
          <w:tcPr>
            <w:tcW w:type="dxa" w:w="2493"/>
            <w:vAlign w:val="center"/>
            <w:shd w:fill="17324D"/>
          </w:tcPr>
          <w:p>
            <w:r/>
            <w:r>
              <w:rPr>
                <w:b/>
                <w:color w:val="FFFFFF"/>
                <w:sz w:val="19"/>
              </w:rPr>
              <w:t>核心问题</w:t>
            </w:r>
          </w:p>
        </w:tc>
        <w:tc>
          <w:tcPr>
            <w:tcW w:type="dxa" w:w="2493"/>
            <w:vAlign w:val="center"/>
            <w:shd w:fill="17324D"/>
          </w:tcPr>
          <w:p>
            <w:r/>
            <w:r>
              <w:rPr>
                <w:b/>
                <w:color w:val="FFFFFF"/>
                <w:sz w:val="19"/>
              </w:rPr>
              <w:t>最低要求</w:t>
            </w:r>
          </w:p>
        </w:tc>
        <w:tc>
          <w:tcPr>
            <w:tcW w:type="dxa" w:w="2493"/>
            <w:vAlign w:val="center"/>
            <w:shd w:fill="17324D"/>
          </w:tcPr>
          <w:p>
            <w:r/>
            <w:r>
              <w:rPr>
                <w:b/>
                <w:color w:val="FFFFFF"/>
                <w:sz w:val="19"/>
              </w:rPr>
              <w:t>失败表现</w:t>
            </w:r>
          </w:p>
        </w:tc>
      </w:tr>
      <w:tr>
        <w:tc>
          <w:tcPr>
            <w:tcW w:type="dxa" w:w="2493"/>
            <w:vAlign w:val="center"/>
          </w:tcPr>
          <w:p>
            <w:r/>
            <w:r>
              <w:rPr>
                <w:b/>
                <w:sz w:val="19"/>
              </w:rPr>
              <w:t>军事级</w:t>
            </w:r>
          </w:p>
        </w:tc>
        <w:tc>
          <w:tcPr>
            <w:tcW w:type="dxa" w:w="2493"/>
            <w:vAlign w:val="center"/>
          </w:tcPr>
          <w:p>
            <w:r/>
            <w:r>
              <w:rPr>
                <w:b w:val="0"/>
                <w:sz w:val="19"/>
              </w:rPr>
              <w:t>环境变坏后还能不能活？</w:t>
            </w:r>
          </w:p>
        </w:tc>
        <w:tc>
          <w:tcPr>
            <w:tcW w:type="dxa" w:w="2493"/>
            <w:vAlign w:val="center"/>
          </w:tcPr>
          <w:p>
            <w:r/>
            <w:r>
              <w:rPr>
                <w:b w:val="0"/>
                <w:sz w:val="19"/>
              </w:rPr>
              <w:t>断网、低带宽、旧设备、节点失效、中央服务消失时仍保留最低可用能力</w:t>
            </w:r>
          </w:p>
        </w:tc>
        <w:tc>
          <w:tcPr>
            <w:tcW w:type="dxa" w:w="2493"/>
            <w:vAlign w:val="center"/>
          </w:tcPr>
          <w:p>
            <w:r/>
            <w:r>
              <w:rPr>
                <w:b w:val="0"/>
                <w:sz w:val="19"/>
              </w:rPr>
              <w:t>环境稍差即整体不可用</w:t>
            </w:r>
          </w:p>
        </w:tc>
      </w:tr>
      <w:tr>
        <w:tc>
          <w:tcPr>
            <w:tcW w:type="dxa" w:w="2493"/>
            <w:vAlign w:val="center"/>
          </w:tcPr>
          <w:p>
            <w:r/>
            <w:r>
              <w:rPr>
                <w:b/>
                <w:sz w:val="19"/>
              </w:rPr>
              <w:t>商用级</w:t>
            </w:r>
          </w:p>
        </w:tc>
        <w:tc>
          <w:tcPr>
            <w:tcW w:type="dxa" w:w="2493"/>
            <w:vAlign w:val="center"/>
          </w:tcPr>
          <w:p>
            <w:r/>
            <w:r>
              <w:rPr>
                <w:b w:val="0"/>
                <w:sz w:val="19"/>
              </w:rPr>
              <w:t>能否长期承担现实责任？</w:t>
            </w:r>
          </w:p>
        </w:tc>
        <w:tc>
          <w:tcPr>
            <w:tcW w:type="dxa" w:w="2493"/>
            <w:vAlign w:val="center"/>
          </w:tcPr>
          <w:p>
            <w:r/>
            <w:r>
              <w:rPr>
                <w:b w:val="0"/>
                <w:sz w:val="19"/>
              </w:rPr>
              <w:t>稳定、审计、回滚、迁移、权限、版本、接口、Provider 可替换</w:t>
            </w:r>
          </w:p>
        </w:tc>
        <w:tc>
          <w:tcPr>
            <w:tcW w:type="dxa" w:w="2493"/>
            <w:vAlign w:val="center"/>
          </w:tcPr>
          <w:p>
            <w:r/>
            <w:r>
              <w:rPr>
                <w:b w:val="0"/>
                <w:sz w:val="19"/>
              </w:rPr>
              <w:t>升级即炸、供应商锁死、责任不清</w:t>
            </w:r>
          </w:p>
        </w:tc>
      </w:tr>
      <w:tr>
        <w:tc>
          <w:tcPr>
            <w:tcW w:type="dxa" w:w="2493"/>
            <w:vAlign w:val="center"/>
          </w:tcPr>
          <w:p>
            <w:r/>
            <w:r>
              <w:rPr>
                <w:b/>
                <w:sz w:val="19"/>
              </w:rPr>
              <w:t>生活化</w:t>
            </w:r>
          </w:p>
        </w:tc>
        <w:tc>
          <w:tcPr>
            <w:tcW w:type="dxa" w:w="2493"/>
            <w:vAlign w:val="center"/>
          </w:tcPr>
          <w:p>
            <w:r/>
            <w:r>
              <w:rPr>
                <w:b w:val="0"/>
                <w:sz w:val="19"/>
              </w:rPr>
              <w:t>普通人是否无需理解技术？</w:t>
            </w:r>
          </w:p>
        </w:tc>
        <w:tc>
          <w:tcPr>
            <w:tcW w:type="dxa" w:w="2493"/>
            <w:vAlign w:val="center"/>
          </w:tcPr>
          <w:p>
            <w:r/>
            <w:r>
              <w:rPr>
                <w:b w:val="0"/>
                <w:sz w:val="19"/>
              </w:rPr>
              <w:t>零配置、低认知负担、意图驱动、自动协商、渐进披露技术细节</w:t>
            </w:r>
          </w:p>
        </w:tc>
        <w:tc>
          <w:tcPr>
            <w:tcW w:type="dxa" w:w="2493"/>
            <w:vAlign w:val="center"/>
          </w:tcPr>
          <w:p>
            <w:r/>
            <w:r>
              <w:rPr>
                <w:b w:val="0"/>
                <w:sz w:val="19"/>
              </w:rPr>
              <w:t>用户必须懂端口、证书、包格式和运行时</w:t>
            </w:r>
          </w:p>
        </w:tc>
      </w:tr>
    </w:tbl>
    <w:p/>
    <w:p>
      <w:pPr>
        <w:pStyle w:val="Heading2"/>
      </w:pPr>
      <w:r>
        <w:t>2.1 军事级：能力退化，而非功能坍塌</w:t>
      </w:r>
    </w:p>
    <w:p>
      <w:pPr>
        <w:pStyle w:val="ListBullet"/>
      </w:pPr>
      <w:r>
        <w:t>断网仍能运行；低带宽仍能交换关键状态；部分节点损毁不导致整体死亡。</w:t>
      </w:r>
    </w:p>
    <w:p>
      <w:pPr>
        <w:pStyle w:val="ListBullet"/>
      </w:pPr>
      <w:r>
        <w:t>新版本不可获取时，旧版本仍能继续执行核心任务。</w:t>
      </w:r>
    </w:p>
    <w:p>
      <w:pPr>
        <w:pStyle w:val="ListBullet"/>
      </w:pPr>
      <w:r>
        <w:t>依赖缺失时自动寻找替代 Provider（能力提供器）或降低功能等级。</w:t>
      </w:r>
    </w:p>
    <w:p>
      <w:pPr>
        <w:pStyle w:val="ListBullet"/>
      </w:pPr>
      <w:r>
        <w:t>设备能力不同可以重新 Lowering（下沉编译）为可承受的实现。</w:t>
      </w:r>
    </w:p>
    <w:p>
      <w:pPr>
        <w:pStyle w:val="ListBullet"/>
      </w:pPr>
      <w:r>
        <w:t>状态、主体与权限应可迁移，而不被单一设备绑死。</w:t>
      </w:r>
    </w:p>
    <w:p>
      <w:pPr>
        <w:pStyle w:val="Heading2"/>
      </w:pPr>
      <w:r>
        <w:t>2.2 商用级：把可维护性当作基础能力</w:t>
      </w:r>
    </w:p>
    <w:p>
      <w:pPr>
        <w:pStyle w:val="ListBullet"/>
      </w:pPr>
      <w:r>
        <w:t>版本稳定与长期支持。</w:t>
      </w:r>
    </w:p>
    <w:p>
      <w:pPr>
        <w:pStyle w:val="ListBullet"/>
      </w:pPr>
      <w:r>
        <w:t>明确权限、责任、审计与可追溯执行回执。</w:t>
      </w:r>
    </w:p>
    <w:p>
      <w:pPr>
        <w:pStyle w:val="ListBullet"/>
      </w:pPr>
      <w:r>
        <w:t>升级、回滚、迁移与数据兼容必须成为原生流程。</w:t>
      </w:r>
    </w:p>
    <w:p>
      <w:pPr>
        <w:pStyle w:val="ListBullet"/>
      </w:pPr>
      <w:r>
        <w:t>依赖能力契约而不是依赖单一供应商 API。</w:t>
      </w:r>
    </w:p>
    <w:p>
      <w:pPr>
        <w:pStyle w:val="ListBullet"/>
      </w:pPr>
      <w:r>
        <w:t>商业约束可机器表达：预算、SLA（服务等级协议）、数据地域、隐私、许可和保留周期。</w:t>
      </w:r>
    </w:p>
    <w:p>
      <w:pPr>
        <w:pStyle w:val="Heading2"/>
      </w:pPr>
      <w:r>
        <w:t>2.3 生活化：技术复杂度由基础设施吸收</w:t>
      </w:r>
    </w:p>
    <w:tbl>
      <w:tblPr>
        <w:tblW w:type="auto" w:w="0"/>
        <w:jc w:val="center"/>
        <w:tblLayout w:type="autofit"/>
        <w:tblLook w:firstColumn="1" w:firstRow="1" w:lastColumn="0" w:lastRow="0" w:noHBand="0" w:noVBand="1" w:val="04A0"/>
      </w:tblPr>
      <w:tblGrid>
        <w:gridCol w:w="9972"/>
      </w:tblGrid>
      <w:tr>
        <w:tc>
          <w:tcPr>
            <w:tcW w:type="dxa" w:w="9972"/>
            <w:shd w:fill="FFF3D6"/>
            <w:tcBorders>
              <w:top w:val="single" w:sz="8" w:color="C99700"/>
              <w:left w:val="single" w:sz="8" w:color="C99700"/>
              <w:bottom w:val="single" w:sz="8" w:color="C99700"/>
              <w:right w:val="single" w:sz="8" w:color="C99700"/>
            </w:tcBorders>
          </w:tcPr>
          <w:p>
            <w:pPr>
              <w:jc w:val="center"/>
            </w:pPr>
            <w:r>
              <w:rPr>
                <w:b/>
                <w:color w:val="17324D"/>
                <w:sz w:val="23"/>
              </w:rPr>
              <w:t>理想的人类交互：点击 → 能用；或者，说一句话 → 能用。</w:t>
            </w:r>
          </w:p>
        </w:tc>
      </w:tr>
    </w:tbl>
    <w:p/>
    <w:p>
      <w:r>
        <w:t>普通用户不应被要求理解 Gradle、APK、运行时、端口、API Key（接口密钥）、证书、代理和依赖树。这些概念可以存在，但应属于基础设施内部，而不是默认暴露给用户。</w:t>
      </w:r>
    </w:p>
    <w:p>
      <w:pPr>
        <w:pStyle w:val="Heading1"/>
      </w:pPr>
      <w:r>
        <w:t>3. 宪法级母命题与不可妥协不变量</w:t>
      </w:r>
    </w:p>
    <w:p>
      <w:r>
        <w:rPr>
          <w:b/>
        </w:rPr>
        <w:t>P1 适应责任逆转：</w:t>
      </w:r>
      <w:r>
        <w:t>基础设施不要求用户适应技术演进，而由软件与网络适应用户、设备和现实条件。</w:t>
      </w:r>
    </w:p>
    <w:p>
      <w:r>
        <w:rPr>
          <w:b/>
        </w:rPr>
        <w:t>P2 渐进退化：</w:t>
      </w:r>
      <w:r>
        <w:t>条件恶化时降低能力等级，不允许从“完整”直接跌落到“完全不可用”。</w:t>
      </w:r>
    </w:p>
    <w:p>
      <w:r>
        <w:rPr>
          <w:b/>
        </w:rPr>
        <w:t>P3 复杂度内吸收：</w:t>
      </w:r>
      <w:r>
        <w:t>环境越复杂，基础设施越应承担协商、兼容、迁移与转换，而不是把复杂度转嫁给用户。</w:t>
      </w:r>
    </w:p>
    <w:p>
      <w:r>
        <w:rPr>
          <w:b/>
        </w:rPr>
        <w:t>P4 主体高于节点：</w:t>
      </w:r>
      <w:r>
        <w:t>Subject（主体）是稳定网络锚点；设备、IP、进程和 Agent 实例只是可替换身体。</w:t>
      </w:r>
    </w:p>
    <w:p>
      <w:r>
        <w:rPr>
          <w:b/>
        </w:rPr>
        <w:t>P5 意图高于接口：</w:t>
      </w:r>
      <w:r>
        <w:t>用户表达“想完成什么”，基础设施再选择网络、能力、Provider、UI 和执行路径。</w:t>
      </w:r>
    </w:p>
    <w:p>
      <w:r>
        <w:rPr>
          <w:b/>
        </w:rPr>
        <w:t>P6 能力契约高于供应商：</w:t>
      </w:r>
      <w:r>
        <w:t>系统依赖 Capability Contract（能力契约），不是依赖单一公司、SDK 或云平台。</w:t>
      </w:r>
    </w:p>
    <w:p>
      <w:r>
        <w:rPr>
          <w:b/>
        </w:rPr>
        <w:t>P7 包格式不等于运行格式：</w:t>
      </w:r>
      <w:r>
        <w:t>分发对象描述软件本体；最终执行形式由当前环境决定。</w:t>
      </w:r>
    </w:p>
    <w:p>
      <w:r>
        <w:rPr>
          <w:b/>
        </w:rPr>
        <w:t>P8 证据与解释分离：</w:t>
      </w:r>
      <w:r>
        <w:t>原始事实、来源、授权和执行证据必须与 AI 的解释候选分开保存。</w:t>
      </w:r>
    </w:p>
    <w:p>
      <w:r>
        <w:rPr>
          <w:b/>
        </w:rPr>
        <w:t>P9 权限不可因通信自动扩张：</w:t>
      </w:r>
      <w:r>
        <w:t>任何握手、路由、转发和 Provider 替换都不得静默扩大主体权限。</w:t>
      </w:r>
    </w:p>
    <w:p>
      <w:r>
        <w:rPr>
          <w:b/>
        </w:rPr>
        <w:t>P10 可迁移连续性：</w:t>
      </w:r>
      <w:r>
        <w:t>主体、会话、状态和软件定义不得被单设备或单平台锁死。</w:t>
      </w:r>
    </w:p>
    <w:p>
      <w:pPr>
        <w:pStyle w:val="Heading1"/>
      </w:pPr>
      <w:r>
        <w:t>4. 新互联网核心原语</w:t>
      </w:r>
    </w:p>
    <w:tbl>
      <w:tblPr>
        <w:tblW w:type="auto" w:w="0"/>
        <w:jc w:val="center"/>
        <w:tblLook w:firstColumn="1" w:firstRow="1" w:lastColumn="0" w:lastRow="0" w:noHBand="0" w:noVBand="1" w:val="04A0"/>
      </w:tblPr>
      <w:tblGrid>
        <w:gridCol w:w="3324"/>
        <w:gridCol w:w="3324"/>
        <w:gridCol w:w="3324"/>
      </w:tblGrid>
      <w:tr>
        <w:tc>
          <w:tcPr>
            <w:tcW w:type="dxa" w:w="3324"/>
            <w:vAlign w:val="center"/>
            <w:shd w:fill="245B78"/>
          </w:tcPr>
          <w:p>
            <w:r/>
            <w:r>
              <w:rPr>
                <w:b/>
                <w:color w:val="FFFFFF"/>
                <w:sz w:val="19"/>
              </w:rPr>
              <w:t>原语</w:t>
            </w:r>
          </w:p>
        </w:tc>
        <w:tc>
          <w:tcPr>
            <w:tcW w:type="dxa" w:w="3324"/>
            <w:vAlign w:val="center"/>
            <w:shd w:fill="245B78"/>
          </w:tcPr>
          <w:p>
            <w:r/>
            <w:r>
              <w:rPr>
                <w:b/>
                <w:color w:val="FFFFFF"/>
                <w:sz w:val="19"/>
              </w:rPr>
              <w:t>中文含义</w:t>
            </w:r>
          </w:p>
        </w:tc>
        <w:tc>
          <w:tcPr>
            <w:tcW w:type="dxa" w:w="3324"/>
            <w:vAlign w:val="center"/>
            <w:shd w:fill="245B78"/>
          </w:tcPr>
          <w:p>
            <w:r/>
            <w:r>
              <w:rPr>
                <w:b/>
                <w:color w:val="FFFFFF"/>
                <w:sz w:val="19"/>
              </w:rPr>
              <w:t>网络中的职责</w:t>
            </w:r>
          </w:p>
        </w:tc>
      </w:tr>
      <w:tr>
        <w:tc>
          <w:tcPr>
            <w:tcW w:type="dxa" w:w="3324"/>
            <w:vAlign w:val="center"/>
          </w:tcPr>
          <w:p>
            <w:r/>
            <w:r>
              <w:rPr>
                <w:b/>
                <w:sz w:val="18"/>
              </w:rPr>
              <w:t>Subject</w:t>
            </w:r>
          </w:p>
        </w:tc>
        <w:tc>
          <w:tcPr>
            <w:tcW w:type="dxa" w:w="3324"/>
            <w:vAlign w:val="center"/>
          </w:tcPr>
          <w:p>
            <w:r/>
            <w:r>
              <w:rPr>
                <w:b w:val="0"/>
                <w:sz w:val="18"/>
              </w:rPr>
              <w:t>主体</w:t>
            </w:r>
          </w:p>
        </w:tc>
        <w:tc>
          <w:tcPr>
            <w:tcW w:type="dxa" w:w="3324"/>
            <w:vAlign w:val="center"/>
          </w:tcPr>
          <w:p>
            <w:r/>
            <w:r>
              <w:rPr>
                <w:b w:val="0"/>
                <w:sz w:val="18"/>
              </w:rPr>
              <w:t>稳定身份、责任、主权与连续性的锚点</w:t>
            </w:r>
          </w:p>
        </w:tc>
      </w:tr>
      <w:tr>
        <w:tc>
          <w:tcPr>
            <w:tcW w:type="dxa" w:w="3324"/>
            <w:vAlign w:val="center"/>
          </w:tcPr>
          <w:p>
            <w:r/>
            <w:r>
              <w:rPr>
                <w:b/>
                <w:sz w:val="18"/>
              </w:rPr>
              <w:t>Intent</w:t>
            </w:r>
          </w:p>
        </w:tc>
        <w:tc>
          <w:tcPr>
            <w:tcW w:type="dxa" w:w="3324"/>
            <w:vAlign w:val="center"/>
          </w:tcPr>
          <w:p>
            <w:r/>
            <w:r>
              <w:rPr>
                <w:b w:val="0"/>
                <w:sz w:val="18"/>
              </w:rPr>
              <w:t>意图</w:t>
            </w:r>
          </w:p>
        </w:tc>
        <w:tc>
          <w:tcPr>
            <w:tcW w:type="dxa" w:w="3324"/>
            <w:vAlign w:val="center"/>
          </w:tcPr>
          <w:p>
            <w:r/>
            <w:r>
              <w:rPr>
                <w:b w:val="0"/>
                <w:sz w:val="18"/>
              </w:rPr>
              <w:t>主体希望现实发生的变化</w:t>
            </w:r>
          </w:p>
        </w:tc>
      </w:tr>
      <w:tr>
        <w:tc>
          <w:tcPr>
            <w:tcW w:type="dxa" w:w="3324"/>
            <w:vAlign w:val="center"/>
          </w:tcPr>
          <w:p>
            <w:r/>
            <w:r>
              <w:rPr>
                <w:b/>
                <w:sz w:val="18"/>
              </w:rPr>
              <w:t>Capability</w:t>
            </w:r>
          </w:p>
        </w:tc>
        <w:tc>
          <w:tcPr>
            <w:tcW w:type="dxa" w:w="3324"/>
            <w:vAlign w:val="center"/>
          </w:tcPr>
          <w:p>
            <w:r/>
            <w:r>
              <w:rPr>
                <w:b w:val="0"/>
                <w:sz w:val="18"/>
              </w:rPr>
              <w:t>能力</w:t>
            </w:r>
          </w:p>
        </w:tc>
        <w:tc>
          <w:tcPr>
            <w:tcW w:type="dxa" w:w="3324"/>
            <w:vAlign w:val="center"/>
          </w:tcPr>
          <w:p>
            <w:r/>
            <w:r>
              <w:rPr>
                <w:b w:val="0"/>
                <w:sz w:val="18"/>
              </w:rPr>
              <w:t>网络中可被发现、协商和调用的功能</w:t>
            </w:r>
          </w:p>
        </w:tc>
      </w:tr>
      <w:tr>
        <w:tc>
          <w:tcPr>
            <w:tcW w:type="dxa" w:w="3324"/>
            <w:vAlign w:val="center"/>
          </w:tcPr>
          <w:p>
            <w:r/>
            <w:r>
              <w:rPr>
                <w:b/>
                <w:sz w:val="18"/>
              </w:rPr>
              <w:t>Authority</w:t>
            </w:r>
          </w:p>
        </w:tc>
        <w:tc>
          <w:tcPr>
            <w:tcW w:type="dxa" w:w="3324"/>
            <w:vAlign w:val="center"/>
          </w:tcPr>
          <w:p>
            <w:r/>
            <w:r>
              <w:rPr>
                <w:b w:val="0"/>
                <w:sz w:val="18"/>
              </w:rPr>
              <w:t>权限</w:t>
            </w:r>
          </w:p>
        </w:tc>
        <w:tc>
          <w:tcPr>
            <w:tcW w:type="dxa" w:w="3324"/>
            <w:vAlign w:val="center"/>
          </w:tcPr>
          <w:p>
            <w:r/>
            <w:r>
              <w:rPr>
                <w:b w:val="0"/>
                <w:sz w:val="18"/>
              </w:rPr>
              <w:t>允许执行什么、代表谁、可访问什么</w:t>
            </w:r>
          </w:p>
        </w:tc>
      </w:tr>
      <w:tr>
        <w:tc>
          <w:tcPr>
            <w:tcW w:type="dxa" w:w="3324"/>
            <w:vAlign w:val="center"/>
          </w:tcPr>
          <w:p>
            <w:r/>
            <w:r>
              <w:rPr>
                <w:b/>
                <w:sz w:val="18"/>
              </w:rPr>
              <w:t>Sovereignty</w:t>
            </w:r>
          </w:p>
        </w:tc>
        <w:tc>
          <w:tcPr>
            <w:tcW w:type="dxa" w:w="3324"/>
            <w:vAlign w:val="center"/>
          </w:tcPr>
          <w:p>
            <w:r/>
            <w:r>
              <w:rPr>
                <w:b w:val="0"/>
                <w:sz w:val="18"/>
              </w:rPr>
              <w:t>主权</w:t>
            </w:r>
          </w:p>
        </w:tc>
        <w:tc>
          <w:tcPr>
            <w:tcW w:type="dxa" w:w="3324"/>
            <w:vAlign w:val="center"/>
          </w:tcPr>
          <w:p>
            <w:r/>
            <w:r>
              <w:rPr>
                <w:b w:val="0"/>
                <w:sz w:val="18"/>
              </w:rPr>
              <w:t>主体对身份、数据、世界和授权边界的最终控制</w:t>
            </w:r>
          </w:p>
        </w:tc>
      </w:tr>
      <w:tr>
        <w:tc>
          <w:tcPr>
            <w:tcW w:type="dxa" w:w="3324"/>
            <w:vAlign w:val="center"/>
          </w:tcPr>
          <w:p>
            <w:r/>
            <w:r>
              <w:rPr>
                <w:b/>
                <w:sz w:val="18"/>
              </w:rPr>
              <w:t>Evidence</w:t>
            </w:r>
          </w:p>
        </w:tc>
        <w:tc>
          <w:tcPr>
            <w:tcW w:type="dxa" w:w="3324"/>
            <w:vAlign w:val="center"/>
          </w:tcPr>
          <w:p>
            <w:r/>
            <w:r>
              <w:rPr>
                <w:b w:val="0"/>
                <w:sz w:val="18"/>
              </w:rPr>
              <w:t>证据</w:t>
            </w:r>
          </w:p>
        </w:tc>
        <w:tc>
          <w:tcPr>
            <w:tcW w:type="dxa" w:w="3324"/>
            <w:vAlign w:val="center"/>
          </w:tcPr>
          <w:p>
            <w:r/>
            <w:r>
              <w:rPr>
                <w:b w:val="0"/>
                <w:sz w:val="18"/>
              </w:rPr>
              <w:t>证明发生过什么、由谁执行、依据什么</w:t>
            </w:r>
          </w:p>
        </w:tc>
      </w:tr>
      <w:tr>
        <w:tc>
          <w:tcPr>
            <w:tcW w:type="dxa" w:w="3324"/>
            <w:vAlign w:val="center"/>
          </w:tcPr>
          <w:p>
            <w:r/>
            <w:r>
              <w:rPr>
                <w:b/>
                <w:sz w:val="18"/>
              </w:rPr>
              <w:t>Trust</w:t>
            </w:r>
          </w:p>
        </w:tc>
        <w:tc>
          <w:tcPr>
            <w:tcW w:type="dxa" w:w="3324"/>
            <w:vAlign w:val="center"/>
          </w:tcPr>
          <w:p>
            <w:r/>
            <w:r>
              <w:rPr>
                <w:b w:val="0"/>
                <w:sz w:val="18"/>
              </w:rPr>
              <w:t>信任</w:t>
            </w:r>
          </w:p>
        </w:tc>
        <w:tc>
          <w:tcPr>
            <w:tcW w:type="dxa" w:w="3324"/>
            <w:vAlign w:val="center"/>
          </w:tcPr>
          <w:p>
            <w:r/>
            <w:r>
              <w:rPr>
                <w:b w:val="0"/>
                <w:sz w:val="18"/>
              </w:rPr>
              <w:t>基于证据、历史、策略形成的可计算信任状态</w:t>
            </w:r>
          </w:p>
        </w:tc>
      </w:tr>
      <w:tr>
        <w:tc>
          <w:tcPr>
            <w:tcW w:type="dxa" w:w="3324"/>
            <w:vAlign w:val="center"/>
          </w:tcPr>
          <w:p>
            <w:r/>
            <w:r>
              <w:rPr>
                <w:b/>
                <w:sz w:val="18"/>
              </w:rPr>
              <w:t>Context</w:t>
            </w:r>
          </w:p>
        </w:tc>
        <w:tc>
          <w:tcPr>
            <w:tcW w:type="dxa" w:w="3324"/>
            <w:vAlign w:val="center"/>
          </w:tcPr>
          <w:p>
            <w:r/>
            <w:r>
              <w:rPr>
                <w:b w:val="0"/>
                <w:sz w:val="18"/>
              </w:rPr>
              <w:t>上下文</w:t>
            </w:r>
          </w:p>
        </w:tc>
        <w:tc>
          <w:tcPr>
            <w:tcW w:type="dxa" w:w="3324"/>
            <w:vAlign w:val="center"/>
          </w:tcPr>
          <w:p>
            <w:r/>
            <w:r>
              <w:rPr>
                <w:b w:val="0"/>
                <w:sz w:val="18"/>
              </w:rPr>
              <w:t>任务、世界、关系和环境条件</w:t>
            </w:r>
          </w:p>
        </w:tc>
      </w:tr>
      <w:tr>
        <w:tc>
          <w:tcPr>
            <w:tcW w:type="dxa" w:w="3324"/>
            <w:vAlign w:val="center"/>
          </w:tcPr>
          <w:p>
            <w:r/>
            <w:r>
              <w:rPr>
                <w:b/>
                <w:sz w:val="18"/>
              </w:rPr>
              <w:t>Continuity</w:t>
            </w:r>
          </w:p>
        </w:tc>
        <w:tc>
          <w:tcPr>
            <w:tcW w:type="dxa" w:w="3324"/>
            <w:vAlign w:val="center"/>
          </w:tcPr>
          <w:p>
            <w:r/>
            <w:r>
              <w:rPr>
                <w:b w:val="0"/>
                <w:sz w:val="18"/>
              </w:rPr>
              <w:t>连续性</w:t>
            </w:r>
          </w:p>
        </w:tc>
        <w:tc>
          <w:tcPr>
            <w:tcW w:type="dxa" w:w="3324"/>
            <w:vAlign w:val="center"/>
          </w:tcPr>
          <w:p>
            <w:r/>
            <w:r>
              <w:rPr>
                <w:b w:val="0"/>
                <w:sz w:val="18"/>
              </w:rPr>
              <w:t>跨设备、断线、迁移与重连时保持主体与状态一致</w:t>
            </w:r>
          </w:p>
        </w:tc>
      </w:tr>
      <w:tr>
        <w:tc>
          <w:tcPr>
            <w:tcW w:type="dxa" w:w="3324"/>
            <w:vAlign w:val="center"/>
          </w:tcPr>
          <w:p>
            <w:r/>
            <w:r>
              <w:rPr>
                <w:b/>
                <w:sz w:val="18"/>
              </w:rPr>
              <w:t>Resource</w:t>
            </w:r>
          </w:p>
        </w:tc>
        <w:tc>
          <w:tcPr>
            <w:tcW w:type="dxa" w:w="3324"/>
            <w:vAlign w:val="center"/>
          </w:tcPr>
          <w:p>
            <w:r/>
            <w:r>
              <w:rPr>
                <w:b w:val="0"/>
                <w:sz w:val="18"/>
              </w:rPr>
              <w:t>资源</w:t>
            </w:r>
          </w:p>
        </w:tc>
        <w:tc>
          <w:tcPr>
            <w:tcW w:type="dxa" w:w="3324"/>
            <w:vAlign w:val="center"/>
          </w:tcPr>
          <w:p>
            <w:r/>
            <w:r>
              <w:rPr>
                <w:b w:val="0"/>
                <w:sz w:val="18"/>
              </w:rPr>
              <w:t>算力、带宽、存储、能源、时间等现实成本</w:t>
            </w:r>
          </w:p>
        </w:tc>
      </w:tr>
      <w:tr>
        <w:tc>
          <w:tcPr>
            <w:tcW w:type="dxa" w:w="3324"/>
            <w:vAlign w:val="center"/>
          </w:tcPr>
          <w:p>
            <w:r/>
            <w:r>
              <w:rPr>
                <w:b/>
                <w:sz w:val="18"/>
              </w:rPr>
              <w:t>Value</w:t>
            </w:r>
          </w:p>
        </w:tc>
        <w:tc>
          <w:tcPr>
            <w:tcW w:type="dxa" w:w="3324"/>
            <w:vAlign w:val="center"/>
          </w:tcPr>
          <w:p>
            <w:r/>
            <w:r>
              <w:rPr>
                <w:b w:val="0"/>
                <w:sz w:val="18"/>
              </w:rPr>
              <w:t>价值</w:t>
            </w:r>
          </w:p>
        </w:tc>
        <w:tc>
          <w:tcPr>
            <w:tcW w:type="dxa" w:w="3324"/>
            <w:vAlign w:val="center"/>
          </w:tcPr>
          <w:p>
            <w:r/>
            <w:r>
              <w:rPr>
                <w:b w:val="0"/>
                <w:sz w:val="18"/>
              </w:rPr>
              <w:t>价格、收益、预算、SLA 与交换条件</w:t>
            </w:r>
          </w:p>
        </w:tc>
      </w:tr>
      <w:tr>
        <w:tc>
          <w:tcPr>
            <w:tcW w:type="dxa" w:w="3324"/>
            <w:vAlign w:val="center"/>
          </w:tcPr>
          <w:p>
            <w:r/>
            <w:r>
              <w:rPr>
                <w:b/>
                <w:sz w:val="18"/>
              </w:rPr>
              <w:t>World</w:t>
            </w:r>
          </w:p>
        </w:tc>
        <w:tc>
          <w:tcPr>
            <w:tcW w:type="dxa" w:w="3324"/>
            <w:vAlign w:val="center"/>
          </w:tcPr>
          <w:p>
            <w:r/>
            <w:r>
              <w:rPr>
                <w:b w:val="0"/>
                <w:sz w:val="18"/>
              </w:rPr>
              <w:t>世界</w:t>
            </w:r>
          </w:p>
        </w:tc>
        <w:tc>
          <w:tcPr>
            <w:tcW w:type="dxa" w:w="3324"/>
            <w:vAlign w:val="center"/>
          </w:tcPr>
          <w:p>
            <w:r/>
            <w:r>
              <w:rPr>
                <w:b w:val="0"/>
                <w:sz w:val="18"/>
              </w:rPr>
              <w:t>长期存在的权限、状态、主体和任务上下文空间</w:t>
            </w:r>
          </w:p>
        </w:tc>
      </w:tr>
    </w:tbl>
    <w:p/>
    <w:p>
      <w:pPr>
        <w:pStyle w:val="Heading1"/>
      </w:pPr>
      <w:r>
        <w:t>5. 新的互联网基础架构：不照搬 OSI 七层</w:t>
      </w:r>
    </w:p>
    <w:p>
      <w:r>
        <w:rPr>
          <w:b/>
          <w:color w:val="17324D"/>
        </w:rPr>
        <w:t>L0 现实承载层｜</w:t>
      </w:r>
      <w:r>
        <w:t>光纤、无线、卫星、局域链路等物理承载。</w:t>
      </w:r>
    </w:p>
    <w:p>
      <w:r>
        <w:rPr>
          <w:b/>
          <w:color w:val="17324D"/>
        </w:rPr>
        <w:t>L1 连通层｜</w:t>
      </w:r>
      <w:r>
        <w:t>节点之间怎样真实送达、冗余、多路径与链路退化。</w:t>
      </w:r>
    </w:p>
    <w:p>
      <w:r>
        <w:rPr>
          <w:b/>
          <w:color w:val="17324D"/>
        </w:rPr>
        <w:t>L2 主体层｜</w:t>
      </w:r>
      <w:r>
        <w:t>谁正在网络中，主体与设备身体如何映射。</w:t>
      </w:r>
    </w:p>
    <w:p>
      <w:r>
        <w:rPr>
          <w:b/>
          <w:color w:val="17324D"/>
        </w:rPr>
        <w:t>L3 主权与身份层｜</w:t>
      </w:r>
      <w:r>
        <w:t>谁拥有谁、谁代表谁、权限如何授予和撤销。</w:t>
      </w:r>
    </w:p>
    <w:p>
      <w:r>
        <w:rPr>
          <w:b/>
          <w:color w:val="17324D"/>
        </w:rPr>
        <w:t>L4 意图与能力层｜</w:t>
      </w:r>
      <w:r>
        <w:t>主体想做什么、网络中谁能提供所需能力。</w:t>
      </w:r>
    </w:p>
    <w:p>
      <w:r>
        <w:rPr>
          <w:b/>
          <w:color w:val="17324D"/>
        </w:rPr>
        <w:t>L5 信任与证据层｜</w:t>
      </w:r>
      <w:r>
        <w:t>为什么相信、来源如何追溯、执行如何留下回执。</w:t>
      </w:r>
    </w:p>
    <w:p>
      <w:r>
        <w:rPr>
          <w:b/>
          <w:color w:val="17324D"/>
        </w:rPr>
        <w:t>L6 会话与连续性层｜</w:t>
      </w:r>
      <w:r>
        <w:t>断线、迁移、设备切换后如何保持主体和状态连续。</w:t>
      </w:r>
    </w:p>
    <w:p>
      <w:r>
        <w:rPr>
          <w:b/>
          <w:color w:val="17324D"/>
        </w:rPr>
        <w:t>L7 世界与数据层｜</w:t>
      </w:r>
      <w:r>
        <w:t>传输对象属于哪个世界、数据的生命周期与权限。</w:t>
      </w:r>
    </w:p>
    <w:p>
      <w:r>
        <w:rPr>
          <w:b/>
          <w:color w:val="17324D"/>
        </w:rPr>
        <w:t>L8 商业与资源层｜</w:t>
      </w:r>
      <w:r>
        <w:t>成本、预算、SLA、价值交换、Provider 选择与责任。</w:t>
      </w:r>
    </w:p>
    <w:p>
      <w:r>
        <w:rPr>
          <w:b/>
          <w:color w:val="17324D"/>
        </w:rPr>
        <w:t>L9 人类交互层｜</w:t>
      </w:r>
      <w:r>
        <w:t>用户只表达意图，底层协议和配置被渐进隐藏。</w:t>
      </w:r>
    </w:p>
    <w:tbl>
      <w:tblPr>
        <w:tblW w:type="auto" w:w="0"/>
        <w:jc w:val="center"/>
        <w:tblLayout w:type="autofit"/>
        <w:tblLook w:firstColumn="1" w:firstRow="1" w:lastColumn="0" w:lastRow="0" w:noHBand="0" w:noVBand="1" w:val="04A0"/>
      </w:tblPr>
      <w:tblGrid>
        <w:gridCol w:w="9972"/>
      </w:tblGrid>
      <w:tr>
        <w:tc>
          <w:tcPr>
            <w:tcW w:type="dxa" w:w="9972"/>
            <w:shd w:fill="F3EAF8"/>
            <w:tcBorders>
              <w:top w:val="single" w:sz="8" w:color="76528A"/>
              <w:left w:val="single" w:sz="8" w:color="76528A"/>
              <w:bottom w:val="single" w:sz="8" w:color="76528A"/>
              <w:right w:val="single" w:sz="8" w:color="76528A"/>
            </w:tcBorders>
          </w:tcPr>
          <w:p>
            <w:pPr>
              <w:jc w:val="center"/>
            </w:pPr>
            <w:r>
              <w:rPr>
                <w:b/>
                <w:color w:val="17324D"/>
                <w:sz w:val="23"/>
              </w:rPr>
              <w:t>AI 不应被单独做成“AI 层”。AI 可以同时作为主体、能力提供者、路由参与者、解释器、代理人与验证器。</w:t>
            </w:r>
          </w:p>
        </w:tc>
      </w:tr>
    </w:tbl>
    <w:p/>
    <w:p>
      <w:pPr>
        <w:pStyle w:val="Heading1"/>
      </w:pPr>
      <w:r>
        <w:t>6. 软件侧宪法：Application Seed（应用种子）</w:t>
      </w:r>
    </w:p>
    <w:p>
      <w:r>
        <w:t>未来的软件分发对象不应主要是 APK、EXE、IPA 这类平台最终产物，而应是一份描述“软件是什么”的可执行规范。</w:t>
      </w:r>
    </w:p>
    <w:tbl>
      <w:tblPr>
        <w:tblW w:type="auto" w:w="0"/>
        <w:jc w:val="center"/>
        <w:tblLook w:firstColumn="1" w:firstRow="1" w:lastColumn="0" w:lastRow="0" w:noHBand="0" w:noVBand="1" w:val="04A0"/>
      </w:tblPr>
      <w:tblGrid>
        <w:gridCol w:w="4986"/>
        <w:gridCol w:w="4986"/>
      </w:tblGrid>
      <w:tr>
        <w:tc>
          <w:tcPr>
            <w:tcW w:type="dxa" w:w="4986"/>
            <w:vAlign w:val="center"/>
            <w:shd w:fill="2C6B66"/>
          </w:tcPr>
          <w:p>
            <w:r/>
            <w:r>
              <w:rPr>
                <w:b/>
                <w:color w:val="FFFFFF"/>
                <w:sz w:val="19"/>
              </w:rPr>
              <w:t>种子字段</w:t>
            </w:r>
          </w:p>
        </w:tc>
        <w:tc>
          <w:tcPr>
            <w:tcW w:type="dxa" w:w="4986"/>
            <w:vAlign w:val="center"/>
            <w:shd w:fill="2C6B66"/>
          </w:tcPr>
          <w:p>
            <w:r/>
            <w:r>
              <w:rPr>
                <w:b/>
                <w:color w:val="FFFFFF"/>
                <w:sz w:val="19"/>
              </w:rPr>
              <w:t>含义</w:t>
            </w:r>
          </w:p>
        </w:tc>
      </w:tr>
      <w:tr>
        <w:tc>
          <w:tcPr>
            <w:tcW w:type="dxa" w:w="4986"/>
            <w:vAlign w:val="center"/>
          </w:tcPr>
          <w:p>
            <w:r/>
            <w:r>
              <w:rPr>
                <w:b/>
                <w:sz w:val="19"/>
              </w:rPr>
              <w:t>Intent</w:t>
            </w:r>
          </w:p>
        </w:tc>
        <w:tc>
          <w:tcPr>
            <w:tcW w:type="dxa" w:w="4986"/>
            <w:vAlign w:val="center"/>
          </w:tcPr>
          <w:p>
            <w:r/>
            <w:r>
              <w:rPr>
                <w:b w:val="0"/>
                <w:sz w:val="19"/>
              </w:rPr>
              <w:t>软件要完成的目标与使用情境</w:t>
            </w:r>
          </w:p>
        </w:tc>
      </w:tr>
      <w:tr>
        <w:tc>
          <w:tcPr>
            <w:tcW w:type="dxa" w:w="4986"/>
            <w:vAlign w:val="center"/>
          </w:tcPr>
          <w:p>
            <w:r/>
            <w:r>
              <w:rPr>
                <w:b/>
                <w:sz w:val="19"/>
              </w:rPr>
              <w:t>Program Logic</w:t>
            </w:r>
          </w:p>
        </w:tc>
        <w:tc>
          <w:tcPr>
            <w:tcW w:type="dxa" w:w="4986"/>
            <w:vAlign w:val="center"/>
          </w:tcPr>
          <w:p>
            <w:r/>
            <w:r>
              <w:rPr>
                <w:b w:val="0"/>
                <w:sz w:val="19"/>
              </w:rPr>
              <w:t>平台无关的核心逻辑</w:t>
            </w:r>
          </w:p>
        </w:tc>
      </w:tr>
      <w:tr>
        <w:tc>
          <w:tcPr>
            <w:tcW w:type="dxa" w:w="4986"/>
            <w:vAlign w:val="center"/>
          </w:tcPr>
          <w:p>
            <w:r/>
            <w:r>
              <w:rPr>
                <w:b/>
                <w:sz w:val="19"/>
              </w:rPr>
              <w:t>Data Model</w:t>
            </w:r>
          </w:p>
        </w:tc>
        <w:tc>
          <w:tcPr>
            <w:tcW w:type="dxa" w:w="4986"/>
            <w:vAlign w:val="center"/>
          </w:tcPr>
          <w:p>
            <w:r/>
            <w:r>
              <w:rPr>
                <w:b w:val="0"/>
                <w:sz w:val="19"/>
              </w:rPr>
              <w:t>状态、数据对象与生命周期</w:t>
            </w:r>
          </w:p>
        </w:tc>
      </w:tr>
      <w:tr>
        <w:tc>
          <w:tcPr>
            <w:tcW w:type="dxa" w:w="4986"/>
            <w:vAlign w:val="center"/>
          </w:tcPr>
          <w:p>
            <w:r/>
            <w:r>
              <w:rPr>
                <w:b/>
                <w:sz w:val="19"/>
              </w:rPr>
              <w:t>Capability Requirements</w:t>
            </w:r>
          </w:p>
        </w:tc>
        <w:tc>
          <w:tcPr>
            <w:tcW w:type="dxa" w:w="4986"/>
            <w:vAlign w:val="center"/>
          </w:tcPr>
          <w:p>
            <w:r/>
            <w:r>
              <w:rPr>
                <w:b w:val="0"/>
                <w:sz w:val="19"/>
              </w:rPr>
              <w:t>存储、网络、摄像头、推理模型等能力需求</w:t>
            </w:r>
          </w:p>
        </w:tc>
      </w:tr>
      <w:tr>
        <w:tc>
          <w:tcPr>
            <w:tcW w:type="dxa" w:w="4986"/>
            <w:vAlign w:val="center"/>
          </w:tcPr>
          <w:p>
            <w:r/>
            <w:r>
              <w:rPr>
                <w:b/>
                <w:sz w:val="19"/>
              </w:rPr>
              <w:t>Authority Requirements</w:t>
            </w:r>
          </w:p>
        </w:tc>
        <w:tc>
          <w:tcPr>
            <w:tcW w:type="dxa" w:w="4986"/>
            <w:vAlign w:val="center"/>
          </w:tcPr>
          <w:p>
            <w:r/>
            <w:r>
              <w:rPr>
                <w:b w:val="0"/>
                <w:sz w:val="19"/>
              </w:rPr>
              <w:t>权限与主权边界</w:t>
            </w:r>
          </w:p>
        </w:tc>
      </w:tr>
      <w:tr>
        <w:tc>
          <w:tcPr>
            <w:tcW w:type="dxa" w:w="4986"/>
            <w:vAlign w:val="center"/>
          </w:tcPr>
          <w:p>
            <w:r/>
            <w:r>
              <w:rPr>
                <w:b/>
                <w:sz w:val="19"/>
              </w:rPr>
              <w:t>UI Strategy</w:t>
            </w:r>
          </w:p>
        </w:tc>
        <w:tc>
          <w:tcPr>
            <w:tcW w:type="dxa" w:w="4986"/>
            <w:vAlign w:val="center"/>
          </w:tcPr>
          <w:p>
            <w:r/>
            <w:r>
              <w:rPr>
                <w:b w:val="0"/>
                <w:sz w:val="19"/>
              </w:rPr>
              <w:t>允许生成图形、触控、CLI、VR 或无界面身体</w:t>
            </w:r>
          </w:p>
        </w:tc>
      </w:tr>
      <w:tr>
        <w:tc>
          <w:tcPr>
            <w:tcW w:type="dxa" w:w="4986"/>
            <w:vAlign w:val="center"/>
          </w:tcPr>
          <w:p>
            <w:r/>
            <w:r>
              <w:rPr>
                <w:b/>
                <w:sz w:val="19"/>
              </w:rPr>
              <w:t>Dependencies</w:t>
            </w:r>
          </w:p>
        </w:tc>
        <w:tc>
          <w:tcPr>
            <w:tcW w:type="dxa" w:w="4986"/>
            <w:vAlign w:val="center"/>
          </w:tcPr>
          <w:p>
            <w:r/>
            <w:r>
              <w:rPr>
                <w:b w:val="0"/>
                <w:sz w:val="19"/>
              </w:rPr>
              <w:t>依赖能力与兼容条件</w:t>
            </w:r>
          </w:p>
        </w:tc>
      </w:tr>
      <w:tr>
        <w:tc>
          <w:tcPr>
            <w:tcW w:type="dxa" w:w="4986"/>
            <w:vAlign w:val="center"/>
          </w:tcPr>
          <w:p>
            <w:r/>
            <w:r>
              <w:rPr>
                <w:b/>
                <w:sz w:val="19"/>
              </w:rPr>
              <w:t>Resource Budget</w:t>
            </w:r>
          </w:p>
        </w:tc>
        <w:tc>
          <w:tcPr>
            <w:tcW w:type="dxa" w:w="4986"/>
            <w:vAlign w:val="center"/>
          </w:tcPr>
          <w:p>
            <w:r/>
            <w:r>
              <w:rPr>
                <w:b w:val="0"/>
                <w:sz w:val="19"/>
              </w:rPr>
              <w:t>算力、内存、带宽、能源和存储预算</w:t>
            </w:r>
          </w:p>
        </w:tc>
      </w:tr>
      <w:tr>
        <w:tc>
          <w:tcPr>
            <w:tcW w:type="dxa" w:w="4986"/>
            <w:vAlign w:val="center"/>
          </w:tcPr>
          <w:p>
            <w:r/>
            <w:r>
              <w:rPr>
                <w:b/>
                <w:sz w:val="19"/>
              </w:rPr>
              <w:t>Degradation Rules</w:t>
            </w:r>
          </w:p>
        </w:tc>
        <w:tc>
          <w:tcPr>
            <w:tcW w:type="dxa" w:w="4986"/>
            <w:vAlign w:val="center"/>
          </w:tcPr>
          <w:p>
            <w:r/>
            <w:r>
              <w:rPr>
                <w:b w:val="0"/>
                <w:sz w:val="19"/>
              </w:rPr>
              <w:t>能力不足时如何降级</w:t>
            </w:r>
          </w:p>
        </w:tc>
      </w:tr>
      <w:tr>
        <w:tc>
          <w:tcPr>
            <w:tcW w:type="dxa" w:w="4986"/>
            <w:vAlign w:val="center"/>
          </w:tcPr>
          <w:p>
            <w:r/>
            <w:r>
              <w:rPr>
                <w:b/>
                <w:sz w:val="19"/>
              </w:rPr>
              <w:t>Validation Rules</w:t>
            </w:r>
          </w:p>
        </w:tc>
        <w:tc>
          <w:tcPr>
            <w:tcW w:type="dxa" w:w="4986"/>
            <w:vAlign w:val="center"/>
          </w:tcPr>
          <w:p>
            <w:r/>
            <w:r>
              <w:rPr>
                <w:b w:val="0"/>
                <w:sz w:val="19"/>
              </w:rPr>
              <w:t>什么才算合法、可运行、完成</w:t>
            </w:r>
          </w:p>
        </w:tc>
      </w:tr>
    </w:tbl>
    <w:p/>
    <w:tbl>
      <w:tblPr>
        <w:tblW w:type="auto" w:w="0"/>
        <w:jc w:val="center"/>
        <w:tblLook w:firstColumn="1" w:firstRow="1" w:lastColumn="0" w:lastRow="0" w:noHBand="0" w:noVBand="1" w:val="04A0"/>
      </w:tblPr>
      <w:tblGrid>
        <w:gridCol w:w="9972"/>
      </w:tblGrid>
      <w:tr>
        <w:tc>
          <w:tcPr>
            <w:tcW w:type="dxa" w:w="9972"/>
            <w:shd w:fill="F5F7F9"/>
          </w:tcPr>
          <w:p>
            <w:pPr>
              <w:spacing w:after="0"/>
            </w:pPr>
            <w:r>
              <w:rPr>
                <w:rFonts w:ascii="Consolas" w:hAnsi="Consolas"/>
                <w:sz w:val="19"/>
              </w:rPr>
              <w:t>Application Seed 应用种子</w:t>
            </w:r>
            <w:r>
              <w:br/>
            </w:r>
            <w:r>
              <w:rPr>
                <w:rFonts w:ascii="Consolas" w:hAnsi="Consolas"/>
                <w:sz w:val="19"/>
              </w:rPr>
              <w:t>↓</w:t>
            </w:r>
            <w:r>
              <w:br/>
            </w:r>
            <w:r>
              <w:rPr>
                <w:rFonts w:ascii="Consolas" w:hAnsi="Consolas"/>
                <w:sz w:val="19"/>
              </w:rPr>
              <w:t>Capability Resolution 能力解析</w:t>
            </w:r>
            <w:r>
              <w:br/>
            </w:r>
            <w:r>
              <w:rPr>
                <w:rFonts w:ascii="Consolas" w:hAnsi="Consolas"/>
                <w:sz w:val="19"/>
              </w:rPr>
              <w:t>↓</w:t>
            </w:r>
            <w:r>
              <w:br/>
            </w:r>
            <w:r>
              <w:rPr>
                <w:rFonts w:ascii="Consolas" w:hAnsi="Consolas"/>
                <w:sz w:val="19"/>
              </w:rPr>
              <w:t>Environment Negotiation 环境协商</w:t>
            </w:r>
            <w:r>
              <w:br/>
            </w:r>
            <w:r>
              <w:rPr>
                <w:rFonts w:ascii="Consolas" w:hAnsi="Consolas"/>
                <w:sz w:val="19"/>
              </w:rPr>
              <w:t>↓</w:t>
            </w:r>
            <w:r>
              <w:br/>
            </w:r>
            <w:r>
              <w:rPr>
                <w:rFonts w:ascii="Consolas" w:hAnsi="Consolas"/>
                <w:sz w:val="19"/>
              </w:rPr>
              <w:t>Target Lowering 目标下沉编译</w:t>
            </w:r>
            <w:r>
              <w:br/>
            </w:r>
            <w:r>
              <w:rPr>
                <w:rFonts w:ascii="Consolas" w:hAnsi="Consolas"/>
                <w:sz w:val="19"/>
              </w:rPr>
              <w:t>↓</w:t>
            </w:r>
            <w:r>
              <w:br/>
            </w:r>
            <w:r>
              <w:rPr>
                <w:rFonts w:ascii="Consolas" w:hAnsi="Consolas"/>
                <w:sz w:val="19"/>
              </w:rPr>
              <w:t>Runtime Body 运行身体</w:t>
            </w:r>
          </w:p>
        </w:tc>
      </w:tr>
    </w:tbl>
    <w:p/>
    <w:p>
      <w:pPr>
        <w:pStyle w:val="Heading2"/>
      </w:pPr>
      <w:r>
        <w:t>6.1 包格式不等于运行格式</w:t>
      </w:r>
    </w:p>
    <w:p>
      <w:r>
        <w:t>同一颗应用种子可以根据设备选择 AOT（预先编译）、JIT（即时编译）、解释执行、WebAssembly、原生代码、GPU Kernel（GPU 内核），甚至未来的 FPGA（现场可编程门阵列）实现。分发格式保存软件定义，运行格式只是一种环境投影。</w:t>
      </w:r>
    </w:p>
    <w:p>
      <w:pPr>
        <w:pStyle w:val="Heading2"/>
      </w:pPr>
      <w:r>
        <w:t>6.2 软件适应设备</w:t>
      </w:r>
    </w:p>
    <w:tbl>
      <w:tblPr>
        <w:tblW w:type="auto" w:w="0"/>
        <w:jc w:val="center"/>
        <w:tblLook w:firstColumn="1" w:firstRow="1" w:lastColumn="0" w:lastRow="0" w:noHBand="0" w:noVBand="1" w:val="04A0"/>
      </w:tblPr>
      <w:tblGrid>
        <w:gridCol w:w="9972"/>
      </w:tblGrid>
      <w:tr>
        <w:tc>
          <w:tcPr>
            <w:tcW w:type="dxa" w:w="9972"/>
            <w:shd w:fill="F5F7F9"/>
          </w:tcPr>
          <w:p>
            <w:pPr>
              <w:spacing w:after="0"/>
            </w:pPr>
            <w:r>
              <w:rPr>
                <w:rFonts w:ascii="Consolas" w:hAnsi="Consolas"/>
                <w:sz w:val="19"/>
              </w:rPr>
              <w:t>2026 高性能设备 → Level 9 实现</w:t>
            </w:r>
            <w:r>
              <w:br/>
            </w:r>
            <w:r>
              <w:rPr>
                <w:rFonts w:ascii="Consolas" w:hAnsi="Consolas"/>
                <w:sz w:val="19"/>
              </w:rPr>
              <w:t>2020 普通设备     → Level 7 实现</w:t>
            </w:r>
            <w:r>
              <w:br/>
            </w:r>
            <w:r>
              <w:rPr>
                <w:rFonts w:ascii="Consolas" w:hAnsi="Consolas"/>
                <w:sz w:val="19"/>
              </w:rPr>
              <w:t>2015 老设备       → Level 4 实现</w:t>
            </w:r>
            <w:r>
              <w:br/>
            </w:r>
            <w:r>
              <w:rPr>
                <w:rFonts w:ascii="Consolas" w:hAnsi="Consolas"/>
                <w:sz w:val="19"/>
              </w:rPr>
              <w:t>低功耗节点        → Level 2 实现</w:t>
            </w:r>
            <w:r>
              <w:br/>
            </w:r>
            <w:r>
              <w:rPr>
                <w:rFonts w:ascii="Consolas" w:hAnsi="Consolas"/>
                <w:sz w:val="19"/>
              </w:rPr>
            </w:r>
            <w:r>
              <w:br/>
            </w:r>
            <w:r>
              <w:rPr>
                <w:rFonts w:ascii="Consolas" w:hAnsi="Consolas"/>
                <w:sz w:val="19"/>
              </w:rPr>
              <w:t>核心协议与软件身份保持一致，能力等级按现实条件变化。</w:t>
            </w:r>
          </w:p>
        </w:tc>
      </w:tr>
    </w:tbl>
    <w:p/>
    <w:p>
      <w:pPr>
        <w:pStyle w:val="Heading1"/>
      </w:pPr>
      <w:r>
        <w:t>7. 浏览器的新定位：一种界面与运行身体 Provider</w:t>
      </w:r>
    </w:p>
    <w:p>
      <w:r>
        <w:t>浏览器不再被假设为互联网最终应用容器，而是众多 UI / Runtime Provider（界面 / 运行时能力提供器）之一。</w:t>
      </w:r>
    </w:p>
    <w:tbl>
      <w:tblPr>
        <w:tblW w:type="auto" w:w="0"/>
        <w:jc w:val="center"/>
        <w:tblLook w:firstColumn="1" w:firstRow="1" w:lastColumn="0" w:lastRow="0" w:noHBand="0" w:noVBand="1" w:val="04A0"/>
      </w:tblPr>
      <w:tblGrid>
        <w:gridCol w:w="9972"/>
      </w:tblGrid>
      <w:tr>
        <w:tc>
          <w:tcPr>
            <w:tcW w:type="dxa" w:w="9972"/>
            <w:shd w:fill="F5F7F9"/>
          </w:tcPr>
          <w:p>
            <w:pPr>
              <w:spacing w:after="0"/>
            </w:pPr>
            <w:r>
              <w:rPr>
                <w:rFonts w:ascii="Consolas" w:hAnsi="Consolas"/>
                <w:sz w:val="19"/>
              </w:rPr>
              <w:t>同一 Application Seed</w:t>
            </w:r>
            <w:r>
              <w:br/>
            </w:r>
            <w:r>
              <w:rPr>
                <w:rFonts w:ascii="Consolas" w:hAnsi="Consolas"/>
                <w:sz w:val="19"/>
              </w:rPr>
              <w:t>├─ 有屏幕     → 图形 UI</w:t>
            </w:r>
            <w:r>
              <w:br/>
            </w:r>
            <w:r>
              <w:rPr>
                <w:rFonts w:ascii="Consolas" w:hAnsi="Consolas"/>
                <w:sz w:val="19"/>
              </w:rPr>
              <w:t>├─ 手机       → 触控 UI</w:t>
            </w:r>
            <w:r>
              <w:br/>
            </w:r>
            <w:r>
              <w:rPr>
                <w:rFonts w:ascii="Consolas" w:hAnsi="Consolas"/>
                <w:sz w:val="19"/>
              </w:rPr>
              <w:t>├─ 只有终端   → CLI（命令行界面）</w:t>
            </w:r>
            <w:r>
              <w:br/>
            </w:r>
            <w:r>
              <w:rPr>
                <w:rFonts w:ascii="Consolas" w:hAnsi="Consolas"/>
                <w:sz w:val="19"/>
              </w:rPr>
              <w:t>├─ VR / AR    → 空间 UI</w:t>
            </w:r>
            <w:r>
              <w:br/>
            </w:r>
            <w:r>
              <w:rPr>
                <w:rFonts w:ascii="Consolas" w:hAnsi="Consolas"/>
                <w:sz w:val="19"/>
              </w:rPr>
              <w:t>├─ 低性能设备 → 精简 UI</w:t>
            </w:r>
            <w:r>
              <w:br/>
            </w:r>
            <w:r>
              <w:rPr>
                <w:rFonts w:ascii="Consolas" w:hAnsi="Consolas"/>
                <w:sz w:val="19"/>
              </w:rPr>
              <w:t>└─ 无人值守   → 无 UI 后台运行</w:t>
            </w:r>
          </w:p>
        </w:tc>
      </w:tr>
    </w:tbl>
    <w:p/>
    <w:tbl>
      <w:tblPr>
        <w:tblW w:type="auto" w:w="0"/>
        <w:jc w:val="center"/>
        <w:tblLayout w:type="autofit"/>
        <w:tblLook w:firstColumn="1" w:firstRow="1" w:lastColumn="0" w:lastRow="0" w:noHBand="0" w:noVBand="1" w:val="04A0"/>
      </w:tblPr>
      <w:tblGrid>
        <w:gridCol w:w="9972"/>
      </w:tblGrid>
      <w:tr>
        <w:tc>
          <w:tcPr>
            <w:tcW w:type="dxa" w:w="9972"/>
            <w:shd w:fill="EAF2F8"/>
            <w:tcBorders>
              <w:top w:val="single" w:sz="8" w:color="5B9BD5"/>
              <w:left w:val="single" w:sz="8" w:color="5B9BD5"/>
              <w:bottom w:val="single" w:sz="8" w:color="5B9BD5"/>
              <w:right w:val="single" w:sz="8" w:color="5B9BD5"/>
            </w:tcBorders>
          </w:tcPr>
          <w:p>
            <w:pPr>
              <w:jc w:val="center"/>
            </w:pPr>
            <w:r>
              <w:rPr>
                <w:b/>
                <w:color w:val="17324D"/>
                <w:sz w:val="23"/>
              </w:rPr>
              <w:t>UI 是身体，不是应用本体。</w:t>
            </w:r>
          </w:p>
        </w:tc>
      </w:tr>
    </w:tbl>
    <w:p/>
    <w:p>
      <w:pPr>
        <w:pStyle w:val="Heading1"/>
      </w:pPr>
      <w:r>
        <w:t>8. TINP 的正确定位</w:t>
      </w:r>
    </w:p>
    <w:p>
      <w:r>
        <w:t>TINP（TaoWind Intent-Native Network Protocol，道风意图原生网络协议）继续保留，但其定位调整为：</w:t>
      </w:r>
    </w:p>
    <w:tbl>
      <w:tblPr>
        <w:tblW w:type="auto" w:w="0"/>
        <w:jc w:val="center"/>
        <w:tblLayout w:type="autofit"/>
        <w:tblLook w:firstColumn="1" w:firstRow="1" w:lastColumn="0" w:lastRow="0" w:noHBand="0" w:noVBand="1" w:val="04A0"/>
      </w:tblPr>
      <w:tblGrid>
        <w:gridCol w:w="9972"/>
      </w:tblGrid>
      <w:tr>
        <w:tc>
          <w:tcPr>
            <w:tcW w:type="dxa" w:w="9972"/>
            <w:shd w:fill="E9F7EF"/>
            <w:tcBorders>
              <w:top w:val="single" w:sz="8" w:color="4A8C67"/>
              <w:left w:val="single" w:sz="8" w:color="4A8C67"/>
              <w:bottom w:val="single" w:sz="8" w:color="4A8C67"/>
              <w:right w:val="single" w:sz="8" w:color="4A8C67"/>
            </w:tcBorders>
          </w:tcPr>
          <w:p>
            <w:pPr>
              <w:jc w:val="center"/>
            </w:pPr>
            <w:r>
              <w:rPr>
                <w:b/>
                <w:color w:val="17324D"/>
                <w:sz w:val="23"/>
              </w:rPr>
              <w:t>验证“主体、意图、能力、权限、证据、连续性可以成为网络原生对象”的实验协议核心。</w:t>
            </w:r>
          </w:p>
        </w:tc>
      </w:tr>
    </w:tbl>
    <w:p/>
    <w:p>
      <w:r>
        <w:t>TINP 不应独自膨胀成完整互联网。未来还需从本宪法分别编译出寻址、发现、路由、会话、安全、商业资源、应用种子分发和人类交互等独立或组合协议。</w:t>
      </w:r>
    </w:p>
    <w:tbl>
      <w:tblPr>
        <w:tblW w:type="auto" w:w="0"/>
        <w:jc w:val="center"/>
        <w:tblLook w:firstColumn="1" w:firstRow="1" w:lastColumn="0" w:lastRow="0" w:noHBand="0" w:noVBand="1" w:val="04A0"/>
      </w:tblPr>
      <w:tblGrid>
        <w:gridCol w:w="9972"/>
      </w:tblGrid>
      <w:tr>
        <w:tc>
          <w:tcPr>
            <w:tcW w:type="dxa" w:w="9972"/>
            <w:shd w:fill="F5F7F9"/>
          </w:tcPr>
          <w:p>
            <w:pPr>
              <w:spacing w:after="0"/>
            </w:pPr>
            <w:r>
              <w:rPr>
                <w:rFonts w:ascii="Consolas" w:hAnsi="Consolas"/>
                <w:sz w:val="19"/>
              </w:rPr>
              <w:t>AI时代互联网宪法</w:t>
            </w:r>
            <w:r>
              <w:br/>
            </w:r>
            <w:r>
              <w:rPr>
                <w:rFonts w:ascii="Consolas" w:hAnsi="Consolas"/>
                <w:sz w:val="19"/>
              </w:rPr>
              <w:t>↓</w:t>
            </w:r>
            <w:r>
              <w:br/>
            </w:r>
            <w:r>
              <w:rPr>
                <w:rFonts w:ascii="Consolas" w:hAnsi="Consolas"/>
                <w:sz w:val="19"/>
              </w:rPr>
              <w:t>网络对象模型</w:t>
            </w:r>
            <w:r>
              <w:br/>
            </w:r>
            <w:r>
              <w:rPr>
                <w:rFonts w:ascii="Consolas" w:hAnsi="Consolas"/>
                <w:sz w:val="19"/>
              </w:rPr>
              <w:t>↓</w:t>
            </w:r>
            <w:r>
              <w:br/>
            </w:r>
            <w:r>
              <w:rPr>
                <w:rFonts w:ascii="Consolas" w:hAnsi="Consolas"/>
                <w:sz w:val="19"/>
              </w:rPr>
              <w:t>寻址 / 发现 / 路由 / 会话 / 安全 / 商业资源</w:t>
            </w:r>
            <w:r>
              <w:br/>
            </w:r>
            <w:r>
              <w:rPr>
                <w:rFonts w:ascii="Consolas" w:hAnsi="Consolas"/>
                <w:sz w:val="19"/>
              </w:rPr>
              <w:t>↓</w:t>
            </w:r>
            <w:r>
              <w:br/>
            </w:r>
            <w:r>
              <w:rPr>
                <w:rFonts w:ascii="Consolas" w:hAnsi="Consolas"/>
                <w:sz w:val="19"/>
              </w:rPr>
              <w:t>TINP 等协议实现</w:t>
            </w:r>
            <w:r>
              <w:br/>
            </w:r>
            <w:r>
              <w:rPr>
                <w:rFonts w:ascii="Consolas" w:hAnsi="Consolas"/>
                <w:sz w:val="19"/>
              </w:rPr>
              <w:t>↓</w:t>
            </w:r>
            <w:r>
              <w:br/>
            </w:r>
            <w:r>
              <w:rPr>
                <w:rFonts w:ascii="Consolas" w:hAnsi="Consolas"/>
                <w:sz w:val="19"/>
              </w:rPr>
              <w:t>Browser / VPN / Application Seed / Runtime</w:t>
            </w:r>
          </w:p>
        </w:tc>
      </w:tr>
    </w:tbl>
    <w:p/>
    <w:p>
      <w:pPr>
        <w:pStyle w:val="Heading1"/>
      </w:pPr>
      <w:r>
        <w:t>9. 路由目标：从“到哪个 IP”升级为“满足什么现实约束”</w:t>
      </w:r>
    </w:p>
    <w:p>
      <w:r>
        <w:t>AI 时代路由不应只优化 hop count（跳数）、时延和带宽。对于主体与能力网络，路径选择还必须考虑权限、成本、可信度、数据地域、能源、可撤销性、SLA 和主权边界。</w:t>
      </w:r>
    </w:p>
    <w:tbl>
      <w:tblPr>
        <w:tblW w:type="auto" w:w="0"/>
        <w:jc w:val="center"/>
        <w:tblLook w:firstColumn="1" w:firstRow="1" w:lastColumn="0" w:lastRow="0" w:noHBand="0" w:noVBand="1" w:val="04A0"/>
      </w:tblPr>
      <w:tblGrid>
        <w:gridCol w:w="4986"/>
        <w:gridCol w:w="4986"/>
      </w:tblGrid>
      <w:tr>
        <w:tc>
          <w:tcPr>
            <w:tcW w:type="dxa" w:w="4986"/>
            <w:vAlign w:val="center"/>
            <w:shd w:fill="17324D"/>
          </w:tcPr>
          <w:p>
            <w:r/>
            <w:r>
              <w:rPr>
                <w:b/>
                <w:color w:val="FFFFFF"/>
                <w:sz w:val="19"/>
              </w:rPr>
              <w:t>路由约束</w:t>
            </w:r>
          </w:p>
        </w:tc>
        <w:tc>
          <w:tcPr>
            <w:tcW w:type="dxa" w:w="4986"/>
            <w:vAlign w:val="center"/>
            <w:shd w:fill="17324D"/>
          </w:tcPr>
          <w:p>
            <w:r/>
            <w:r>
              <w:rPr>
                <w:b/>
                <w:color w:val="FFFFFF"/>
                <w:sz w:val="19"/>
              </w:rPr>
              <w:t>示例</w:t>
            </w:r>
          </w:p>
        </w:tc>
      </w:tr>
      <w:tr>
        <w:tc>
          <w:tcPr>
            <w:tcW w:type="dxa" w:w="4986"/>
            <w:vAlign w:val="center"/>
          </w:tcPr>
          <w:p>
            <w:r/>
            <w:r>
              <w:rPr>
                <w:b/>
                <w:sz w:val="19"/>
              </w:rPr>
              <w:t>Latency 时延</w:t>
            </w:r>
          </w:p>
        </w:tc>
        <w:tc>
          <w:tcPr>
            <w:tcW w:type="dxa" w:w="4986"/>
            <w:vAlign w:val="center"/>
          </w:tcPr>
          <w:p>
            <w:r/>
            <w:r>
              <w:rPr>
                <w:b w:val="0"/>
                <w:sz w:val="19"/>
              </w:rPr>
              <w:t>&lt; 200 ms</w:t>
            </w:r>
          </w:p>
        </w:tc>
      </w:tr>
      <w:tr>
        <w:tc>
          <w:tcPr>
            <w:tcW w:type="dxa" w:w="4986"/>
            <w:vAlign w:val="center"/>
          </w:tcPr>
          <w:p>
            <w:r/>
            <w:r>
              <w:rPr>
                <w:b/>
                <w:sz w:val="19"/>
              </w:rPr>
              <w:t>Authority 权限</w:t>
            </w:r>
          </w:p>
        </w:tc>
        <w:tc>
          <w:tcPr>
            <w:tcW w:type="dxa" w:w="4986"/>
            <w:vAlign w:val="center"/>
          </w:tcPr>
          <w:p>
            <w:r/>
            <w:r>
              <w:rPr>
                <w:b w:val="0"/>
                <w:sz w:val="19"/>
              </w:rPr>
              <w:t>仅允许读取，不允许写入</w:t>
            </w:r>
          </w:p>
        </w:tc>
      </w:tr>
      <w:tr>
        <w:tc>
          <w:tcPr>
            <w:tcW w:type="dxa" w:w="4986"/>
            <w:vAlign w:val="center"/>
          </w:tcPr>
          <w:p>
            <w:r/>
            <w:r>
              <w:rPr>
                <w:b/>
                <w:sz w:val="19"/>
              </w:rPr>
              <w:t>Budget 预算</w:t>
            </w:r>
          </w:p>
        </w:tc>
        <w:tc>
          <w:tcPr>
            <w:tcW w:type="dxa" w:w="4986"/>
            <w:vAlign w:val="center"/>
          </w:tcPr>
          <w:p>
            <w:r/>
            <w:r>
              <w:rPr>
                <w:b w:val="0"/>
                <w:sz w:val="19"/>
              </w:rPr>
              <w:t>每次调用不超过指定成本</w:t>
            </w:r>
          </w:p>
        </w:tc>
      </w:tr>
      <w:tr>
        <w:tc>
          <w:tcPr>
            <w:tcW w:type="dxa" w:w="4986"/>
            <w:vAlign w:val="center"/>
          </w:tcPr>
          <w:p>
            <w:r/>
            <w:r>
              <w:rPr>
                <w:b/>
                <w:sz w:val="19"/>
              </w:rPr>
              <w:t>Trust 信任</w:t>
            </w:r>
          </w:p>
        </w:tc>
        <w:tc>
          <w:tcPr>
            <w:tcW w:type="dxa" w:w="4986"/>
            <w:vAlign w:val="center"/>
          </w:tcPr>
          <w:p>
            <w:r/>
            <w:r>
              <w:rPr>
                <w:b w:val="0"/>
                <w:sz w:val="19"/>
              </w:rPr>
              <w:t>必须达到最低证据与历史信誉阈值</w:t>
            </w:r>
          </w:p>
        </w:tc>
      </w:tr>
      <w:tr>
        <w:tc>
          <w:tcPr>
            <w:tcW w:type="dxa" w:w="4986"/>
            <w:vAlign w:val="center"/>
          </w:tcPr>
          <w:p>
            <w:r/>
            <w:r>
              <w:rPr>
                <w:b/>
                <w:sz w:val="19"/>
              </w:rPr>
              <w:t>Data Region 数据地域</w:t>
            </w:r>
          </w:p>
        </w:tc>
        <w:tc>
          <w:tcPr>
            <w:tcW w:type="dxa" w:w="4986"/>
            <w:vAlign w:val="center"/>
          </w:tcPr>
          <w:p>
            <w:r/>
            <w:r>
              <w:rPr>
                <w:b w:val="0"/>
                <w:sz w:val="19"/>
              </w:rPr>
              <w:t>数据不得离开指定司法辖区</w:t>
            </w:r>
          </w:p>
        </w:tc>
      </w:tr>
      <w:tr>
        <w:tc>
          <w:tcPr>
            <w:tcW w:type="dxa" w:w="4986"/>
            <w:vAlign w:val="center"/>
          </w:tcPr>
          <w:p>
            <w:r/>
            <w:r>
              <w:rPr>
                <w:b/>
                <w:sz w:val="19"/>
              </w:rPr>
              <w:t>Survivability 生存性</w:t>
            </w:r>
          </w:p>
        </w:tc>
        <w:tc>
          <w:tcPr>
            <w:tcW w:type="dxa" w:w="4986"/>
            <w:vAlign w:val="center"/>
          </w:tcPr>
          <w:p>
            <w:r/>
            <w:r>
              <w:rPr>
                <w:b w:val="0"/>
                <w:sz w:val="19"/>
              </w:rPr>
              <w:t>主路径失败时必须有离线或备份路径</w:t>
            </w:r>
          </w:p>
        </w:tc>
      </w:tr>
      <w:tr>
        <w:tc>
          <w:tcPr>
            <w:tcW w:type="dxa" w:w="4986"/>
            <w:vAlign w:val="center"/>
          </w:tcPr>
          <w:p>
            <w:r/>
            <w:r>
              <w:rPr>
                <w:b/>
                <w:sz w:val="19"/>
              </w:rPr>
              <w:t>Energy 能耗</w:t>
            </w:r>
          </w:p>
        </w:tc>
        <w:tc>
          <w:tcPr>
            <w:tcW w:type="dxa" w:w="4986"/>
            <w:vAlign w:val="center"/>
          </w:tcPr>
          <w:p>
            <w:r/>
            <w:r>
              <w:rPr>
                <w:b w:val="0"/>
                <w:sz w:val="19"/>
              </w:rPr>
              <w:t>低功耗设备优先使用本地轻量 Provider</w:t>
            </w:r>
          </w:p>
        </w:tc>
      </w:tr>
      <w:tr>
        <w:tc>
          <w:tcPr>
            <w:tcW w:type="dxa" w:w="4986"/>
            <w:vAlign w:val="center"/>
          </w:tcPr>
          <w:p>
            <w:r/>
            <w:r>
              <w:rPr>
                <w:b/>
                <w:sz w:val="19"/>
              </w:rPr>
              <w:t>SLA 服务等级</w:t>
            </w:r>
          </w:p>
        </w:tc>
        <w:tc>
          <w:tcPr>
            <w:tcW w:type="dxa" w:w="4986"/>
            <w:vAlign w:val="center"/>
          </w:tcPr>
          <w:p>
            <w:r/>
            <w:r>
              <w:rPr>
                <w:b w:val="0"/>
                <w:sz w:val="19"/>
              </w:rPr>
              <w:t>成功率、响应时间、保留期与责任边界</w:t>
            </w:r>
          </w:p>
        </w:tc>
      </w:tr>
    </w:tbl>
    <w:p/>
    <w:p>
      <w:pPr>
        <w:pStyle w:val="Heading1"/>
      </w:pPr>
      <w:r>
        <w:t>10. 安全模型：不只保护数据，还要保护主体、授权与现实动作</w:t>
      </w:r>
    </w:p>
    <w:p>
      <w:pPr>
        <w:pStyle w:val="ListBullet"/>
      </w:pPr>
      <w:r>
        <w:t>数据机密性与完整性只是安全的一部分。</w:t>
      </w:r>
    </w:p>
    <w:p>
      <w:pPr>
        <w:pStyle w:val="ListBullet"/>
      </w:pPr>
      <w:r>
        <w:t>必须证明命令由谁发起、代表谁、拥有什么权限、经过哪些节点、产生什么现实结果。</w:t>
      </w:r>
    </w:p>
    <w:p>
      <w:pPr>
        <w:pStyle w:val="ListBullet"/>
      </w:pPr>
      <w:r>
        <w:t>原始事件、权限与执行回执必须和 AI 的语义解释分离保存。</w:t>
      </w:r>
    </w:p>
    <w:p>
      <w:pPr>
        <w:pStyle w:val="ListBullet"/>
      </w:pPr>
      <w:r>
        <w:t>节点被攻陷时，应可撤销节点身体而不摧毁主体身份。</w:t>
      </w:r>
    </w:p>
    <w:p>
      <w:pPr>
        <w:pStyle w:val="ListBullet"/>
      </w:pPr>
      <w:r>
        <w:t>关键现实动作必须经过 Authority Check（权限检查）、Risk Check（风险检查）、Evidence Check（证据检查）和可回滚策略。</w:t>
      </w:r>
    </w:p>
    <w:p>
      <w:pPr>
        <w:pStyle w:val="ListBullet"/>
      </w:pPr>
      <w:r>
        <w:t>密码学原语可作为 Security Provider（安全能力提供器）注册，但未经独立分析的新原语不得直接进入生产密钥链。</w:t>
      </w:r>
    </w:p>
    <w:p>
      <w:pPr>
        <w:pStyle w:val="Heading1"/>
      </w:pPr>
      <w:r>
        <w:t>11. 兼容与迁移：不是要求世界一次性换互联网</w:t>
      </w:r>
    </w:p>
    <w:p>
      <w:r>
        <w:t>新计算基础设施必须首先做到“能寄生在旧世界上生长”，否则军事级、商用级和生活化三原则本身就会被违反。</w:t>
      </w:r>
    </w:p>
    <w:tbl>
      <w:tblPr>
        <w:tblW w:type="auto" w:w="0"/>
        <w:jc w:val="center"/>
        <w:tblLook w:firstColumn="1" w:firstRow="1" w:lastColumn="0" w:lastRow="0" w:noHBand="0" w:noVBand="1" w:val="04A0"/>
      </w:tblPr>
      <w:tblGrid>
        <w:gridCol w:w="9972"/>
      </w:tblGrid>
      <w:tr>
        <w:tc>
          <w:tcPr>
            <w:tcW w:type="dxa" w:w="9972"/>
            <w:shd w:fill="F5F7F9"/>
          </w:tcPr>
          <w:p>
            <w:pPr>
              <w:spacing w:after="0"/>
            </w:pPr>
            <w:r>
              <w:rPr>
                <w:rFonts w:ascii="Consolas" w:hAnsi="Consolas"/>
                <w:sz w:val="19"/>
              </w:rPr>
              <w:t>阶段 0：现有 IP / TCP / UDP / QUIC / DNS / TLS 继续作为承载</w:t>
            </w:r>
            <w:r>
              <w:br/>
            </w:r>
            <w:r>
              <w:rPr>
                <w:rFonts w:ascii="Consolas" w:hAnsi="Consolas"/>
                <w:sz w:val="19"/>
              </w:rPr>
              <w:t>阶段 1：在其上运行主体 / 意图 / 能力 / 权限 / 证据层</w:t>
            </w:r>
            <w:r>
              <w:br/>
            </w:r>
            <w:r>
              <w:rPr>
                <w:rFonts w:ascii="Consolas" w:hAnsi="Consolas"/>
                <w:sz w:val="19"/>
              </w:rPr>
              <w:t>阶段 2：Application Seed 与统一 Runtime 开始减少平台打包割裂</w:t>
            </w:r>
            <w:r>
              <w:br/>
            </w:r>
            <w:r>
              <w:rPr>
                <w:rFonts w:ascii="Consolas" w:hAnsi="Consolas"/>
                <w:sz w:val="19"/>
              </w:rPr>
              <w:t>阶段 3：主体寻址、能力路由、会话迁移和私有网络逐步原生化</w:t>
            </w:r>
            <w:r>
              <w:br/>
            </w:r>
            <w:r>
              <w:rPr>
                <w:rFonts w:ascii="Consolas" w:hAnsi="Consolas"/>
                <w:sz w:val="19"/>
              </w:rPr>
              <w:t>阶段 4：必要时再下沉重构更低层协议</w:t>
            </w:r>
          </w:p>
        </w:tc>
      </w:tr>
    </w:tbl>
    <w:p/>
    <w:tbl>
      <w:tblPr>
        <w:tblW w:type="auto" w:w="0"/>
        <w:jc w:val="center"/>
        <w:tblLayout w:type="autofit"/>
        <w:tblLook w:firstColumn="1" w:firstRow="1" w:lastColumn="0" w:lastRow="0" w:noHBand="0" w:noVBand="1" w:val="04A0"/>
      </w:tblPr>
      <w:tblGrid>
        <w:gridCol w:w="9972"/>
      </w:tblGrid>
      <w:tr>
        <w:tc>
          <w:tcPr>
            <w:tcW w:type="dxa" w:w="9972"/>
            <w:shd w:fill="FFF3D6"/>
            <w:tcBorders>
              <w:top w:val="single" w:sz="8" w:color="C99700"/>
              <w:left w:val="single" w:sz="8" w:color="C99700"/>
              <w:bottom w:val="single" w:sz="8" w:color="C99700"/>
              <w:right w:val="single" w:sz="8" w:color="C99700"/>
            </w:tcBorders>
          </w:tcPr>
          <w:p>
            <w:pPr>
              <w:jc w:val="center"/>
            </w:pPr>
            <w:r>
              <w:rPr>
                <w:b/>
                <w:color w:val="17324D"/>
                <w:sz w:val="23"/>
              </w:rPr>
              <w:t>迁移原则：新系统必须能够逐步替代旧复杂度，而不能要求用户先完成一次巨大的技术迁徙。</w:t>
            </w:r>
          </w:p>
        </w:tc>
      </w:tr>
    </w:tbl>
    <w:p/>
    <w:p>
      <w:pPr>
        <w:pStyle w:val="Heading1"/>
      </w:pPr>
      <w:r>
        <w:t>12. 开发顺序：先冻结宪法，再向下编译协议</w:t>
      </w:r>
    </w:p>
    <w:p>
      <w:pPr>
        <w:pStyle w:val="ListNumber"/>
      </w:pPr>
      <w:r>
        <w:t>冻结 v0.2 宪法：三原则、母命题、原语、不变量。</w:t>
      </w:r>
    </w:p>
    <w:p>
      <w:pPr>
        <w:pStyle w:val="ListNumber"/>
      </w:pPr>
      <w:r>
        <w:t>定义 Application Seed v0.1：平台无关的软件存在对象。</w:t>
      </w:r>
    </w:p>
    <w:p>
      <w:pPr>
        <w:pStyle w:val="ListNumber"/>
      </w:pPr>
      <w:r>
        <w:t>定义 Capability Contract v0.1：能力、Provider、权限、资源与替换规则。</w:t>
      </w:r>
    </w:p>
    <w:p>
      <w:pPr>
        <w:pStyle w:val="ListNumber"/>
      </w:pPr>
      <w:r>
        <w:t>重审 TINP：保留实验成果，删掉与宪法重复或越权的职责。</w:t>
      </w:r>
    </w:p>
    <w:p>
      <w:pPr>
        <w:pStyle w:val="ListNumber"/>
      </w:pPr>
      <w:r>
        <w:t>设计 Subject Address / Capability Address（主体地址 / 能力地址）的正式语义。</w:t>
      </w:r>
    </w:p>
    <w:p>
      <w:pPr>
        <w:pStyle w:val="ListNumber"/>
      </w:pPr>
      <w:r>
        <w:t>设计 Discovery / Routing（发现 / 路由）的多维约束模型。</w:t>
      </w:r>
    </w:p>
    <w:p>
      <w:pPr>
        <w:pStyle w:val="ListNumber"/>
      </w:pPr>
      <w:r>
        <w:t>设计 Runtime Body（运行身体）与设备能力协商。</w:t>
      </w:r>
    </w:p>
    <w:p>
      <w:pPr>
        <w:pStyle w:val="ListNumber"/>
      </w:pPr>
      <w:r>
        <w:t>设计 Browser Provider（浏览器提供器）作为一种 UI / Runtime 身体。</w:t>
      </w:r>
    </w:p>
    <w:p>
      <w:pPr>
        <w:pStyle w:val="ListNumber"/>
      </w:pPr>
      <w:r>
        <w:t>设计 Private Network / VPN：按主体、世界、项目和能力划分网络主权，而不是只按设备划网。</w:t>
      </w:r>
    </w:p>
    <w:p>
      <w:pPr>
        <w:pStyle w:val="ListNumber"/>
      </w:pPr>
      <w:r>
        <w:t>建立军事级、商用级、生活化三套自动验收矩阵。</w:t>
      </w:r>
    </w:p>
    <w:p>
      <w:pPr>
        <w:pStyle w:val="Heading1"/>
      </w:pPr>
      <w:r>
        <w:t>13. 三原则验收矩阵（第一版）</w:t>
      </w:r>
    </w:p>
    <w:tbl>
      <w:tblPr>
        <w:tblW w:type="auto" w:w="0"/>
        <w:jc w:val="center"/>
        <w:tblLook w:firstColumn="1" w:firstRow="1" w:lastColumn="0" w:lastRow="0" w:noHBand="0" w:noVBand="1" w:val="04A0"/>
      </w:tblPr>
      <w:tblGrid>
        <w:gridCol w:w="2493"/>
        <w:gridCol w:w="2493"/>
        <w:gridCol w:w="2493"/>
        <w:gridCol w:w="2493"/>
      </w:tblGrid>
      <w:tr>
        <w:tc>
          <w:tcPr>
            <w:tcW w:type="dxa" w:w="2493"/>
            <w:vAlign w:val="center"/>
            <w:shd w:fill="17324D"/>
          </w:tcPr>
          <w:p>
            <w:r/>
            <w:r>
              <w:rPr>
                <w:b/>
                <w:color w:val="FFFFFF"/>
                <w:sz w:val="18"/>
              </w:rPr>
              <w:t>测试场景</w:t>
            </w:r>
          </w:p>
        </w:tc>
        <w:tc>
          <w:tcPr>
            <w:tcW w:type="dxa" w:w="2493"/>
            <w:vAlign w:val="center"/>
            <w:shd w:fill="17324D"/>
          </w:tcPr>
          <w:p>
            <w:r/>
            <w:r>
              <w:rPr>
                <w:b/>
                <w:color w:val="FFFFFF"/>
                <w:sz w:val="18"/>
              </w:rPr>
              <w:t>军事级</w:t>
            </w:r>
          </w:p>
        </w:tc>
        <w:tc>
          <w:tcPr>
            <w:tcW w:type="dxa" w:w="2493"/>
            <w:vAlign w:val="center"/>
            <w:shd w:fill="17324D"/>
          </w:tcPr>
          <w:p>
            <w:r/>
            <w:r>
              <w:rPr>
                <w:b/>
                <w:color w:val="FFFFFF"/>
                <w:sz w:val="18"/>
              </w:rPr>
              <w:t>商用级</w:t>
            </w:r>
          </w:p>
        </w:tc>
        <w:tc>
          <w:tcPr>
            <w:tcW w:type="dxa" w:w="2493"/>
            <w:vAlign w:val="center"/>
            <w:shd w:fill="17324D"/>
          </w:tcPr>
          <w:p>
            <w:r/>
            <w:r>
              <w:rPr>
                <w:b/>
                <w:color w:val="FFFFFF"/>
                <w:sz w:val="18"/>
              </w:rPr>
              <w:t>生活化</w:t>
            </w:r>
          </w:p>
        </w:tc>
      </w:tr>
      <w:tr>
        <w:tc>
          <w:tcPr>
            <w:tcW w:type="dxa" w:w="2493"/>
            <w:vAlign w:val="center"/>
          </w:tcPr>
          <w:p>
            <w:r/>
            <w:r>
              <w:rPr>
                <w:b/>
                <w:sz w:val="17"/>
              </w:rPr>
              <w:t>断网</w:t>
            </w:r>
          </w:p>
        </w:tc>
        <w:tc>
          <w:tcPr>
            <w:tcW w:type="dxa" w:w="2493"/>
            <w:vAlign w:val="center"/>
          </w:tcPr>
          <w:p>
            <w:r/>
            <w:r>
              <w:rPr>
                <w:b w:val="0"/>
                <w:sz w:val="17"/>
              </w:rPr>
              <w:t>核心能力可继续</w:t>
            </w:r>
          </w:p>
        </w:tc>
        <w:tc>
          <w:tcPr>
            <w:tcW w:type="dxa" w:w="2493"/>
            <w:vAlign w:val="center"/>
          </w:tcPr>
          <w:p>
            <w:r/>
            <w:r>
              <w:rPr>
                <w:b w:val="0"/>
                <w:sz w:val="17"/>
              </w:rPr>
              <w:t>离线状态可审计并同步</w:t>
            </w:r>
          </w:p>
        </w:tc>
        <w:tc>
          <w:tcPr>
            <w:tcW w:type="dxa" w:w="2493"/>
            <w:vAlign w:val="center"/>
          </w:tcPr>
          <w:p>
            <w:r/>
            <w:r>
              <w:rPr>
                <w:b w:val="0"/>
                <w:sz w:val="17"/>
              </w:rPr>
              <w:t>用户无需手工切模式</w:t>
            </w:r>
          </w:p>
        </w:tc>
      </w:tr>
      <w:tr>
        <w:tc>
          <w:tcPr>
            <w:tcW w:type="dxa" w:w="2493"/>
            <w:vAlign w:val="center"/>
          </w:tcPr>
          <w:p>
            <w:r/>
            <w:r>
              <w:rPr>
                <w:b/>
                <w:sz w:val="17"/>
              </w:rPr>
              <w:t>低带宽</w:t>
            </w:r>
          </w:p>
        </w:tc>
        <w:tc>
          <w:tcPr>
            <w:tcW w:type="dxa" w:w="2493"/>
            <w:vAlign w:val="center"/>
          </w:tcPr>
          <w:p>
            <w:r/>
            <w:r>
              <w:rPr>
                <w:b w:val="0"/>
                <w:sz w:val="17"/>
              </w:rPr>
              <w:t>关键状态优先</w:t>
            </w:r>
          </w:p>
        </w:tc>
        <w:tc>
          <w:tcPr>
            <w:tcW w:type="dxa" w:w="2493"/>
            <w:vAlign w:val="center"/>
          </w:tcPr>
          <w:p>
            <w:r/>
            <w:r>
              <w:rPr>
                <w:b w:val="0"/>
                <w:sz w:val="17"/>
              </w:rPr>
              <w:t>SLA 降级可见</w:t>
            </w:r>
          </w:p>
        </w:tc>
        <w:tc>
          <w:tcPr>
            <w:tcW w:type="dxa" w:w="2493"/>
            <w:vAlign w:val="center"/>
          </w:tcPr>
          <w:p>
            <w:r/>
            <w:r>
              <w:rPr>
                <w:b w:val="0"/>
                <w:sz w:val="17"/>
              </w:rPr>
              <w:t>自动选择低流量实现</w:t>
            </w:r>
          </w:p>
        </w:tc>
      </w:tr>
      <w:tr>
        <w:tc>
          <w:tcPr>
            <w:tcW w:type="dxa" w:w="2493"/>
            <w:vAlign w:val="center"/>
          </w:tcPr>
          <w:p>
            <w:r/>
            <w:r>
              <w:rPr>
                <w:b/>
                <w:sz w:val="17"/>
              </w:rPr>
              <w:t>旧设备</w:t>
            </w:r>
          </w:p>
        </w:tc>
        <w:tc>
          <w:tcPr>
            <w:tcW w:type="dxa" w:w="2493"/>
            <w:vAlign w:val="center"/>
          </w:tcPr>
          <w:p>
            <w:r/>
            <w:r>
              <w:rPr>
                <w:b w:val="0"/>
                <w:sz w:val="17"/>
              </w:rPr>
              <w:t>最低生存能力</w:t>
            </w:r>
          </w:p>
        </w:tc>
        <w:tc>
          <w:tcPr>
            <w:tcW w:type="dxa" w:w="2493"/>
            <w:vAlign w:val="center"/>
          </w:tcPr>
          <w:p>
            <w:r/>
            <w:r>
              <w:rPr>
                <w:b w:val="0"/>
                <w:sz w:val="17"/>
              </w:rPr>
              <w:t>长期支持策略</w:t>
            </w:r>
          </w:p>
        </w:tc>
        <w:tc>
          <w:tcPr>
            <w:tcW w:type="dxa" w:w="2493"/>
            <w:vAlign w:val="center"/>
          </w:tcPr>
          <w:p>
            <w:r/>
            <w:r>
              <w:rPr>
                <w:b w:val="0"/>
                <w:sz w:val="17"/>
              </w:rPr>
              <w:t>软件自动降级</w:t>
            </w:r>
          </w:p>
        </w:tc>
      </w:tr>
      <w:tr>
        <w:tc>
          <w:tcPr>
            <w:tcW w:type="dxa" w:w="2493"/>
            <w:vAlign w:val="center"/>
          </w:tcPr>
          <w:p>
            <w:r/>
            <w:r>
              <w:rPr>
                <w:b/>
                <w:sz w:val="17"/>
              </w:rPr>
              <w:t>节点失效</w:t>
            </w:r>
          </w:p>
        </w:tc>
        <w:tc>
          <w:tcPr>
            <w:tcW w:type="dxa" w:w="2493"/>
            <w:vAlign w:val="center"/>
          </w:tcPr>
          <w:p>
            <w:r/>
            <w:r>
              <w:rPr>
                <w:b w:val="0"/>
                <w:sz w:val="17"/>
              </w:rPr>
              <w:t>多路径 / 迁移</w:t>
            </w:r>
          </w:p>
        </w:tc>
        <w:tc>
          <w:tcPr>
            <w:tcW w:type="dxa" w:w="2493"/>
            <w:vAlign w:val="center"/>
          </w:tcPr>
          <w:p>
            <w:r/>
            <w:r>
              <w:rPr>
                <w:b w:val="0"/>
                <w:sz w:val="17"/>
              </w:rPr>
              <w:t>故障回滚</w:t>
            </w:r>
          </w:p>
        </w:tc>
        <w:tc>
          <w:tcPr>
            <w:tcW w:type="dxa" w:w="2493"/>
            <w:vAlign w:val="center"/>
          </w:tcPr>
          <w:p>
            <w:r/>
            <w:r>
              <w:rPr>
                <w:b w:val="0"/>
                <w:sz w:val="17"/>
              </w:rPr>
              <w:t>尽量无感</w:t>
            </w:r>
          </w:p>
        </w:tc>
      </w:tr>
      <w:tr>
        <w:tc>
          <w:tcPr>
            <w:tcW w:type="dxa" w:w="2493"/>
            <w:vAlign w:val="center"/>
          </w:tcPr>
          <w:p>
            <w:r/>
            <w:r>
              <w:rPr>
                <w:b/>
                <w:sz w:val="17"/>
              </w:rPr>
              <w:t>Provider 下线</w:t>
            </w:r>
          </w:p>
        </w:tc>
        <w:tc>
          <w:tcPr>
            <w:tcW w:type="dxa" w:w="2493"/>
            <w:vAlign w:val="center"/>
          </w:tcPr>
          <w:p>
            <w:r/>
            <w:r>
              <w:rPr>
                <w:b w:val="0"/>
                <w:sz w:val="17"/>
              </w:rPr>
              <w:t>替代能力</w:t>
            </w:r>
          </w:p>
        </w:tc>
        <w:tc>
          <w:tcPr>
            <w:tcW w:type="dxa" w:w="2493"/>
            <w:vAlign w:val="center"/>
          </w:tcPr>
          <w:p>
            <w:r/>
            <w:r>
              <w:rPr>
                <w:b w:val="0"/>
                <w:sz w:val="17"/>
              </w:rPr>
              <w:t>供应商可替换</w:t>
            </w:r>
          </w:p>
        </w:tc>
        <w:tc>
          <w:tcPr>
            <w:tcW w:type="dxa" w:w="2493"/>
            <w:vAlign w:val="center"/>
          </w:tcPr>
          <w:p>
            <w:r/>
            <w:r>
              <w:rPr>
                <w:b w:val="0"/>
                <w:sz w:val="17"/>
              </w:rPr>
              <w:t>用户无需重新配置</w:t>
            </w:r>
          </w:p>
        </w:tc>
      </w:tr>
      <w:tr>
        <w:tc>
          <w:tcPr>
            <w:tcW w:type="dxa" w:w="2493"/>
            <w:vAlign w:val="center"/>
          </w:tcPr>
          <w:p>
            <w:r/>
            <w:r>
              <w:rPr>
                <w:b/>
                <w:sz w:val="17"/>
              </w:rPr>
              <w:t>升级失败</w:t>
            </w:r>
          </w:p>
        </w:tc>
        <w:tc>
          <w:tcPr>
            <w:tcW w:type="dxa" w:w="2493"/>
            <w:vAlign w:val="center"/>
          </w:tcPr>
          <w:p>
            <w:r/>
            <w:r>
              <w:rPr>
                <w:b w:val="0"/>
                <w:sz w:val="17"/>
              </w:rPr>
              <w:t>继续旧版本</w:t>
            </w:r>
          </w:p>
        </w:tc>
        <w:tc>
          <w:tcPr>
            <w:tcW w:type="dxa" w:w="2493"/>
            <w:vAlign w:val="center"/>
          </w:tcPr>
          <w:p>
            <w:r/>
            <w:r>
              <w:rPr>
                <w:b w:val="0"/>
                <w:sz w:val="17"/>
              </w:rPr>
              <w:t>可回滚</w:t>
            </w:r>
          </w:p>
        </w:tc>
        <w:tc>
          <w:tcPr>
            <w:tcW w:type="dxa" w:w="2493"/>
            <w:vAlign w:val="center"/>
          </w:tcPr>
          <w:p>
            <w:r/>
            <w:r>
              <w:rPr>
                <w:b w:val="0"/>
                <w:sz w:val="17"/>
              </w:rPr>
              <w:t>不要求用户处理依赖</w:t>
            </w:r>
          </w:p>
        </w:tc>
      </w:tr>
      <w:tr>
        <w:tc>
          <w:tcPr>
            <w:tcW w:type="dxa" w:w="2493"/>
            <w:vAlign w:val="center"/>
          </w:tcPr>
          <w:p>
            <w:r/>
            <w:r>
              <w:rPr>
                <w:b/>
                <w:sz w:val="17"/>
              </w:rPr>
              <w:t>跨平台</w:t>
            </w:r>
          </w:p>
        </w:tc>
        <w:tc>
          <w:tcPr>
            <w:tcW w:type="dxa" w:w="2493"/>
            <w:vAlign w:val="center"/>
          </w:tcPr>
          <w:p>
            <w:r/>
            <w:r>
              <w:rPr>
                <w:b w:val="0"/>
                <w:sz w:val="17"/>
              </w:rPr>
              <w:t>同一软件身份</w:t>
            </w:r>
          </w:p>
        </w:tc>
        <w:tc>
          <w:tcPr>
            <w:tcW w:type="dxa" w:w="2493"/>
            <w:vAlign w:val="center"/>
          </w:tcPr>
          <w:p>
            <w:r/>
            <w:r>
              <w:rPr>
                <w:b w:val="0"/>
                <w:sz w:val="17"/>
              </w:rPr>
              <w:t>统一治理</w:t>
            </w:r>
          </w:p>
        </w:tc>
        <w:tc>
          <w:tcPr>
            <w:tcW w:type="dxa" w:w="2493"/>
            <w:vAlign w:val="center"/>
          </w:tcPr>
          <w:p>
            <w:r/>
            <w:r>
              <w:rPr>
                <w:b w:val="0"/>
                <w:sz w:val="17"/>
              </w:rPr>
              <w:t>无需理解 APK/EXE/IPA</w:t>
            </w:r>
          </w:p>
        </w:tc>
      </w:tr>
      <w:tr>
        <w:tc>
          <w:tcPr>
            <w:tcW w:type="dxa" w:w="2493"/>
            <w:vAlign w:val="center"/>
          </w:tcPr>
          <w:p>
            <w:r/>
            <w:r>
              <w:rPr>
                <w:b/>
                <w:sz w:val="17"/>
              </w:rPr>
              <w:t>权限变化</w:t>
            </w:r>
          </w:p>
        </w:tc>
        <w:tc>
          <w:tcPr>
            <w:tcW w:type="dxa" w:w="2493"/>
            <w:vAlign w:val="center"/>
          </w:tcPr>
          <w:p>
            <w:r/>
            <w:r>
              <w:rPr>
                <w:b w:val="0"/>
                <w:sz w:val="17"/>
              </w:rPr>
              <w:t>最小权限与撤销</w:t>
            </w:r>
          </w:p>
        </w:tc>
        <w:tc>
          <w:tcPr>
            <w:tcW w:type="dxa" w:w="2493"/>
            <w:vAlign w:val="center"/>
          </w:tcPr>
          <w:p>
            <w:r/>
            <w:r>
              <w:rPr>
                <w:b w:val="0"/>
                <w:sz w:val="17"/>
              </w:rPr>
              <w:t>审计与责任明确</w:t>
            </w:r>
          </w:p>
        </w:tc>
        <w:tc>
          <w:tcPr>
            <w:tcW w:type="dxa" w:w="2493"/>
            <w:vAlign w:val="center"/>
          </w:tcPr>
          <w:p>
            <w:r/>
            <w:r>
              <w:rPr>
                <w:b w:val="0"/>
                <w:sz w:val="17"/>
              </w:rPr>
              <w:t>人类语言说明</w:t>
            </w:r>
          </w:p>
        </w:tc>
      </w:tr>
      <w:tr>
        <w:tc>
          <w:tcPr>
            <w:tcW w:type="dxa" w:w="2493"/>
            <w:vAlign w:val="center"/>
          </w:tcPr>
          <w:p>
            <w:r/>
            <w:r>
              <w:rPr>
                <w:b/>
                <w:sz w:val="17"/>
              </w:rPr>
              <w:t>AI 参与</w:t>
            </w:r>
          </w:p>
        </w:tc>
        <w:tc>
          <w:tcPr>
            <w:tcW w:type="dxa" w:w="2493"/>
            <w:vAlign w:val="center"/>
          </w:tcPr>
          <w:p>
            <w:r/>
            <w:r>
              <w:rPr>
                <w:b w:val="0"/>
                <w:sz w:val="17"/>
              </w:rPr>
              <w:t>可隔离、可撤销</w:t>
            </w:r>
          </w:p>
        </w:tc>
        <w:tc>
          <w:tcPr>
            <w:tcW w:type="dxa" w:w="2493"/>
            <w:vAlign w:val="center"/>
          </w:tcPr>
          <w:p>
            <w:r/>
            <w:r>
              <w:rPr>
                <w:b w:val="0"/>
                <w:sz w:val="17"/>
              </w:rPr>
              <w:t>证据和责任链</w:t>
            </w:r>
          </w:p>
        </w:tc>
        <w:tc>
          <w:tcPr>
            <w:tcW w:type="dxa" w:w="2493"/>
            <w:vAlign w:val="center"/>
          </w:tcPr>
          <w:p>
            <w:r/>
            <w:r>
              <w:rPr>
                <w:b w:val="0"/>
                <w:sz w:val="17"/>
              </w:rPr>
              <w:t>用户只表达意图</w:t>
            </w:r>
          </w:p>
        </w:tc>
      </w:tr>
    </w:tbl>
    <w:p/>
    <w:p>
      <w:pPr>
        <w:pStyle w:val="Heading1"/>
      </w:pPr>
      <w:r>
        <w:t>14. 当前边界：v0.2 不是最终技术规范</w:t>
      </w:r>
    </w:p>
    <w:p>
      <w:r>
        <w:t>本文件冻结的是“为什么重构、按什么原则重构、哪些对象应成为新基础设施原语”。它不声称已经证明某个新协议优于现有互联网，也不声称 TINP、Application Seed 或未来 Runtime 已达到生产成熟度。</w:t>
      </w:r>
    </w:p>
    <w:p>
      <w:pPr>
        <w:pStyle w:val="ListBullet"/>
      </w:pPr>
      <w:r>
        <w:t>尚未定义新的底层物理链路协议。</w:t>
      </w:r>
    </w:p>
    <w:p>
      <w:pPr>
        <w:pStyle w:val="ListBullet"/>
      </w:pPr>
      <w:r>
        <w:t>尚未完成生产级身份与密码学体系。</w:t>
      </w:r>
    </w:p>
    <w:p>
      <w:pPr>
        <w:pStyle w:val="ListBullet"/>
      </w:pPr>
      <w:r>
        <w:t>尚未给出互联网规模的路由收敛证明。</w:t>
      </w:r>
    </w:p>
    <w:p>
      <w:pPr>
        <w:pStyle w:val="ListBullet"/>
      </w:pPr>
      <w:r>
        <w:t>尚未完成 Application Seed 的跨平台真实设备验证。</w:t>
      </w:r>
    </w:p>
    <w:p>
      <w:pPr>
        <w:pStyle w:val="ListBullet"/>
      </w:pPr>
      <w:r>
        <w:t>尚未证明新浏览器 / Runtime 在性能上全面优于现代浏览器。</w:t>
      </w:r>
    </w:p>
    <w:p>
      <w:pPr>
        <w:pStyle w:val="ListBullet"/>
      </w:pPr>
      <w:r>
        <w:t>所有后续实现必须接受军事级、商用级、生活化三原则的真实验收，而不能只通过概念一致性。</w:t>
      </w:r>
    </w:p>
    <w:p>
      <w:pPr>
        <w:pStyle w:val="Heading1"/>
      </w:pPr>
      <w:r>
        <w:t>15. 最终定义</w:t>
      </w:r>
    </w:p>
    <w:tbl>
      <w:tblPr>
        <w:tblW w:type="auto" w:w="0"/>
        <w:jc w:val="center"/>
        <w:tblLayout w:type="autofit"/>
        <w:tblLook w:firstColumn="1" w:firstRow="1" w:lastColumn="0" w:lastRow="0" w:noHBand="0" w:noVBand="1" w:val="04A0"/>
      </w:tblPr>
      <w:tblGrid>
        <w:gridCol w:w="9972"/>
      </w:tblGrid>
      <w:tr>
        <w:tc>
          <w:tcPr>
            <w:tcW w:type="dxa" w:w="9972"/>
            <w:shd w:fill="EAF2F8"/>
            <w:tcBorders>
              <w:top w:val="single" w:sz="8" w:color="5B9BD5"/>
              <w:left w:val="single" w:sz="8" w:color="5B9BD5"/>
              <w:bottom w:val="single" w:sz="8" w:color="5B9BD5"/>
              <w:right w:val="single" w:sz="8" w:color="5B9BD5"/>
            </w:tcBorders>
          </w:tcPr>
          <w:p>
            <w:pPr>
              <w:jc w:val="center"/>
            </w:pPr>
            <w:r>
              <w:rPr>
                <w:b/>
                <w:color w:val="17324D"/>
                <w:sz w:val="23"/>
              </w:rPr>
              <w:t>我们重构互联网与软件基础设施，不是因为“AI 很新”，而是因为现有体系已经长期把兼容、升级、平台割裂与配置复杂度转嫁给用户；AI 时代只是把这种结构性矛盾放大到无法忽视。</w:t>
            </w:r>
          </w:p>
        </w:tc>
      </w:tr>
    </w:tbl>
    <w:p/>
    <w:tbl>
      <w:tblPr>
        <w:tblW w:type="auto" w:w="0"/>
        <w:jc w:val="center"/>
        <w:tblLayout w:type="autofit"/>
        <w:tblLook w:firstColumn="1" w:firstRow="1" w:lastColumn="0" w:lastRow="0" w:noHBand="0" w:noVBand="1" w:val="04A0"/>
      </w:tblPr>
      <w:tblGrid>
        <w:gridCol w:w="9972"/>
      </w:tblGrid>
      <w:tr>
        <w:tc>
          <w:tcPr>
            <w:tcW w:type="dxa" w:w="9972"/>
            <w:shd w:fill="FFF3D6"/>
            <w:tcBorders>
              <w:top w:val="single" w:sz="8" w:color="C99700"/>
              <w:left w:val="single" w:sz="8" w:color="C99700"/>
              <w:bottom w:val="single" w:sz="8" w:color="C99700"/>
              <w:right w:val="single" w:sz="8" w:color="C99700"/>
            </w:tcBorders>
          </w:tcPr>
          <w:p>
            <w:pPr>
              <w:jc w:val="center"/>
            </w:pPr>
            <w:r>
              <w:rPr>
                <w:b/>
                <w:color w:val="17324D"/>
                <w:sz w:val="23"/>
              </w:rPr>
              <w:t>新基础设施的目标：军事级地活下来，商用级地承担责任，生活化地让普通人感觉不到技术复杂度。</w:t>
            </w:r>
          </w:p>
        </w:tc>
      </w:tr>
    </w:tbl>
    <w:p/>
    <w:tbl>
      <w:tblPr>
        <w:tblW w:type="auto" w:w="0"/>
        <w:jc w:val="center"/>
        <w:tblLayout w:type="autofit"/>
        <w:tblLook w:firstColumn="1" w:firstRow="1" w:lastColumn="0" w:lastRow="0" w:noHBand="0" w:noVBand="1" w:val="04A0"/>
      </w:tblPr>
      <w:tblGrid>
        <w:gridCol w:w="9972"/>
      </w:tblGrid>
      <w:tr>
        <w:tc>
          <w:tcPr>
            <w:tcW w:type="dxa" w:w="9972"/>
            <w:shd w:fill="E9F7EF"/>
            <w:tcBorders>
              <w:top w:val="single" w:sz="8" w:color="4A8C67"/>
              <w:left w:val="single" w:sz="8" w:color="4A8C67"/>
              <w:bottom w:val="single" w:sz="8" w:color="4A8C67"/>
              <w:right w:val="single" w:sz="8" w:color="4A8C67"/>
            </w:tcBorders>
          </w:tcPr>
          <w:p>
            <w:pPr>
              <w:jc w:val="center"/>
            </w:pPr>
            <w:r>
              <w:rPr>
                <w:b/>
                <w:color w:val="17324D"/>
                <w:sz w:val="23"/>
              </w:rPr>
              <w:t>软件应描述“它是什么”，网络应理解“谁想做什么”，设备应回答“我能做到什么”，基础设施负责把三者编译成当前现实中最合适的运行身体与连接方式。</w:t>
            </w:r>
          </w:p>
        </w:tc>
      </w:tr>
    </w:tbl>
    <w:p/>
    <w:p/>
    <w:p>
      <w:pPr>
        <w:jc w:val="center"/>
      </w:pPr>
      <w:r>
        <w:rPr>
          <w:b/>
          <w:color w:val="17324D"/>
        </w:rPr>
        <w:t>— AI时代互联网宪法与基础架构定义 v0.2 结束 —</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45B7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C6B6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24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