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2138"/>
        <w:gridCol w:w="3262"/>
        <w:gridCol w:w="1901"/>
      </w:tblGrid>
      <w:tr w14:paraId="2F84D081">
        <w:trPr>
          <w:jc w:val="center"/>
        </w:trPr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EB38C93">
            <w:pPr>
              <w:spacing w:after="0"/>
            </w:pPr>
            <w:r>
              <w:rPr>
                <w:rFonts w:ascii="Arial" w:hAnsi="Arial" w:eastAsia="STHeiti"/>
                <w:b/>
                <w:i w:val="0"/>
                <w:color w:val="457A89"/>
                <w:sz w:val="60"/>
              </w:rPr>
              <w:t>个人简历</w:t>
            </w:r>
          </w:p>
        </w:tc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B2AC9B">
            <w:pPr>
              <w:spacing w:after="0"/>
            </w:pPr>
            <w:r>
              <w:rPr>
                <w:rFonts w:ascii="Arial" w:hAnsi="Arial" w:eastAsia="STHeiti"/>
                <w:b/>
                <w:i w:val="0"/>
                <w:color w:val="457A89"/>
                <w:sz w:val="21"/>
              </w:rPr>
              <w:t>细心从每一个小细节开始。</w:t>
            </w:r>
            <w:r>
              <w:rPr>
                <w:rFonts w:ascii="Arial" w:hAnsi="Arial" w:eastAsia="STHeiti"/>
                <w:b/>
                <w:i w:val="0"/>
                <w:color w:val="457A89"/>
                <w:sz w:val="21"/>
              </w:rPr>
              <w:br w:type="textWrapping"/>
            </w:r>
            <w:r>
              <w:rPr>
                <w:rFonts w:ascii="Arial" w:hAnsi="Arial" w:eastAsia="STHeiti"/>
                <w:b/>
                <w:i/>
                <w:color w:val="457A89"/>
                <w:sz w:val="40"/>
              </w:rPr>
              <w:t>Personal resume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EEC41BE">
            <w:pPr>
              <w:spacing w:after="0"/>
              <w:jc w:val="right"/>
            </w:pPr>
            <w:r>
              <w:rPr>
                <w:rFonts w:ascii="Arial" w:hAnsi="Arial" w:eastAsia="STHeiti"/>
                <w:b/>
                <w:i w:val="0"/>
                <w:color w:val="FFFFFF"/>
                <w:sz w:val="21"/>
                <w:shd w:val="clear" w:fill="CA9E5D"/>
              </w:rPr>
              <w:t xml:space="preserve">      </w:t>
            </w:r>
          </w:p>
        </w:tc>
      </w:tr>
      <w:tr w14:paraId="5580E398">
        <w:trPr>
          <w:jc w:val="center"/>
        </w:trPr>
        <w:tc>
          <w:tcPr>
            <w:tcW w:w="5162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457A8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35B44">
            <w:pPr>
              <w:spacing w:after="0"/>
            </w:pPr>
            <w:r>
              <w:t xml:space="preserve"> </w:t>
            </w:r>
          </w:p>
        </w:tc>
        <w:tc>
          <w:tcPr>
            <w:tcW w:w="5163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CA9E5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4332E">
            <w:pPr>
              <w:spacing w:after="0"/>
            </w:pPr>
            <w:r>
              <w:t xml:space="preserve"> </w:t>
            </w:r>
          </w:p>
        </w:tc>
      </w:tr>
    </w:tbl>
    <w:p w14:paraId="346BF0A5">
      <w:pPr>
        <w:spacing w:before="0" w:after="80" w:line="240" w:lineRule="auto"/>
      </w:pPr>
    </w:p>
    <w:tbl>
      <w:tblPr>
        <w:tblStyle w:val="3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2715"/>
        <w:gridCol w:w="2448"/>
      </w:tblGrid>
      <w:tr w14:paraId="198B325D">
        <w:trPr>
          <w:jc w:val="center"/>
        </w:trPr>
        <w:tc>
          <w:tcPr>
            <w:tcW w:w="51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457A89"/>
            <w:tcMar>
              <w:top w:w="18" w:type="dxa"/>
              <w:left w:w="90" w:type="dxa"/>
              <w:bottom w:w="18" w:type="dxa"/>
              <w:right w:w="60" w:type="dxa"/>
            </w:tcMar>
          </w:tcPr>
          <w:p w14:paraId="66A35B8C">
            <w:pPr>
              <w:keepNext/>
              <w:spacing w:after="0"/>
            </w:pPr>
            <w:r>
              <w:rPr>
                <w:rFonts w:ascii="Arial" w:hAnsi="Arial" w:eastAsia="STHeiti"/>
                <w:b/>
                <w:i w:val="0"/>
                <w:color w:val="FFFFFF"/>
                <w:sz w:val="28"/>
              </w:rPr>
              <w:t>基本信息</w:t>
            </w:r>
          </w:p>
        </w:tc>
        <w:tc>
          <w:tcPr>
            <w:tcW w:w="5162" w:type="dxa"/>
            <w:gridSpan w:val="2"/>
            <w:tcBorders>
              <w:top w:val="nil"/>
              <w:left w:val="nil"/>
              <w:bottom w:val="single" w:color="457A89" w:sz="8" w:space="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63F181">
            <w:pPr>
              <w:spacing w:after="0"/>
            </w:pPr>
          </w:p>
        </w:tc>
      </w:tr>
      <w:tr w14:paraId="44FDE9F3">
        <w:trPr>
          <w:trHeight w:val="1485" w:hRule="atLeast"/>
          <w:jc w:val="center"/>
        </w:trPr>
        <w:tc>
          <w:tcPr>
            <w:tcW w:w="787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70" w:type="dxa"/>
              <w:left w:w="210" w:type="dxa"/>
              <w:bottom w:w="40" w:type="dxa"/>
              <w:right w:w="60" w:type="dxa"/>
            </w:tcMar>
            <w:vAlign w:val="top"/>
          </w:tcPr>
          <w:p w14:paraId="0BBC5EFF">
            <w:pPr>
              <w:spacing w:after="40"/>
              <w:rPr>
                <w:sz w:val="21"/>
                <w:szCs w:val="21"/>
              </w:rPr>
            </w:pP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>姓</w:t>
            </w:r>
            <w:r>
              <w:rPr>
                <w:rFonts w:hint="eastAsia"/>
                <w:b/>
                <w:i w:val="0"/>
                <w:color w:val="3A3C3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  名：  </w:t>
            </w:r>
            <w:r>
              <w:rPr>
                <w:rFonts w:ascii="Arial" w:hAnsi="Arial" w:eastAsia="STHeiti"/>
                <w:b w:val="0"/>
                <w:i w:val="0"/>
                <w:color w:val="3A3C3F"/>
                <w:sz w:val="21"/>
                <w:szCs w:val="21"/>
              </w:rPr>
              <w:t>邢亚凯</w:t>
            </w:r>
          </w:p>
          <w:p w14:paraId="471AC4EB">
            <w:pPr>
              <w:spacing w:after="40"/>
              <w:rPr>
                <w:rFonts w:hint="default" w:ascii="Arial" w:hAnsi="Arial" w:eastAsia="STHeiti"/>
                <w:b w:val="0"/>
                <w:i w:val="0"/>
                <w:color w:val="3A3C3F"/>
                <w:sz w:val="21"/>
                <w:szCs w:val="21"/>
                <w:lang w:val="en-US" w:eastAsia="zh-CN"/>
              </w:rPr>
            </w:pP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电 </w:t>
            </w:r>
            <w:r>
              <w:rPr>
                <w:rFonts w:hint="eastAsia"/>
                <w:b/>
                <w:i w:val="0"/>
                <w:color w:val="3A3C3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 话：</w:t>
            </w:r>
            <w:r>
              <w:rPr>
                <w:rFonts w:ascii="Arial" w:hAnsi="Arial" w:eastAsia="STHeiti"/>
                <w:b w:val="0"/>
                <w:i w:val="0"/>
                <w:color w:val="3A3C3F"/>
                <w:sz w:val="21"/>
                <w:szCs w:val="21"/>
              </w:rPr>
              <w:t xml:space="preserve">  </w:t>
            </w:r>
            <w:r>
              <w:rPr>
                <w:rFonts w:hint="eastAsia" w:ascii="Arial" w:hAnsi="Arial" w:eastAsia="STHeiti"/>
                <w:b w:val="0"/>
                <w:i w:val="0"/>
                <w:color w:val="3A3C3F"/>
                <w:sz w:val="21"/>
                <w:szCs w:val="21"/>
                <w:lang w:val="en-US" w:eastAsia="zh-CN"/>
              </w:rPr>
              <w:t>19250118355</w:t>
            </w:r>
          </w:p>
          <w:p w14:paraId="7464DCDA">
            <w:pPr>
              <w:spacing w:after="40"/>
              <w:rPr>
                <w:rFonts w:ascii="Arial" w:hAnsi="Arial" w:eastAsia="STHeiti"/>
                <w:b w:val="0"/>
                <w:i w:val="0"/>
                <w:color w:val="3A3C3F"/>
                <w:sz w:val="21"/>
                <w:szCs w:val="21"/>
              </w:rPr>
            </w:pP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邮 </w:t>
            </w:r>
            <w:r>
              <w:rPr>
                <w:rFonts w:hint="eastAsia" w:ascii="Arial" w:hAnsi="Arial" w:eastAsia="STHeiti"/>
                <w:b/>
                <w:i w:val="0"/>
                <w:color w:val="3A3C3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 箱：</w:t>
            </w:r>
            <w:r>
              <w:rPr>
                <w:rFonts w:ascii="Arial" w:hAnsi="Arial" w:eastAsia="STHeiti"/>
                <w:b w:val="0"/>
                <w:i w:val="0"/>
                <w:color w:val="3A3C3F"/>
                <w:sz w:val="21"/>
                <w:szCs w:val="21"/>
              </w:rPr>
              <w:t xml:space="preserve">  </w:t>
            </w:r>
            <w:r>
              <w:rPr>
                <w:rFonts w:hint="eastAsia"/>
                <w:b w:val="0"/>
                <w:i w:val="0"/>
                <w:color w:val="3A3C3F"/>
                <w:sz w:val="21"/>
                <w:szCs w:val="21"/>
                <w:lang w:val="en-US" w:eastAsia="zh-CN"/>
              </w:rPr>
              <w:fldChar w:fldCharType="begin"/>
            </w:r>
            <w:r>
              <w:rPr>
                <w:rFonts w:hint="eastAsia"/>
                <w:b w:val="0"/>
                <w:i w:val="0"/>
                <w:color w:val="3A3C3F"/>
                <w:sz w:val="21"/>
                <w:szCs w:val="21"/>
                <w:lang w:val="en-US" w:eastAsia="zh-CN"/>
              </w:rPr>
              <w:instrText xml:space="preserve"> HYPERLINK "mailto:3976230068@qq.com" </w:instrText>
            </w:r>
            <w:r>
              <w:rPr>
                <w:rFonts w:hint="eastAsia"/>
                <w:b w:val="0"/>
                <w:i w:val="0"/>
                <w:color w:val="3A3C3F"/>
                <w:sz w:val="21"/>
                <w:szCs w:val="21"/>
                <w:lang w:val="en-US" w:eastAsia="zh-CN"/>
              </w:rPr>
              <w:fldChar w:fldCharType="separate"/>
            </w:r>
            <w:r>
              <w:rPr>
                <w:rStyle w:val="135"/>
                <w:rFonts w:hint="eastAsia"/>
                <w:b w:val="0"/>
                <w:i w:val="0"/>
                <w:sz w:val="21"/>
                <w:szCs w:val="21"/>
                <w:lang w:val="en-US" w:eastAsia="zh-CN"/>
              </w:rPr>
              <w:t>3976230068</w:t>
            </w:r>
            <w:r>
              <w:rPr>
                <w:rStyle w:val="135"/>
                <w:rFonts w:ascii="Arial" w:hAnsi="Arial" w:eastAsia="STHeiti"/>
                <w:b w:val="0"/>
                <w:i w:val="0"/>
                <w:sz w:val="21"/>
                <w:szCs w:val="21"/>
              </w:rPr>
              <w:t>@qq.com</w:t>
            </w:r>
            <w:r>
              <w:rPr>
                <w:rFonts w:hint="eastAsia"/>
                <w:b w:val="0"/>
                <w:i w:val="0"/>
                <w:color w:val="3A3C3F"/>
                <w:sz w:val="21"/>
                <w:szCs w:val="21"/>
                <w:lang w:val="en-US" w:eastAsia="zh-CN"/>
              </w:rPr>
              <w:fldChar w:fldCharType="end"/>
            </w:r>
            <w:bookmarkStart w:id="0" w:name="_GoBack"/>
            <w:bookmarkEnd w:id="0"/>
          </w:p>
          <w:p w14:paraId="0E35D734">
            <w:pPr>
              <w:spacing w:after="40"/>
              <w:rPr>
                <w:rFonts w:hint="eastAsia"/>
                <w:b w:val="0"/>
                <w:i w:val="0"/>
                <w:color w:val="3A3C3F"/>
                <w:sz w:val="21"/>
                <w:szCs w:val="21"/>
                <w:lang w:eastAsia="zh-CN"/>
              </w:rPr>
            </w:pP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学  </w:t>
            </w:r>
            <w:r>
              <w:rPr>
                <w:rFonts w:hint="eastAsia"/>
                <w:b/>
                <w:i w:val="0"/>
                <w:color w:val="3A3C3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历：  </w:t>
            </w:r>
            <w:r>
              <w:rPr>
                <w:rFonts w:ascii="Arial" w:hAnsi="Arial" w:eastAsia="STHeiti"/>
                <w:b w:val="0"/>
                <w:i w:val="0"/>
                <w:color w:val="3A3C3F"/>
                <w:sz w:val="21"/>
                <w:szCs w:val="21"/>
              </w:rPr>
              <w:t>本科</w:t>
            </w:r>
            <w:r>
              <w:rPr>
                <w:rFonts w:hint="eastAsia"/>
                <w:b w:val="0"/>
                <w:i w:val="0"/>
                <w:color w:val="3A3C3F"/>
                <w:sz w:val="21"/>
                <w:szCs w:val="21"/>
                <w:lang w:val="en-US" w:eastAsia="zh-CN"/>
              </w:rPr>
              <w:t xml:space="preserve">                </w:t>
            </w: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专  </w:t>
            </w:r>
            <w:r>
              <w:rPr>
                <w:rFonts w:hint="eastAsia"/>
                <w:b/>
                <w:i w:val="0"/>
                <w:color w:val="3A3C3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eastAsia="STHeiti"/>
                <w:b/>
                <w:i w:val="0"/>
                <w:color w:val="3A3C3F"/>
                <w:sz w:val="21"/>
                <w:szCs w:val="21"/>
              </w:rPr>
              <w:t xml:space="preserve">业：  </w:t>
            </w:r>
            <w:r>
              <w:rPr>
                <w:rFonts w:ascii="Arial" w:hAnsi="Arial" w:eastAsia="STHeiti"/>
                <w:b w:val="0"/>
                <w:i w:val="0"/>
                <w:color w:val="3A3C3F"/>
                <w:sz w:val="21"/>
                <w:szCs w:val="21"/>
              </w:rPr>
              <w:t>投资学</w:t>
            </w:r>
            <w:r>
              <w:rPr>
                <w:rFonts w:hint="eastAsia"/>
                <w:b w:val="0"/>
                <w:i w:val="0"/>
                <w:color w:val="3A3C3F"/>
                <w:sz w:val="21"/>
                <w:szCs w:val="21"/>
                <w:lang w:eastAsia="zh-CN"/>
              </w:rPr>
              <w:tab/>
            </w:r>
          </w:p>
          <w:p w14:paraId="2C9E8D5B">
            <w:pPr>
              <w:spacing w:after="40"/>
              <w:rPr>
                <w:rFonts w:hint="eastAsia"/>
                <w:b w:val="0"/>
                <w:i w:val="0"/>
                <w:color w:val="3A3C3F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STHeiti"/>
                <w:b/>
                <w:i w:val="0"/>
                <w:color w:val="3A3C3F"/>
                <w:sz w:val="21"/>
                <w:szCs w:val="21"/>
                <w:lang w:val="en-US" w:eastAsia="zh-CN"/>
              </w:rPr>
              <w:t>作品集：</w:t>
            </w:r>
            <w:r>
              <w:rPr>
                <w:rFonts w:hint="eastAsia"/>
                <w:b/>
                <w:i w:val="0"/>
                <w:color w:val="3A3C3F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Arial" w:hAnsi="Arial" w:eastAsia="STHeiti"/>
                <w:b/>
                <w:i w:val="0"/>
                <w:color w:val="3A3C3F"/>
                <w:sz w:val="21"/>
                <w:szCs w:val="21"/>
                <w:lang w:val="en-US" w:eastAsia="zh-CN"/>
              </w:rPr>
              <w:t>https://xingyakai-portfolio.pages.dev/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left w:w="40" w:type="dxa"/>
              <w:bottom w:w="30" w:type="dxa"/>
              <w:right w:w="60" w:type="dxa"/>
            </w:tcMar>
            <w:vAlign w:val="top"/>
          </w:tcPr>
          <w:p w14:paraId="2D07B2FF">
            <w:pPr>
              <w:spacing w:after="0"/>
              <w:jc w:val="right"/>
            </w:pPr>
            <w:r>
              <w:drawing>
                <wp:inline distT="0" distB="0" distL="114300" distR="114300">
                  <wp:extent cx="960755" cy="1049020"/>
                  <wp:effectExtent l="0" t="0" r="4445" b="177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755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8D9E0">
      <w:pPr>
        <w:spacing w:before="0" w:after="0" w:line="240" w:lineRule="auto"/>
        <w:jc w:val="both"/>
      </w:pPr>
    </w:p>
    <w:tbl>
      <w:tblPr>
        <w:tblStyle w:val="3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3"/>
      </w:tblGrid>
      <w:tr w14:paraId="5B7F26B5">
        <w:trPr>
          <w:trHeight w:val="305" w:hRule="atLeast"/>
          <w:jc w:val="center"/>
        </w:trPr>
        <w:tc>
          <w:tcPr>
            <w:tcW w:w="51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457A89"/>
            <w:tcMar>
              <w:top w:w="18" w:type="dxa"/>
              <w:left w:w="90" w:type="dxa"/>
              <w:bottom w:w="18" w:type="dxa"/>
              <w:right w:w="60" w:type="dxa"/>
            </w:tcMar>
          </w:tcPr>
          <w:p w14:paraId="0985F55A">
            <w:pPr>
              <w:keepNext/>
              <w:spacing w:after="0"/>
            </w:pPr>
            <w:r>
              <w:rPr>
                <w:rFonts w:ascii="Arial" w:hAnsi="Arial" w:eastAsia="STHeiti"/>
                <w:b/>
                <w:i w:val="0"/>
                <w:color w:val="FFFFFF"/>
                <w:sz w:val="28"/>
              </w:rPr>
              <w:t>个人优势</w:t>
            </w:r>
          </w:p>
        </w:tc>
        <w:tc>
          <w:tcPr>
            <w:tcW w:w="5162" w:type="dxa"/>
            <w:tcBorders>
              <w:top w:val="nil"/>
              <w:left w:val="nil"/>
              <w:bottom w:val="single" w:color="457A89" w:sz="8" w:space="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179D3">
            <w:pPr>
              <w:spacing w:after="0"/>
            </w:pPr>
          </w:p>
        </w:tc>
      </w:tr>
    </w:tbl>
    <w:p w14:paraId="2AA8D5B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273" w:leftChars="0" w:firstLine="250" w:firstLineChars="250"/>
        <w:textAlignment w:val="auto"/>
        <w:rPr>
          <w:sz w:val="10"/>
          <w:szCs w:val="10"/>
        </w:rPr>
      </w:pPr>
    </w:p>
    <w:p w14:paraId="36FDA35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多模态数据与评测项目</w:t>
      </w:r>
      <w:r>
        <w:rPr>
          <w:rFonts w:hint="eastAsia"/>
          <w:b/>
          <w:i w:val="0"/>
          <w:color w:val="326474"/>
          <w:sz w:val="20"/>
          <w:lang w:val="en-US" w:eastAsia="zh-CN"/>
        </w:rPr>
        <w:t>管理</w:t>
      </w:r>
      <w:r>
        <w:rPr>
          <w:rFonts w:ascii="Arial" w:hAnsi="Arial" w:eastAsia="STHeiti"/>
          <w:b/>
          <w:i w:val="0"/>
          <w:color w:val="326474"/>
          <w:sz w:val="20"/>
        </w:rPr>
        <w:t>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具备 VLM 视频理解、图生视频评测、镜头语言 SFT、图像美学 Caption 等项目经验，能够承接算法/业务需求，协调标注、质检、评测资源，推进数据建设、质量验收和模型评测交付。</w:t>
      </w:r>
    </w:p>
    <w:p w14:paraId="05092FD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标注规则与质检标准设计：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 xml:space="preserve"> 擅长将金融知识、图表含义、镜头运动、主体一致性、美学风格等主观判断拆解为可标注、可质检、可复评的规则与指标，提升训练数据可用性和评测一致性。</w:t>
      </w:r>
    </w:p>
    <w:p w14:paraId="08801DB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模型评测与 Bad Case</w:t>
      </w:r>
      <w:r>
        <w:rPr>
          <w:rFonts w:hint="eastAsia"/>
          <w:b/>
          <w:i w:val="0"/>
          <w:color w:val="326474"/>
          <w:sz w:val="20"/>
          <w:lang w:val="en-US" w:eastAsia="zh-CN"/>
        </w:rPr>
        <w:t>分析</w:t>
      </w:r>
      <w:r>
        <w:rPr>
          <w:rFonts w:hint="eastAsia" w:ascii="Arial" w:hAnsi="Arial" w:eastAsia="STHeiti"/>
          <w:b/>
          <w:i w:val="0"/>
          <w:color w:val="326474"/>
          <w:sz w:val="20"/>
        </w:rPr>
        <w:t>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 xml:space="preserve"> 熟悉 VLM 与视频生成模型常见 Bad Case，能够通过样本分层、盲评校准、问题归因和评测报告定位模型短板，输出数据补充、规则优化</w:t>
      </w:r>
      <w:r>
        <w:rPr>
          <w:rFonts w:hint="eastAsia"/>
          <w:b w:val="0"/>
          <w:i w:val="0"/>
          <w:color w:val="3A3C3F"/>
          <w:sz w:val="20"/>
          <w:lang w:eastAsia="zh-CN"/>
        </w:rPr>
        <w:t>、</w:t>
      </w:r>
      <w:r>
        <w:rPr>
          <w:rFonts w:hint="eastAsia"/>
          <w:b w:val="0"/>
          <w:i w:val="0"/>
          <w:color w:val="3A3C3F"/>
          <w:sz w:val="20"/>
          <w:lang w:val="en-US" w:eastAsia="zh-CN"/>
        </w:rPr>
        <w:t>评测报告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和上线风险建议。</w:t>
      </w:r>
    </w:p>
    <w:tbl>
      <w:tblPr>
        <w:tblStyle w:val="3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3"/>
      </w:tblGrid>
      <w:tr w14:paraId="564D1B7E">
        <w:trPr>
          <w:jc w:val="center"/>
        </w:trPr>
        <w:tc>
          <w:tcPr>
            <w:tcW w:w="51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457A89"/>
            <w:tcMar>
              <w:top w:w="18" w:type="dxa"/>
              <w:left w:w="90" w:type="dxa"/>
              <w:bottom w:w="18" w:type="dxa"/>
              <w:right w:w="60" w:type="dxa"/>
            </w:tcMar>
          </w:tcPr>
          <w:p w14:paraId="19B1A86B">
            <w:pPr>
              <w:keepNext/>
              <w:spacing w:after="0"/>
            </w:pPr>
            <w:r>
              <w:rPr>
                <w:rFonts w:ascii="Arial" w:hAnsi="Arial" w:eastAsia="STHeiti"/>
                <w:b/>
                <w:i w:val="0"/>
                <w:color w:val="FFFFFF"/>
                <w:sz w:val="28"/>
              </w:rPr>
              <w:t>工作经历</w:t>
            </w:r>
          </w:p>
        </w:tc>
        <w:tc>
          <w:tcPr>
            <w:tcW w:w="5162" w:type="dxa"/>
            <w:tcBorders>
              <w:top w:val="nil"/>
              <w:left w:val="nil"/>
              <w:bottom w:val="single" w:color="457A89" w:sz="8" w:space="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24460">
            <w:pPr>
              <w:spacing w:after="0"/>
            </w:pPr>
          </w:p>
        </w:tc>
      </w:tr>
    </w:tbl>
    <w:p w14:paraId="66813F27">
      <w:pPr>
        <w:keepNext/>
        <w:tabs>
          <w:tab w:val="right" w:pos="10210"/>
        </w:tabs>
        <w:spacing w:before="140" w:after="60"/>
        <w:rPr>
          <w:rFonts w:ascii="Arial" w:hAnsi="Arial" w:eastAsia="STHeiti"/>
          <w:b w:val="0"/>
          <w:i w:val="0"/>
          <w:color w:val="3A3C3F"/>
          <w:sz w:val="20"/>
        </w:rPr>
      </w:pPr>
      <w:r>
        <w:rPr>
          <w:rFonts w:ascii="Arial" w:hAnsi="Arial" w:eastAsia="STHeiti"/>
          <w:b/>
          <w:i w:val="0"/>
          <w:color w:val="CA9E5D"/>
          <w:sz w:val="22"/>
        </w:rPr>
        <w:t xml:space="preserve">▌ </w:t>
      </w:r>
      <w:r>
        <w:rPr>
          <w:rFonts w:ascii="Arial" w:hAnsi="Arial" w:eastAsia="STHeiti"/>
          <w:b/>
          <w:i w:val="0"/>
          <w:color w:val="326474"/>
          <w:sz w:val="21"/>
        </w:rPr>
        <w:t xml:space="preserve">中汇会计师事务所（金融科技AI业务） </w:t>
      </w:r>
      <w:r>
        <w:rPr>
          <w:rFonts w:hint="eastAsia"/>
          <w:b/>
          <w:i w:val="0"/>
          <w:color w:val="326474"/>
          <w:sz w:val="21"/>
          <w:lang w:val="en-US" w:eastAsia="zh-CN"/>
        </w:rPr>
        <w:t>项目</w:t>
      </w:r>
      <w:r>
        <w:rPr>
          <w:rFonts w:ascii="Arial" w:hAnsi="Arial" w:eastAsia="STHeiti"/>
          <w:b/>
          <w:i w:val="0"/>
          <w:color w:val="326474"/>
          <w:sz w:val="21"/>
        </w:rPr>
        <w:t>负责人</w:t>
      </w:r>
      <w:r>
        <w:rPr>
          <w:rFonts w:ascii="Arial" w:hAnsi="Arial" w:eastAsia="STHeiti"/>
          <w:b/>
          <w:i w:val="0"/>
          <w:color w:val="CA9E5D"/>
          <w:sz w:val="19"/>
        </w:rPr>
        <w:tab/>
      </w:r>
      <w:r>
        <w:rPr>
          <w:rFonts w:ascii="Arial" w:hAnsi="Arial" w:eastAsia="STHeiti"/>
          <w:b/>
          <w:i w:val="0"/>
          <w:color w:val="CA9E5D"/>
          <w:sz w:val="19"/>
        </w:rPr>
        <w:t>2025.</w:t>
      </w:r>
      <w:r>
        <w:rPr>
          <w:rFonts w:hint="eastAsia"/>
          <w:b/>
          <w:i w:val="0"/>
          <w:color w:val="CA9E5D"/>
          <w:sz w:val="19"/>
          <w:lang w:val="en-US" w:eastAsia="zh-CN"/>
        </w:rPr>
        <w:t>08</w:t>
      </w:r>
      <w:r>
        <w:rPr>
          <w:rFonts w:ascii="Arial" w:hAnsi="Arial" w:eastAsia="STHeiti"/>
          <w:b/>
          <w:i w:val="0"/>
          <w:color w:val="CA9E5D"/>
          <w:sz w:val="19"/>
        </w:rPr>
        <w:t xml:space="preserve"> — 2026.0</w:t>
      </w:r>
      <w:r>
        <w:rPr>
          <w:rFonts w:hint="eastAsia"/>
          <w:b/>
          <w:i w:val="0"/>
          <w:color w:val="CA9E5D"/>
          <w:sz w:val="19"/>
          <w:lang w:val="en-US" w:eastAsia="zh-CN"/>
        </w:rPr>
        <w:t>5</w:t>
      </w:r>
    </w:p>
    <w:p w14:paraId="1464134A">
      <w:pPr>
        <w:keepNext/>
        <w:spacing w:after="60"/>
        <w:ind w:left="259"/>
      </w:pPr>
      <w:r>
        <w:rPr>
          <w:rFonts w:ascii="Arial" w:hAnsi="Arial" w:eastAsia="STHeiti"/>
          <w:b w:val="0"/>
          <w:i w:val="0"/>
          <w:color w:val="CA9E5D"/>
          <w:sz w:val="17"/>
          <w:shd w:val="clear" w:fill="F1E5D2"/>
        </w:rPr>
        <w:t>项目：</w:t>
      </w:r>
      <w:r>
        <w:rPr>
          <w:rFonts w:ascii="Arial" w:hAnsi="Arial" w:eastAsia="STHeiti"/>
          <w:b/>
          <w:i w:val="0"/>
          <w:color w:val="326474"/>
          <w:sz w:val="20"/>
        </w:rPr>
        <w:t xml:space="preserve">  </w:t>
      </w:r>
      <w:r>
        <w:rPr>
          <w:rFonts w:hint="eastAsia" w:ascii="Arial" w:hAnsi="Arial" w:eastAsia="STHeiti"/>
          <w:b/>
          <w:i w:val="0"/>
          <w:color w:val="326474"/>
          <w:sz w:val="20"/>
        </w:rPr>
        <w:t>金融科普 VLM 视频理解评测项目</w:t>
      </w:r>
    </w:p>
    <w:p w14:paraId="0FFAF8D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场景化评测体系搭建</w:t>
      </w:r>
      <w:r>
        <w:rPr>
          <w:rFonts w:ascii="Arial" w:hAnsi="Arial" w:eastAsia="STHeiti"/>
          <w:b/>
          <w:i w:val="0"/>
          <w:color w:val="326474"/>
          <w:sz w:val="20"/>
        </w:rPr>
        <w:t>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围绕开放式视频理解结果难以客观判断的问题，将模型输出拆解为内容理解、视觉证据、时序关系、领域知识和推理表达等评测维度，建立可评分的评测口径。</w:t>
      </w:r>
    </w:p>
    <w:p w14:paraId="3368C26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  <w:lang w:eastAsia="zh-CN"/>
        </w:rPr>
        <w:t xml:space="preserve">全流程标注质控： </w:t>
      </w:r>
      <w:r>
        <w:rPr>
          <w:rFonts w:hint="eastAsia"/>
          <w:b w:val="0"/>
          <w:i w:val="0"/>
          <w:color w:val="3A3C3F"/>
          <w:sz w:val="20"/>
          <w:lang w:eastAsia="zh-CN"/>
        </w:rPr>
        <w:t>负责金融科普视频评测集标注管理，采用“试标校准-过程抽检-问题归因-规则完善”的质控闭环，围绕只复述字幕、图表过度推断、风险提示遗漏等问题沉淀 5 类纠偏案例；通过分批抽检和返修复盘统一执行标准，推动评测员一致性由 83% 提升至 92%+。</w:t>
      </w:r>
    </w:p>
    <w:p w14:paraId="775B479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评测报告与项目复盘：</w:t>
      </w:r>
      <w:r>
        <w:rPr>
          <w:rFonts w:hint="eastAsia"/>
        </w:rPr>
        <w:t xml:space="preserve"> 结合金融专业训练形成的数据敏感度和结构化分析习惯，将开放式视频理解中的主观评价拆解为任务得分、错误分布、Bad Case 类型和问题归因等可量化维度，定位样本覆盖、规则边界和模型理解缺陷，沉淀补充样本方向、评分规则修订点和模型迭代建议，推动评测结论落到后续优化</w:t>
      </w:r>
      <w:r>
        <w:rPr>
          <w:rFonts w:hint="eastAsia"/>
          <w:lang w:eastAsia="zh-CN"/>
        </w:rPr>
        <w:t>。</w:t>
      </w:r>
    </w:p>
    <w:p w14:paraId="4142EE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59"/>
        <w:textAlignment w:val="auto"/>
      </w:pPr>
      <w:r>
        <w:rPr>
          <w:rFonts w:ascii="Arial" w:hAnsi="Arial" w:eastAsia="STHeiti"/>
          <w:b w:val="0"/>
          <w:i w:val="0"/>
          <w:color w:val="CA9E5D"/>
          <w:sz w:val="17"/>
          <w:shd w:val="clear" w:fill="F1E5D2"/>
        </w:rPr>
        <w:t>项目：</w:t>
      </w:r>
      <w:r>
        <w:rPr>
          <w:rFonts w:ascii="Arial" w:hAnsi="Arial" w:eastAsia="STHeiti"/>
          <w:b/>
          <w:i w:val="0"/>
          <w:color w:val="326474"/>
          <w:sz w:val="20"/>
        </w:rPr>
        <w:t xml:space="preserve">  </w:t>
      </w:r>
      <w:r>
        <w:rPr>
          <w:rFonts w:hint="eastAsia" w:ascii="Arial" w:hAnsi="Arial" w:eastAsia="STHeiti"/>
          <w:b/>
          <w:i w:val="0"/>
          <w:color w:val="326474"/>
          <w:sz w:val="20"/>
        </w:rPr>
        <w:t>基于 VLM 的金融科普短视频 Caption 数据构建</w:t>
      </w:r>
    </w:p>
    <w:p w14:paraId="5F9297C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/>
          <w:b/>
          <w:i w:val="0"/>
          <w:color w:val="326474"/>
          <w:sz w:val="20"/>
          <w:lang w:val="en-US" w:eastAsia="zh-CN"/>
        </w:rPr>
        <w:t>训练样本设计：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依托金融专业背景对术语、图表含义和风险表达的敏感度，围绕“金融科普短视频如何转化为模型可学习数据”的问题，按“视频主旨-片段语义-视觉证据-金融含义-风险边界”拆解样本结构，形成面向 VLM 训练的多粒度样本构建方案。</w:t>
      </w:r>
    </w:p>
    <w:p w14:paraId="706FA0C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数据质量闭环建设</w:t>
      </w:r>
      <w:r>
        <w:rPr>
          <w:rFonts w:ascii="Arial" w:hAnsi="Arial" w:eastAsia="STHeiti"/>
          <w:b/>
          <w:i w:val="0"/>
          <w:color w:val="326474"/>
          <w:sz w:val="20"/>
        </w:rPr>
        <w:t>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针对金融术语误写、概念解释泛化、图表结论过度推断、摘要遗漏等问题，建立 Caption 一致性校验和返修规则，提升训练样本的准确性与可用性。</w:t>
      </w:r>
    </w:p>
    <w:p w14:paraId="320A891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  <w:rPr>
          <w:rFonts w:ascii="Arial" w:hAnsi="Arial" w:eastAsia="STHeiti"/>
          <w:b w:val="0"/>
          <w:i w:val="0"/>
          <w:color w:val="3A3C3F"/>
          <w:sz w:val="20"/>
        </w:rPr>
      </w:pPr>
      <w:r>
        <w:rPr>
          <w:rFonts w:hint="eastAsia" w:ascii="Arial" w:hAnsi="Arial" w:eastAsia="STHeiti"/>
          <w:b/>
          <w:i w:val="0"/>
          <w:color w:val="326474"/>
          <w:sz w:val="20"/>
        </w:rPr>
        <w:t>业务收益</w:t>
      </w:r>
      <w:r>
        <w:rPr>
          <w:rFonts w:ascii="Arial" w:hAnsi="Arial" w:eastAsia="STHeiti"/>
          <w:b/>
          <w:i w:val="0"/>
          <w:color w:val="326474"/>
          <w:sz w:val="20"/>
        </w:rPr>
        <w:t>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最终沉淀约 6.5 万条通过质检的训练样本，并围绕金融术语、图表语义和风险边界形成可追踪的数据资产，为模型补充金融视频理解和风险表达能力提供训练支撑。</w:t>
      </w:r>
    </w:p>
    <w:p w14:paraId="2226C845">
      <w:pPr>
        <w:keepNext w:val="0"/>
        <w:keepLines w:val="0"/>
        <w:pageBreakBefore w:val="0"/>
        <w:widowControl w:val="0"/>
        <w:tabs>
          <w:tab w:val="right" w:pos="10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60"/>
        <w:textAlignment w:val="auto"/>
        <w:rPr>
          <w:rFonts w:hint="default" w:eastAsia="STHeiti"/>
          <w:lang w:val="en-US" w:eastAsia="zh-CN"/>
        </w:rPr>
      </w:pPr>
      <w:r>
        <w:rPr>
          <w:rFonts w:ascii="Arial" w:hAnsi="Arial" w:eastAsia="STHeiti"/>
          <w:b/>
          <w:i w:val="0"/>
          <w:color w:val="CA9E5D"/>
          <w:sz w:val="22"/>
        </w:rPr>
        <w:t xml:space="preserve">▌ </w:t>
      </w:r>
      <w:r>
        <w:rPr>
          <w:rFonts w:ascii="Arial" w:hAnsi="Arial" w:eastAsia="STHeiti"/>
          <w:b/>
          <w:i w:val="0"/>
          <w:color w:val="326474"/>
          <w:sz w:val="21"/>
        </w:rPr>
        <w:t>万兴科技（Filmora） 项目负责人</w:t>
      </w:r>
      <w:r>
        <w:rPr>
          <w:rFonts w:ascii="Arial" w:hAnsi="Arial" w:eastAsia="STHeiti"/>
          <w:b/>
          <w:i w:val="0"/>
          <w:color w:val="CA9E5D"/>
          <w:sz w:val="19"/>
        </w:rPr>
        <w:tab/>
      </w:r>
      <w:r>
        <w:rPr>
          <w:rFonts w:ascii="Arial" w:hAnsi="Arial" w:eastAsia="STHeiti"/>
          <w:b/>
          <w:i w:val="0"/>
          <w:color w:val="CA9E5D"/>
          <w:sz w:val="19"/>
        </w:rPr>
        <w:t>2024.07 — 2025.</w:t>
      </w:r>
      <w:r>
        <w:rPr>
          <w:rFonts w:hint="eastAsia"/>
          <w:b/>
          <w:i w:val="0"/>
          <w:color w:val="CA9E5D"/>
          <w:sz w:val="19"/>
          <w:lang w:val="en-US" w:eastAsia="zh-CN"/>
        </w:rPr>
        <w:t>08</w:t>
      </w:r>
    </w:p>
    <w:p w14:paraId="300C2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/>
        <w:ind w:left="259"/>
        <w:textAlignment w:val="auto"/>
      </w:pPr>
      <w:r>
        <w:rPr>
          <w:rFonts w:ascii="Arial" w:hAnsi="Arial" w:eastAsia="STHeiti"/>
          <w:b w:val="0"/>
          <w:i w:val="0"/>
          <w:color w:val="CA9E5D"/>
          <w:sz w:val="17"/>
          <w:shd w:val="clear" w:fill="F1E5D2"/>
        </w:rPr>
        <w:t>项目：</w:t>
      </w:r>
      <w:r>
        <w:rPr>
          <w:rFonts w:ascii="Arial" w:hAnsi="Arial" w:eastAsia="STHeiti"/>
          <w:b/>
          <w:i w:val="0"/>
          <w:color w:val="326474"/>
          <w:sz w:val="20"/>
        </w:rPr>
        <w:t xml:space="preserve">  图生视频模型推理加速方案评测</w:t>
      </w:r>
    </w:p>
    <w:p w14:paraId="486B9E9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多维质量评测体系搭建：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围绕图生视频加速后质量损失难以客观判断的问题，将“生成变快了但质量是否可用”拆解为效率变化、主体一致性、画面稳定性、运动自然度、指令对齐和美学观感等可观察指标，并为每类问题定义扣分口径和 Bad Case 类型，建立“效率-质量-可用性”综合评测标准。</w:t>
      </w:r>
    </w:p>
    <w:p w14:paraId="436F7A7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局部风险识别与调优反馈：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在整体 GSB 指标达标背景下，进一步下钻“时长 × 画幅 × 运动复杂度”等交叉维度，识别主体漂移、动作不连贯、画面撕裂、细节模糊、美学下降及长时长横版后段背景跳变等局部劣化风险；并对 Bad Case 进行底层归因，输出定向调优建议，支撑算法定位 VAE 时序建模缺陷。</w:t>
      </w:r>
    </w:p>
    <w:p w14:paraId="7E81433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跨团队沟通与业务落地：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面向算法侧输出劣化样本、问题归因和调优建议，面向业务侧明确加速方案的质量风险、可用边界和灰度策略；推动推荐加速方案成功上线，模型推理速度提升 40%，算力成本降低 35%，核心 P0 级问题发生率由 7% 收敛至 3%。</w:t>
      </w:r>
    </w:p>
    <w:p w14:paraId="02F02147">
      <w:pPr>
        <w:keepNext/>
        <w:spacing w:after="60"/>
        <w:ind w:left="259"/>
      </w:pPr>
      <w:r>
        <w:rPr>
          <w:rFonts w:ascii="Arial" w:hAnsi="Arial" w:eastAsia="STHeiti"/>
          <w:b w:val="0"/>
          <w:i w:val="0"/>
          <w:color w:val="CA9E5D"/>
          <w:sz w:val="17"/>
          <w:shd w:val="clear" w:fill="F1E5D2"/>
        </w:rPr>
        <w:t>项目：</w:t>
      </w:r>
      <w:r>
        <w:rPr>
          <w:rFonts w:ascii="Arial" w:hAnsi="Arial" w:eastAsia="STHeiti"/>
          <w:b/>
          <w:i w:val="0"/>
          <w:color w:val="326474"/>
          <w:sz w:val="20"/>
        </w:rPr>
        <w:t xml:space="preserve">  图生视频镜头语言对齐 SFT 数据</w:t>
      </w:r>
    </w:p>
    <w:p w14:paraId="4A34947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/>
          <w:b/>
          <w:i w:val="0"/>
          <w:color w:val="326474"/>
          <w:sz w:val="20"/>
        </w:rPr>
        <w:t>镜头语义结构化：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围绕图生视频模型对复杂镜头指令响应不稳定的问题，将包含运镜、景别变化和主体跟随关系的自然语言描述，拆解为镜头起止状态、画面变化过程、主体与镜头关系等可验证信息，建立“指令-画面变化-验收标准”的对齐样本设计方式。</w:t>
      </w:r>
    </w:p>
    <w:p w14:paraId="095F40A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模板制定：</w:t>
      </w:r>
      <w:r>
        <w:rPr>
          <w:rFonts w:ascii="Arial" w:hAnsi="Arial" w:eastAsia="STHeiti"/>
          <w:b w:val="0"/>
          <w:i w:val="0"/>
          <w:color w:val="3A3C3F"/>
          <w:sz w:val="20"/>
        </w:rPr>
        <w:t>将图生视频 Prompt 解构为"静态事实层（主体/场景/风格，不可幻觉）+ 动态行为层（主体运动与相机运动解耦）+ 负向约束层（绝对禁止变更属性）"的立体结构，确立全组 SOP 并沉淀为可复用模板库。</w:t>
      </w:r>
    </w:p>
    <w:p w14:paraId="1D4AA30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构建视频数据风控与 Bad Case 阻断机制</w:t>
      </w:r>
      <w:r>
        <w:rPr>
          <w:rFonts w:ascii="Arial" w:hAnsi="Arial" w:eastAsia="STHeiti"/>
          <w:b w:val="0"/>
          <w:i w:val="0"/>
          <w:color w:val="3A3C3F"/>
          <w:sz w:val="20"/>
        </w:rPr>
        <w:t>：引入 Python 自动化校验（字段完整性 100% 保障）+ 人工按比例抽检（重点覆盖运动边界 Case）。建立 5 大类 Bad Case 特征库（含运动不连贯、主体形变、背景闪烁等）当日复盘机制，阻断同类错误衍化。</w:t>
      </w:r>
    </w:p>
    <w:p w14:paraId="4C05F62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业务收益：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高质量交付 2 万组写实类 SFT 训练集，将抽象镜头语言转化为可学习、可质检的结构化监督信号，终验合格率达 96.5%；支撑模型在复杂运镜、主体跟随、景别变化等场景下的理解与生成对齐能力提升，镜头运动判断准确率由 85% 提升至 93%+，团队标注一致性提升至 92%。</w:t>
      </w:r>
    </w:p>
    <w:tbl>
      <w:tblPr>
        <w:tblStyle w:val="3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3"/>
      </w:tblGrid>
      <w:tr w14:paraId="5CDBFC4F">
        <w:trPr>
          <w:jc w:val="center"/>
        </w:trPr>
        <w:tc>
          <w:tcPr>
            <w:tcW w:w="51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457A89"/>
            <w:tcMar>
              <w:top w:w="18" w:type="dxa"/>
              <w:left w:w="90" w:type="dxa"/>
              <w:bottom w:w="18" w:type="dxa"/>
              <w:right w:w="60" w:type="dxa"/>
            </w:tcMar>
          </w:tcPr>
          <w:p w14:paraId="5C84C595">
            <w:pPr>
              <w:keepNext/>
              <w:spacing w:after="0"/>
            </w:pPr>
            <w:r>
              <w:rPr>
                <w:rFonts w:ascii="Arial" w:hAnsi="Arial" w:eastAsia="STHeiti"/>
                <w:b/>
                <w:i w:val="0"/>
                <w:color w:val="FFFFFF"/>
                <w:sz w:val="28"/>
              </w:rPr>
              <w:t>实习经历</w:t>
            </w:r>
          </w:p>
        </w:tc>
        <w:tc>
          <w:tcPr>
            <w:tcW w:w="5162" w:type="dxa"/>
            <w:tcBorders>
              <w:top w:val="nil"/>
              <w:left w:val="nil"/>
              <w:bottom w:val="single" w:color="457A89" w:sz="8" w:space="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CD37B">
            <w:pPr>
              <w:spacing w:after="0"/>
            </w:pPr>
          </w:p>
        </w:tc>
      </w:tr>
    </w:tbl>
    <w:p w14:paraId="10E22EE7">
      <w:pPr>
        <w:keepNext/>
        <w:tabs>
          <w:tab w:val="right" w:pos="10210"/>
        </w:tabs>
        <w:spacing w:before="140" w:after="60"/>
      </w:pPr>
      <w:r>
        <w:rPr>
          <w:rFonts w:ascii="Arial" w:hAnsi="Arial" w:eastAsia="STHeiti"/>
          <w:b/>
          <w:i w:val="0"/>
          <w:color w:val="CA9E5D"/>
          <w:sz w:val="22"/>
        </w:rPr>
        <w:t xml:space="preserve">▌ </w:t>
      </w:r>
      <w:r>
        <w:rPr>
          <w:rFonts w:hint="eastAsia" w:ascii="Arial" w:hAnsi="Arial" w:eastAsia="STHeiti"/>
          <w:b/>
          <w:i w:val="0"/>
          <w:color w:val="326474"/>
          <w:sz w:val="21"/>
          <w:lang w:val="en-US" w:eastAsia="zh-CN"/>
        </w:rPr>
        <w:t>小红书</w:t>
      </w:r>
      <w:r>
        <w:rPr>
          <w:rFonts w:ascii="Arial" w:hAnsi="Arial" w:eastAsia="STHeiti"/>
          <w:b/>
          <w:i w:val="0"/>
          <w:color w:val="326474"/>
          <w:sz w:val="21"/>
        </w:rPr>
        <w:t xml:space="preserve"> </w:t>
      </w:r>
      <w:r>
        <w:rPr>
          <w:rFonts w:hint="eastAsia" w:ascii="Arial" w:hAnsi="Arial" w:eastAsia="STHeiti"/>
          <w:b/>
          <w:i w:val="0"/>
          <w:color w:val="326474"/>
          <w:sz w:val="21"/>
        </w:rPr>
        <w:t>多模态视觉数据标注员</w:t>
      </w:r>
      <w:r>
        <w:rPr>
          <w:rFonts w:ascii="Arial" w:hAnsi="Arial" w:eastAsia="STHeiti"/>
          <w:b/>
          <w:i w:val="0"/>
          <w:color w:val="326474"/>
          <w:sz w:val="21"/>
        </w:rPr>
        <w:t>（实习）</w:t>
      </w:r>
      <w:r>
        <w:rPr>
          <w:rFonts w:ascii="Arial" w:hAnsi="Arial" w:eastAsia="STHeiti"/>
          <w:b/>
          <w:i w:val="0"/>
          <w:color w:val="CA9E5D"/>
          <w:sz w:val="19"/>
        </w:rPr>
        <w:tab/>
      </w:r>
      <w:r>
        <w:rPr>
          <w:rFonts w:ascii="Arial" w:hAnsi="Arial" w:eastAsia="STHeiti"/>
          <w:b/>
          <w:i w:val="0"/>
          <w:color w:val="CA9E5D"/>
          <w:sz w:val="19"/>
        </w:rPr>
        <w:t>2024.01 — 2024.06</w:t>
      </w:r>
    </w:p>
    <w:p w14:paraId="2251AB37">
      <w:pPr>
        <w:keepNext/>
        <w:spacing w:after="60"/>
        <w:ind w:left="259"/>
        <w:rPr>
          <w:rFonts w:hint="eastAsia" w:ascii="Arial" w:hAnsi="Arial" w:eastAsia="STHeiti" w:cstheme="minorBidi"/>
          <w:b/>
          <w:i w:val="0"/>
          <w:color w:val="326474"/>
          <w:sz w:val="20"/>
          <w:szCs w:val="22"/>
          <w:lang w:val="en-US" w:eastAsia="en-US" w:bidi="ar-SA"/>
        </w:rPr>
      </w:pPr>
      <w:r>
        <w:rPr>
          <w:rFonts w:ascii="Arial" w:hAnsi="Arial" w:eastAsia="STHeiti"/>
          <w:b w:val="0"/>
          <w:i w:val="0"/>
          <w:color w:val="CA9E5D"/>
          <w:sz w:val="17"/>
          <w:shd w:val="clear" w:fill="F1E5D2"/>
        </w:rPr>
        <w:t>项目：</w:t>
      </w:r>
      <w:r>
        <w:rPr>
          <w:rFonts w:ascii="Arial" w:hAnsi="Arial" w:eastAsia="STHeiti"/>
          <w:b/>
          <w:i w:val="0"/>
          <w:color w:val="326474"/>
          <w:sz w:val="20"/>
        </w:rPr>
        <w:t xml:space="preserve">  </w:t>
      </w:r>
      <w:r>
        <w:rPr>
          <w:rFonts w:hint="eastAsia" w:ascii="Arial" w:hAnsi="Arial" w:eastAsia="STHeiti"/>
          <w:b/>
          <w:i w:val="0"/>
          <w:color w:val="326474"/>
          <w:sz w:val="20"/>
        </w:rPr>
        <w:t>图像美</w:t>
      </w:r>
      <w:r>
        <w:rPr>
          <w:rFonts w:hint="eastAsia" w:ascii="Arial" w:hAnsi="Arial" w:eastAsia="STHeiti" w:cstheme="minorBidi"/>
          <w:b/>
          <w:i w:val="0"/>
          <w:color w:val="326474"/>
          <w:sz w:val="20"/>
          <w:szCs w:val="22"/>
          <w:lang w:val="en-US" w:eastAsia="en-US" w:bidi="ar-SA"/>
        </w:rPr>
        <w:t>学 Caption 数据建设</w:t>
      </w:r>
    </w:p>
    <w:p w14:paraId="37FF34F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</w:pPr>
      <w:r>
        <w:rPr>
          <w:rFonts w:hint="eastAsia" w:ascii="Arial" w:hAnsi="Arial" w:eastAsia="STHeiti" w:cstheme="minorBidi"/>
          <w:b/>
          <w:i w:val="0"/>
          <w:color w:val="326474"/>
          <w:sz w:val="20"/>
          <w:szCs w:val="22"/>
          <w:lang w:val="en-US" w:eastAsia="en-US" w:bidi="ar-SA"/>
        </w:rPr>
        <w:t>视觉美学拆解：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 xml:space="preserve"> 面向 AI 视觉大模型训练场景，围绕人像、写真、商品图、设计图、插画等素材，拆解色彩、构图、光影、风格、氛围等美学特征，完成结构化标签与 Caption 标注。</w:t>
      </w:r>
    </w:p>
    <w:p w14:paraId="643A55A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  <w:rPr>
          <w:rFonts w:hint="eastAsia" w:ascii="Arial" w:hAnsi="Arial" w:eastAsia="STHeiti"/>
          <w:b w:val="0"/>
          <w:i w:val="0"/>
          <w:color w:val="3A3C3F"/>
          <w:sz w:val="20"/>
        </w:rPr>
      </w:pPr>
      <w:r>
        <w:rPr>
          <w:rFonts w:hint="eastAsia"/>
          <w:b/>
          <w:i w:val="0"/>
          <w:color w:val="326474"/>
          <w:sz w:val="20"/>
          <w:lang w:val="en-US" w:eastAsia="zh-CN"/>
        </w:rPr>
        <w:t>高质量图文对构建：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 xml:space="preserve"> 针对普通图片描述缺少审美信息的问题，补充主体、场景、材质、空间关系、光影氛围和艺术风格描述，提升图文数据的信息密度与可训练性。</w:t>
      </w:r>
    </w:p>
    <w:p w14:paraId="2AD4D80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12" w:lineRule="auto"/>
        <w:ind w:left="505" w:hanging="232"/>
        <w:textAlignment w:val="auto"/>
        <w:rPr>
          <w:rFonts w:hint="eastAsia" w:ascii="Arial" w:hAnsi="Arial" w:eastAsia="STHeiti"/>
          <w:b w:val="0"/>
          <w:i w:val="0"/>
          <w:color w:val="3A3C3F"/>
          <w:sz w:val="20"/>
        </w:rPr>
      </w:pPr>
      <w:r>
        <w:rPr>
          <w:rFonts w:hint="eastAsia" w:ascii="Arial" w:hAnsi="Arial" w:eastAsia="STHeiti"/>
          <w:b/>
          <w:i w:val="0"/>
          <w:color w:val="326474"/>
          <w:sz w:val="20"/>
        </w:rPr>
        <w:t>业务收益：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累计参与约 3000 条图片美学图文对数据建设，返修后通过率保持 95%+，支持 AI 修图、图片生成、设计素材生成和提示词优化等业务场景。</w:t>
      </w:r>
    </w:p>
    <w:tbl>
      <w:tblPr>
        <w:tblStyle w:val="32"/>
        <w:tblW w:w="103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2"/>
        <w:gridCol w:w="5163"/>
      </w:tblGrid>
      <w:tr w14:paraId="080E2B1E">
        <w:trPr>
          <w:jc w:val="center"/>
        </w:trPr>
        <w:tc>
          <w:tcPr>
            <w:tcW w:w="51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457A89"/>
            <w:tcMar>
              <w:top w:w="18" w:type="dxa"/>
              <w:left w:w="90" w:type="dxa"/>
              <w:bottom w:w="18" w:type="dxa"/>
              <w:right w:w="60" w:type="dxa"/>
            </w:tcMar>
          </w:tcPr>
          <w:p w14:paraId="4D1C2969">
            <w:pPr>
              <w:keepNext/>
              <w:spacing w:after="0"/>
            </w:pPr>
            <w:r>
              <w:rPr>
                <w:rFonts w:ascii="Arial" w:hAnsi="Arial" w:eastAsia="STHeiti"/>
                <w:b/>
                <w:i w:val="0"/>
                <w:color w:val="FFFFFF"/>
                <w:sz w:val="28"/>
              </w:rPr>
              <w:t>专业技能</w:t>
            </w:r>
          </w:p>
        </w:tc>
        <w:tc>
          <w:tcPr>
            <w:tcW w:w="5162" w:type="dxa"/>
            <w:tcBorders>
              <w:top w:val="nil"/>
              <w:left w:val="nil"/>
              <w:bottom w:val="single" w:color="457A89" w:sz="8" w:space="0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BB890">
            <w:pPr>
              <w:spacing w:after="0"/>
            </w:pPr>
          </w:p>
        </w:tc>
      </w:tr>
    </w:tbl>
    <w:p w14:paraId="7CB8057A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textAlignment w:val="auto"/>
      </w:pPr>
    </w:p>
    <w:p w14:paraId="7B5F68E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视频生成模型与多模态架构认知：</w:t>
      </w:r>
      <w:r>
        <w:rPr>
          <w:rFonts w:ascii="Arial" w:hAnsi="Arial" w:eastAsia="STHeiti"/>
          <w:b w:val="0"/>
          <w:i w:val="0"/>
          <w:color w:val="3A3C3F"/>
          <w:sz w:val="20"/>
        </w:rPr>
        <w:t>深入理解 Diffusion/DiT 视频生成模型的数据诉求；精通 SFT/RLHF 在 Alignment 阶段的数据策略差异；具备高阶 Prompt Engineering 与 Negative Prompt 设计能力；熟悉视频数据的时序–空间–语义三维建模逻辑。</w:t>
      </w:r>
    </w:p>
    <w:p w14:paraId="15AA37F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视频质量评估维度体系：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具备图生视频模型、VLM 视频理解等评测经验，能够围绕画面质量、运动合理性、主体一致性和领域知识准确性设计评分规则、盲评流程与 Bad Case 归因，支持模型迭代与上线决策。</w:t>
      </w:r>
    </w:p>
    <w:p w14:paraId="2B43433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AI 自动化与工具：</w:t>
      </w:r>
      <w:r>
        <w:rPr>
          <w:rFonts w:ascii="Arial" w:hAnsi="Arial" w:eastAsia="STHeiti"/>
          <w:b w:val="0"/>
          <w:i w:val="0"/>
          <w:color w:val="3A3C3F"/>
          <w:sz w:val="20"/>
        </w:rPr>
        <w:t>熟练使用 Python 进行 Pandas 数据清洗、字段完整性校验、正则规则扫描和质检结果统计；熟悉 Coze /Dify Agent工作流搭建，可用于高风险样本初筛、规则命中统计和质检结果汇总，具备基础 Git 协作能力。</w:t>
      </w:r>
    </w:p>
    <w:p w14:paraId="2B1DD787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数据治理方法论：</w:t>
      </w:r>
      <w:r>
        <w:rPr>
          <w:rFonts w:ascii="Arial" w:hAnsi="Arial" w:eastAsia="STHeiti"/>
          <w:b w:val="0"/>
          <w:i w:val="0"/>
          <w:color w:val="3A3C3F"/>
          <w:sz w:val="20"/>
        </w:rPr>
        <w:t>精通 Calibration 一致性校准、Bad Case 归因建模、分层评测体系构建、SOP 敏捷迭代；具备从 0 到 1 搭建数据质量管线的体系化能力。</w:t>
      </w:r>
    </w:p>
    <w:p w14:paraId="06EE1B8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ascii="Arial" w:hAnsi="Arial" w:eastAsia="STHeiti"/>
          <w:b/>
          <w:i w:val="0"/>
          <w:color w:val="326474"/>
          <w:sz w:val="20"/>
        </w:rPr>
        <w:t>跨团队协同与标准输出：</w:t>
      </w:r>
      <w:r>
        <w:rPr>
          <w:rFonts w:hint="eastAsia" w:ascii="Arial" w:hAnsi="Arial" w:eastAsia="STHeiti"/>
          <w:b w:val="0"/>
          <w:i w:val="0"/>
          <w:color w:val="3A3C3F"/>
          <w:sz w:val="20"/>
        </w:rPr>
        <w:t>具备算法、产品、数据团队协作经验，能够输出评测报告、数据标准文档、标注 SOP、Bad Case 归因分析等交付物，支持模型迭代、产品决策与数据策略优化。</w:t>
      </w:r>
    </w:p>
    <w:p w14:paraId="5A2C240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left="505" w:hanging="232"/>
        <w:textAlignment w:val="auto"/>
      </w:pPr>
      <w:r>
        <w:rPr>
          <w:rFonts w:hint="eastAsia"/>
        </w:rPr>
        <w:t>https://xingyakai-portfolio.pages.dev/</w:t>
      </w:r>
    </w:p>
    <w:p w14:paraId="0084FCFB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firstLine="400" w:firstLineChars="200"/>
        <w:textAlignment w:val="auto"/>
      </w:pPr>
    </w:p>
    <w:p w14:paraId="50871472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8" w:line="312" w:lineRule="auto"/>
        <w:ind w:firstLine="400" w:firstLineChars="200"/>
        <w:textAlignment w:val="auto"/>
      </w:pPr>
    </w:p>
    <w:sectPr>
      <w:pgSz w:w="11909" w:h="16834"/>
      <w:pgMar w:top="403" w:right="792" w:bottom="518" w:left="792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EEDDD2"/>
    <w:rsid w:val="1FFE43F3"/>
    <w:rsid w:val="2352ED29"/>
    <w:rsid w:val="25FF8E7E"/>
    <w:rsid w:val="361F325B"/>
    <w:rsid w:val="3BBDDCF8"/>
    <w:rsid w:val="3D97C43F"/>
    <w:rsid w:val="3DDE5AB5"/>
    <w:rsid w:val="3F0E7B3E"/>
    <w:rsid w:val="4EB4361B"/>
    <w:rsid w:val="53E56576"/>
    <w:rsid w:val="5576C78E"/>
    <w:rsid w:val="570B2750"/>
    <w:rsid w:val="596A6009"/>
    <w:rsid w:val="5BF72A78"/>
    <w:rsid w:val="5BFF4765"/>
    <w:rsid w:val="5CFB5A35"/>
    <w:rsid w:val="5EC2E248"/>
    <w:rsid w:val="5F07A6A0"/>
    <w:rsid w:val="66BB9963"/>
    <w:rsid w:val="66FBFA43"/>
    <w:rsid w:val="677F6E56"/>
    <w:rsid w:val="67BEA5FB"/>
    <w:rsid w:val="6BFF3A9A"/>
    <w:rsid w:val="6D6F071A"/>
    <w:rsid w:val="6FD65083"/>
    <w:rsid w:val="6FF2E85C"/>
    <w:rsid w:val="6FF7D031"/>
    <w:rsid w:val="6FFD2E67"/>
    <w:rsid w:val="74BF29DD"/>
    <w:rsid w:val="777B724A"/>
    <w:rsid w:val="77BB7655"/>
    <w:rsid w:val="7D3FF7AC"/>
    <w:rsid w:val="7ED31E93"/>
    <w:rsid w:val="7EDA2EB7"/>
    <w:rsid w:val="7F3F1462"/>
    <w:rsid w:val="7F7BE8A3"/>
    <w:rsid w:val="7FDA2289"/>
    <w:rsid w:val="7FF72E9D"/>
    <w:rsid w:val="7FFF104C"/>
    <w:rsid w:val="9BFB0704"/>
    <w:rsid w:val="ACB523F5"/>
    <w:rsid w:val="AFCE2C26"/>
    <w:rsid w:val="B6FE970C"/>
    <w:rsid w:val="B7FD4DAD"/>
    <w:rsid w:val="BA673A78"/>
    <w:rsid w:val="BD07C65F"/>
    <w:rsid w:val="BDB50557"/>
    <w:rsid w:val="BEDD14CD"/>
    <w:rsid w:val="C7BFA537"/>
    <w:rsid w:val="CDEFE349"/>
    <w:rsid w:val="CE777253"/>
    <w:rsid w:val="D7772B74"/>
    <w:rsid w:val="DC1F85F8"/>
    <w:rsid w:val="DF75D1D3"/>
    <w:rsid w:val="DFBDDBBE"/>
    <w:rsid w:val="E5DB6679"/>
    <w:rsid w:val="E7EF308A"/>
    <w:rsid w:val="EAE77AA7"/>
    <w:rsid w:val="EB136B49"/>
    <w:rsid w:val="EB758716"/>
    <w:rsid w:val="ED9F7768"/>
    <w:rsid w:val="EFF5136D"/>
    <w:rsid w:val="F1A750A9"/>
    <w:rsid w:val="F1DC4188"/>
    <w:rsid w:val="F3D92668"/>
    <w:rsid w:val="F6771382"/>
    <w:rsid w:val="FB7F306B"/>
    <w:rsid w:val="FCFBFA58"/>
    <w:rsid w:val="FDFEC13E"/>
    <w:rsid w:val="FF4EB2E0"/>
    <w:rsid w:val="FF7FC52F"/>
    <w:rsid w:val="FFE73D8F"/>
    <w:rsid w:val="FFF3D1B4"/>
    <w:rsid w:val="FFFC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STHeiti" w:cstheme="minorBidi"/>
      <w:color w:val="3A3C3F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STHeiti"/>
      <w:sz w:val="20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  <w:rPr>
      <w:rFonts w:ascii="Arial" w:hAnsi="Arial" w:eastAsia="STHeiti"/>
      <w:sz w:val="2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2447</Words>
  <Characters>2773</Characters>
  <Lines>0</Lines>
  <Paragraphs>0</Paragraphs>
  <TotalTime>0</TotalTime>
  <ScaleCrop>false</ScaleCrop>
  <LinksUpToDate>false</LinksUpToDate>
  <CharactersWithSpaces>3080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2013-12-26T23:15:00Z</dcterms:created>
  <dc:creator>python-docx</dc:creator>
  <dc:description>generated by python-docx</dc:description>
  <cp:lastModifiedBy>咚咚咚</cp:lastModifiedBy>
  <dcterms:modified xsi:type="dcterms:W3CDTF">2026-07-07T17:52:46Z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910F255222253BF732CA176A5B446795_43</vt:lpwstr>
  </property>
</Properties>
</file>