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智能纪要：1.如何读懂DISC(家庭&amp;校园)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会议主题：1.如何读懂DISC(家庭&amp;校园)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21:56 （GMT+08）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29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本次会议围绕道全能学业规划师初级课程展开，主要学习如何读懂 DISC 报告，涉及报告场景、各板块内容解读、不同 DISC 类型相处方式及特殊报告情况处理等内容，具体如下：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课程与报告概述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课程场景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场景划分：DISC 在系统中分为家庭、校园、工作三个场景，学习力赛道核心聚焦家庭和校园场景，因二者底层理论和报告框架相近，本次课程将二者混合讲解。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报告查看：打开客户成长档案，可选择查看摘要或完整报告，完整报告可在线查阅、下载或打印。为保护隐私，课程使用名字处理后的真实报告讲解。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DISC 理论</w:t>
      </w:r>
      <w:r>
        <w:rPr>
          <w:rFonts w:eastAsia="等线" w:ascii="Arial" w:cs="Arial" w:hAnsi="Arial"/>
          <w:sz w:val="22"/>
        </w:rPr>
        <w:t>：DISC 理论源于美国著名心理学家威廉马斯顿博士，他的重要发明包括测谎仪和《常人的情绪》一书，该理论反映人面对事情的本能反应。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报告基本情况解读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三幅图含义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真实的我：代表客户独自相处时的状态。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家庭/校园中的我：分别指客户在家庭中与家人、孩子相处，或孩子在学校与同学、老师相处的行为表现。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压力下的我：表示客户在家庭或校园场景中遇到压力时的行为表现。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中位线与动物头像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中位线意义：三幅图中间的线为中位线，中位线以上位置越高的动物头像，其代表的行为表现越明显；中位线以下的特征相对不明显。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字母含义：D 代表权威、掌控，对应老虎；I 代表影响力，对应孔雀；S 代表稳定、稳健，对应考拉；C 代表遵从、服从，对应猫头鹰。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8001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DISC各类型核心特征对比</w:t>
              <w:br/>
            </w:r>
          </w:p>
        </w:tc>
      </w:tr>
    </w:tbl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高低位置含义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 的高低含义：D 在高位时推动力强，在低位时配合性好。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 的高低含义：I 在高位时表现欲和沟通表达欲强，在低位时喜欢沉默。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 的高低含义：S 在高位时保守求稳，在低位时多变、拥抱变化。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 的高低含义：C 在高位时细致、追求逻辑，在低位时敢于违抗条条框框，不喜欢被束缚。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报告其他板块解读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文字解释与对比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文字解释：报告以文字形式对客户情况进行解释，与图形中最高和最低表现程度对应，便于二次理解，但实际解读后期可能主要用图形。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三幅图对比：对真实的我、家庭中的我、压力下的我三幅图进行对比解读，分析客户个性和行为表现的变化，中级和高级课程会深入讲解。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消极因素与沟通方式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消极因素：报告指出客户可能避免的消极因素，如不喜欢被他人拒绝、批评。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激励因素：明确客户可能想要的激励因素，如得到别人认可。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沟通方式：提供客户可能倾向的沟通方式，帮助老师与家长破冰和前期沟通。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特征词与形象印象</w:t>
      </w:r>
      <w:r>
        <w:rPr>
          <w:rFonts w:eastAsia="等线" w:ascii="Arial" w:cs="Arial" w:hAnsi="Arial"/>
          <w:sz w:val="22"/>
        </w:rPr>
        <w:t>：系统抓取客户特征词，帮助老师对客户行为和形象有大概印象，初级老师先解读最高位字母。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阻碍与解决办法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阻碍分析：客户的阻碍指其未意识到的盲区，如心比脑快、表扬他人不走心等。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解决办法：需告知客户不仅要关注表达欲，还要倾听他人，强调情绪控制的重要性。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相处方式</w:t>
      </w:r>
      <w:r>
        <w:rPr>
          <w:rFonts w:eastAsia="等线" w:ascii="Arial" w:cs="Arial" w:hAnsi="Arial"/>
          <w:sz w:val="22"/>
        </w:rPr>
        <w:t>：建议将家长的 DISC 与孩子的 DISC 对比，分析不同类型家长与孩子相处可能出现的问题及建议，如 I 型家长与 I 型孩子易彼此欣赏但可能因倾听问题产生隔阂。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孩子 DISC 报告特点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特殊之处</w:t>
      </w:r>
      <w:r>
        <w:rPr>
          <w:rFonts w:eastAsia="等线" w:ascii="Arial" w:cs="Arial" w:hAnsi="Arial"/>
          <w:sz w:val="22"/>
        </w:rPr>
        <w:t>：孩子的 DISC 报告与家长报告不同，会给出孩子期望的相处方式、激励方式和喜欢的老师类型，如喜欢受欢迎、站在舞台中央、获得奖状等，喜欢民主、像朋友一样的老师或孔雀型老师。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结合学习力</w:t>
      </w:r>
      <w:r>
        <w:rPr>
          <w:rFonts w:eastAsia="等线" w:ascii="Arial" w:cs="Arial" w:hAnsi="Arial"/>
          <w:sz w:val="22"/>
        </w:rPr>
        <w:t>：报告结论需结合完整解读和学习力交叉分析，以确定孩子是否真正喜欢某种方式。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特殊报告情况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无法生成原因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调整选项：客户可能因心理疏导不足，有意无意调整选项，不想真实回答。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理解问题：四五年级以下孩子可能因阅读量不够，无法理解测评词语，但三年级以上孩子大多能读懂。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答题干扰：答题过程中可能因电话、他人打扰等受到干扰。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思考过长：答题未凭第一直觉，思考时间过长，可能未真实回答。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解决办法</w:t>
      </w:r>
      <w:r>
        <w:rPr>
          <w:rFonts w:eastAsia="等线" w:ascii="Arial" w:cs="Arial" w:hAnsi="Arial"/>
          <w:sz w:val="22"/>
        </w:rPr>
        <w:t>：遇到特殊报告情况，需对客户进行心理疏导，说明测评目的和报告价值，建议客户重新测评。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道全能学业规划初级课：读懂DISC报告讲解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本章节为道全能学业规划师初级课程，聚焦如何读懂 DISC 报告。该报告在系统中有家庭、校园、工作三个场景，学习力赛道侧重家庭和校园场景。会用处理过姓名的真实报告讲解，还介绍可在系统查看或下载报告。此外，科普了 DISC 理论，其源于美国心理学家威廉马斯顿博士，结合了他的测谎仪和《常人的情绪》。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02:31</w:t>
        </w:r>
      </w:hyperlink>
      <w:r>
        <w:rPr>
          <w:rFonts w:eastAsia="等线" w:ascii="Arial" w:cs="Arial" w:hAnsi="Arial"/>
          <w:b w:val="true"/>
          <w:sz w:val="22"/>
        </w:rPr>
        <w:t xml:space="preserve">  报告基本情况解读及图中行为特征含义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报告第一个板块“基本情况解读”，其中有三幅图，分别是“真实的我”“家庭中的我”“校园中的我”和“压力下的我”，展示客户不同场景下行为表现。三幅图中间有中位线，中位线以上越高位置的动物头像，对应行为表现越明显，还提及如ISC有三个动物表现，i特征最明显，最后引出四个字母含义的疑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05:11</w:t>
        </w:r>
      </w:hyperlink>
      <w:r>
        <w:rPr>
          <w:rFonts w:eastAsia="等线" w:ascii="Arial" w:cs="Arial" w:hAnsi="Arial"/>
          <w:b w:val="true"/>
          <w:sz w:val="22"/>
        </w:rPr>
        <w:t xml:space="preserve">  DISC四个字母代表含义及对应动物介绍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四个字母代表的含义及对应动物。d代表权威、追求掌控，对应老虎；i代表追求影响力，对应孔雀；s代表稳定型（稳健型），对应考拉；c代表遵从型（服从型），追求按规章制度和流程做事，对应猫头鹰。还提及后续会涉及高低相关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07:03</w:t>
        </w:r>
      </w:hyperlink>
      <w:r>
        <w:rPr>
          <w:rFonts w:eastAsia="等线" w:ascii="Arial" w:cs="Arial" w:hAnsi="Arial"/>
          <w:b w:val="true"/>
          <w:sz w:val="22"/>
        </w:rPr>
        <w:t xml:space="preserve">  初级老师记忆DISC高低位置含义建议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建议初级认证老师简单记忆各字母最高和最低位置的意思，综合性解读会在中级课程讲解。分别介绍了不同字母在高低位置的含义，如D在高位代表权威性、推动力强，低位表示配合性好；I高位表现欲强、话多，低位喜欢沉默等，记住这些能降低理解成本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10:15</w:t>
        </w:r>
      </w:hyperlink>
      <w:r>
        <w:rPr>
          <w:rFonts w:eastAsia="等线" w:ascii="Arial" w:cs="Arial" w:hAnsi="Arial"/>
          <w:b w:val="true"/>
          <w:sz w:val="22"/>
        </w:rPr>
        <w:t xml:space="preserve">  报告智能化解读及客户DISC特征分析说明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本章节介绍报告解读情况，称报告智能化且将客户情况以文字呈现。还对程度最高和最低表现做解释，说明 DISC 各字母倾向度不同，会有文字解释。提到解读初期可能用下面解释图，熟练后多用上面核心图。以某客户为例，分析其不同字母占比对应特性，解释看似矛盾情况因占比不同。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13:05</w:t>
        </w:r>
      </w:hyperlink>
      <w:r>
        <w:rPr>
          <w:rFonts w:eastAsia="等线" w:ascii="Arial" w:cs="Arial" w:hAnsi="Arial"/>
          <w:b w:val="true"/>
          <w:sz w:val="22"/>
        </w:rPr>
        <w:t xml:space="preserve">  家长沟通的消极与激励因素及方式建议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要关注避免的消极因素和激励因素以助老师与家长沟通。消极因素指家长不喜欢被他人拒绝或批评，若提出方案不希望被直接指出问题；激励因素是家长喜欢得到别人认可。还提及家长倾向的沟通方式，有助于老师与家长破冰及进行前期沟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14:36</w:t>
        </w:r>
      </w:hyperlink>
      <w:r>
        <w:rPr>
          <w:rFonts w:eastAsia="等线" w:ascii="Arial" w:cs="Arial" w:hAnsi="Arial"/>
          <w:b w:val="true"/>
          <w:sz w:val="22"/>
        </w:rPr>
        <w:t xml:space="preserve">  dissco特征词作用及家长类型解读建议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dissco给出程度词特征词，旨在助大家快速了解客户大概行为或形象，此板块无需过多解读。以系统抓取的家长ISC为例，建议初级老师先解读最高位字母，因有些可能存在前后矛盾难以讲清，中级和高级课程会帮助大家掌握更合适的描述用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15:35</w:t>
        </w:r>
      </w:hyperlink>
      <w:r>
        <w:rPr>
          <w:rFonts w:eastAsia="等线" w:ascii="Arial" w:cs="Arial" w:hAnsi="Arial"/>
          <w:b w:val="true"/>
          <w:sz w:val="22"/>
        </w:rPr>
        <w:t xml:space="preserve">  三幅图对比解读真实、家庭、压力下的“我”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三幅图对比解读内容。首先讲真实的我，包括个性、行为表现等，提到家长不喜欢决策或需与人商量；接着对比家庭中的我与真实的我，家庭中少了猫头鹰元素，没那么遵从服从；最后对比压力下的我和真实的我，压力下考拉排序变化，系统会自动给出解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17:59</w:t>
        </w:r>
      </w:hyperlink>
      <w:r>
        <w:rPr>
          <w:rFonts w:eastAsia="等线" w:ascii="Arial" w:cs="Arial" w:hAnsi="Arial"/>
          <w:b w:val="true"/>
          <w:sz w:val="22"/>
        </w:rPr>
        <w:t xml:space="preserve">  客户特殊情况提醒及课程解读要求说明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若客户遇到特殊情况会有提醒，如显示客户有挫折感、压力，原因是个人情绪而非家庭或工作，这可为与客户破冰提供话题。还提到报告中有特殊图形，中级课程会深入讲解解读方法，初级课程学员能看懂报告即可，因深入解读学习周期较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19:00</w:t>
        </w:r>
      </w:hyperlink>
      <w:r>
        <w:rPr>
          <w:rFonts w:eastAsia="等线" w:ascii="Arial" w:cs="Arial" w:hAnsi="Arial"/>
          <w:b w:val="true"/>
          <w:sz w:val="22"/>
        </w:rPr>
        <w:t xml:space="preserve">  第三个板块：客户发展阻碍、知识及盲区分析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第三个板块，探讨客户的阻碍与所需知识。指出性格无对错，每个人有优势也有盲区，阻碍更多指未意识到的盲区。还提到需他人告知问题及解决办法，并举例说明客户的盲区，如心比脑快、说话不经思考、表扬他人不走心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20:45</w:t>
        </w:r>
      </w:hyperlink>
      <w:r>
        <w:rPr>
          <w:rFonts w:eastAsia="等线" w:ascii="Arial" w:cs="Arial" w:hAnsi="Arial"/>
          <w:b w:val="true"/>
          <w:sz w:val="22"/>
        </w:rPr>
        <w:t xml:space="preserve">  DISC图形不同，需指导孔雀型人倾听与情绪控制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帮助他人解决问题的要点，提及不能仅关注自身表达欲和表现欲，还要学会倾听别人，同时强调向其说明情绪控制的重要性，指出孔雀型的人可能存在情绪化问题，此外还提到不同的DISC图形呈现结果也有所不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21:19</w:t>
        </w:r>
      </w:hyperlink>
      <w:r>
        <w:rPr>
          <w:rFonts w:eastAsia="等线" w:ascii="Arial" w:cs="Arial" w:hAnsi="Arial"/>
          <w:b w:val="true"/>
          <w:sz w:val="22"/>
        </w:rPr>
        <w:t xml:space="preserve">  结合家长与孩子DISC类型探讨相处方式及调整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告知家长与不同类型DISC孩子相处的方式，建议将家长和孩子的DISC类型对比来看。以I型家长为例，讲解其与D型、I型孩子相处可能出现的问题及建议。如I型家长和I型孩子易彼此欣赏包容，但倾听不足易产生隔阂，还提及要思考如何调整，此板块需结合孩子的DISC类型运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22:44</w:t>
        </w:r>
      </w:hyperlink>
      <w:r>
        <w:rPr>
          <w:rFonts w:eastAsia="等线" w:ascii="Arial" w:cs="Arial" w:hAnsi="Arial"/>
          <w:b w:val="true"/>
          <w:sz w:val="22"/>
        </w:rPr>
        <w:t xml:space="preserve">  测评理论介绍及对家长和老师的要求说明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本章节提到最后会对测评进行介绍，包括其理论来源和大概意思。若家长有需要可查看相关内容。对于老师而言，只需大概记住这一板块内容，在家长询问时能做出大致回答即可。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23:10</w:t>
        </w:r>
      </w:hyperlink>
      <w:r>
        <w:rPr>
          <w:rFonts w:eastAsia="等线" w:ascii="Arial" w:cs="Arial" w:hAnsi="Arial"/>
          <w:b w:val="true"/>
          <w:sz w:val="22"/>
        </w:rPr>
        <w:t xml:space="preserve">  最后一块内容为科学家介绍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本章节提及最后一部分内容是关于一位科学家的介绍，但转录文本未给出该科学家的具体信息，仅点明了此部分主题为科学家介绍。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23:15</w:t>
        </w:r>
      </w:hyperlink>
      <w:r>
        <w:rPr>
          <w:rFonts w:eastAsia="等线" w:ascii="Arial" w:cs="Arial" w:hAnsi="Arial"/>
          <w:b w:val="true"/>
          <w:sz w:val="22"/>
        </w:rPr>
        <w:t xml:space="preserve">  孩子 DISC 解读与家长的差异及教学适配建议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孩子的disc解读，其与家长的disc解读类似但有不同。孩子的解读多了建议，包括与孩子相处方式、期望的激励方式，如讨论梦想、享受受欢迎等。不过结论需结合完整解读与学习力判断。还提到可根据孩子喜好匹配民主、像孔雀型的老师，若没有则老师要根据情况调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25:28</w:t>
        </w:r>
      </w:hyperlink>
      <w:r>
        <w:rPr>
          <w:rFonts w:eastAsia="等线" w:ascii="Arial" w:cs="Arial" w:hAnsi="Arial"/>
          <w:b w:val="true"/>
          <w:sz w:val="22"/>
        </w:rPr>
        <w:t xml:space="preserve">  DISC报告无法生成的原因及应对建议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 DISC 报告给出建议，以案例说明可能无法生成报告的原因，包括有意无意调整选项、未理解测评词语、答题受干扰、未凭直觉且思考过久。其中未理解词语多见于低龄孩子，答题受干扰情况较少。若遇此类情况，建议对客户心理疏导，说明测评目的与报告价值，让其再测一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课程介绍</w:t>
      </w:r>
      <w:r>
        <w:rPr>
          <w:rFonts w:eastAsia="等线" w:ascii="Arial" w:cs="Arial" w:hAnsi="Arial"/>
          <w:sz w:val="22"/>
        </w:rPr>
        <w:t>：初级课程学习读懂 DISC 报告，聚焦家庭和校园场景。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理论科普</w:t>
      </w:r>
      <w:r>
        <w:rPr>
          <w:rFonts w:eastAsia="等线" w:ascii="Arial" w:cs="Arial" w:hAnsi="Arial"/>
          <w:sz w:val="22"/>
        </w:rPr>
        <w:t>：DISC 理论源于美国心理学家威廉马斯顿博士，结合测谎仪和《常人的情绪》，测人的本能反应。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报告解读</w:t>
      </w:r>
      <w:r>
        <w:rPr>
          <w:rFonts w:eastAsia="等线" w:ascii="Arial" w:cs="Arial" w:hAnsi="Arial"/>
          <w:sz w:val="22"/>
        </w:rPr>
        <w:t>：报告包含基本情况、文字解释、三图对比、阻碍与知识、相处方式等板块，初级老师先解读最高位字母。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特殊情况</w:t>
      </w:r>
      <w:r>
        <w:rPr>
          <w:rFonts w:eastAsia="等线" w:ascii="Arial" w:cs="Arial" w:hAnsi="Arial"/>
          <w:sz w:val="22"/>
        </w:rPr>
        <w:t>：报告可能因多种原因无法生成，建议对客户心理疏导后重测。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「性格是没有对错的，每一个人都有他自己的发光点，就像一个小太阳一样，有他自己的优势，光芒越大，阴影（盲区）也会越大。」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形象地阐述了性格优势与盲区的关系，具有独特洞察，能引发对性格的思考。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「帮助客户解决问题，不仅要关注自己的表达欲、表现欲，更要倾听别人，同时强调情绪控制的重要性。」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针对帮助客户解决问题提出了具体且有建设性的观点，对实际工作有指导意义。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「i 型的父母和 i 型的孩子比较容易彼此欣赏，也比较容易彼此包容，但是如果都不怎么去倾听，只关注自己讲，就可能容易产生隔阂。」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通过具体的 DISC 类型，指出亲子相处中倾听的重要性，观点新颖，能引发共鸣。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1.如何读懂DISC(家庭&amp;校园)</w:t>
        </w:r>
      </w:hyperlink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1.如何读懂DISC(家庭&amp;校园) 2026年1月22日</w:t>
        </w:r>
      </w:hyperlink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9081">
    <w:lvl>
      <w:numFmt w:val="bullet"/>
      <w:suff w:val="tab"/>
      <w:lvlText w:val="•"/>
      <w:rPr>
        <w:color w:val="3370ff"/>
      </w:rPr>
    </w:lvl>
  </w:abstractNum>
  <w:abstractNum w:abstractNumId="909082">
    <w:lvl>
      <w:numFmt w:val="bullet"/>
      <w:suff w:val="tab"/>
      <w:lvlText w:val="￮"/>
      <w:rPr>
        <w:color w:val="3370ff"/>
      </w:rPr>
    </w:lvl>
  </w:abstractNum>
  <w:abstractNum w:abstractNumId="909083">
    <w:lvl>
      <w:numFmt w:val="bullet"/>
      <w:suff w:val="tab"/>
      <w:lvlText w:val="▪"/>
      <w:rPr>
        <w:color w:val="3370ff"/>
        <w:sz w:val="11"/>
      </w:rPr>
    </w:lvl>
  </w:abstractNum>
  <w:abstractNum w:abstractNumId="909084">
    <w:lvl>
      <w:numFmt w:val="bullet"/>
      <w:suff w:val="tab"/>
      <w:lvlText w:val="▪"/>
      <w:rPr>
        <w:color w:val="3370ff"/>
        <w:sz w:val="11"/>
      </w:rPr>
    </w:lvl>
  </w:abstractNum>
  <w:abstractNum w:abstractNumId="909085">
    <w:lvl>
      <w:numFmt w:val="bullet"/>
      <w:suff w:val="tab"/>
      <w:lvlText w:val="￮"/>
      <w:rPr>
        <w:color w:val="3370ff"/>
      </w:rPr>
    </w:lvl>
  </w:abstractNum>
  <w:abstractNum w:abstractNumId="909086">
    <w:lvl>
      <w:numFmt w:val="bullet"/>
      <w:suff w:val="tab"/>
      <w:lvlText w:val="•"/>
      <w:rPr>
        <w:color w:val="3370ff"/>
      </w:rPr>
    </w:lvl>
  </w:abstractNum>
  <w:abstractNum w:abstractNumId="909087">
    <w:lvl>
      <w:numFmt w:val="bullet"/>
      <w:suff w:val="tab"/>
      <w:lvlText w:val="￮"/>
      <w:rPr>
        <w:color w:val="3370ff"/>
      </w:rPr>
    </w:lvl>
  </w:abstractNum>
  <w:abstractNum w:abstractNumId="909088">
    <w:lvl>
      <w:numFmt w:val="bullet"/>
      <w:suff w:val="tab"/>
      <w:lvlText w:val="▪"/>
      <w:rPr>
        <w:color w:val="3370ff"/>
        <w:sz w:val="11"/>
      </w:rPr>
    </w:lvl>
  </w:abstractNum>
  <w:abstractNum w:abstractNumId="909089">
    <w:lvl>
      <w:numFmt w:val="bullet"/>
      <w:suff w:val="tab"/>
      <w:lvlText w:val="▪"/>
      <w:rPr>
        <w:color w:val="3370ff"/>
        <w:sz w:val="11"/>
      </w:rPr>
    </w:lvl>
  </w:abstractNum>
  <w:abstractNum w:abstractNumId="909090">
    <w:lvl>
      <w:numFmt w:val="bullet"/>
      <w:suff w:val="tab"/>
      <w:lvlText w:val="▪"/>
      <w:rPr>
        <w:color w:val="3370ff"/>
        <w:sz w:val="11"/>
      </w:rPr>
    </w:lvl>
  </w:abstractNum>
  <w:abstractNum w:abstractNumId="909091">
    <w:lvl>
      <w:numFmt w:val="bullet"/>
      <w:suff w:val="tab"/>
      <w:lvlText w:val="￮"/>
      <w:rPr>
        <w:color w:val="3370ff"/>
      </w:rPr>
    </w:lvl>
  </w:abstractNum>
  <w:abstractNum w:abstractNumId="909092">
    <w:lvl>
      <w:numFmt w:val="bullet"/>
      <w:suff w:val="tab"/>
      <w:lvlText w:val="•"/>
      <w:rPr>
        <w:color w:val="3370ff"/>
      </w:rPr>
    </w:lvl>
  </w:abstractNum>
  <w:abstractNum w:abstractNumId="909093">
    <w:lvl>
      <w:numFmt w:val="bullet"/>
      <w:suff w:val="tab"/>
      <w:lvlText w:val="•"/>
      <w:rPr>
        <w:color w:val="3370ff"/>
      </w:rPr>
    </w:lvl>
  </w:abstractNum>
  <w:abstractNum w:abstractNumId="909094">
    <w:lvl>
      <w:numFmt w:val="bullet"/>
      <w:suff w:val="tab"/>
      <w:lvlText w:val="￮"/>
      <w:rPr>
        <w:color w:val="3370ff"/>
      </w:rPr>
    </w:lvl>
  </w:abstractNum>
  <w:abstractNum w:abstractNumId="909095">
    <w:lvl>
      <w:numFmt w:val="bullet"/>
      <w:suff w:val="tab"/>
      <w:lvlText w:val="▪"/>
      <w:rPr>
        <w:color w:val="3370ff"/>
        <w:sz w:val="11"/>
      </w:rPr>
    </w:lvl>
  </w:abstractNum>
  <w:abstractNum w:abstractNumId="909096">
    <w:lvl>
      <w:numFmt w:val="bullet"/>
      <w:suff w:val="tab"/>
      <w:lvlText w:val="▪"/>
      <w:rPr>
        <w:color w:val="3370ff"/>
        <w:sz w:val="11"/>
      </w:rPr>
    </w:lvl>
  </w:abstractNum>
  <w:abstractNum w:abstractNumId="909097">
    <w:lvl>
      <w:numFmt w:val="bullet"/>
      <w:suff w:val="tab"/>
      <w:lvlText w:val="▪"/>
      <w:rPr>
        <w:color w:val="3370ff"/>
        <w:sz w:val="11"/>
      </w:rPr>
    </w:lvl>
  </w:abstractNum>
  <w:abstractNum w:abstractNumId="909098">
    <w:lvl>
      <w:numFmt w:val="bullet"/>
      <w:suff w:val="tab"/>
      <w:lvlText w:val="▪"/>
      <w:rPr>
        <w:color w:val="3370ff"/>
        <w:sz w:val="11"/>
      </w:rPr>
    </w:lvl>
  </w:abstractNum>
  <w:abstractNum w:abstractNumId="909099">
    <w:lvl>
      <w:numFmt w:val="bullet"/>
      <w:suff w:val="tab"/>
      <w:lvlText w:val="•"/>
      <w:rPr>
        <w:color w:val="3370ff"/>
      </w:rPr>
    </w:lvl>
  </w:abstractNum>
  <w:abstractNum w:abstractNumId="909100">
    <w:lvl>
      <w:numFmt w:val="bullet"/>
      <w:suff w:val="tab"/>
      <w:lvlText w:val="￮"/>
      <w:rPr>
        <w:color w:val="3370ff"/>
      </w:rPr>
    </w:lvl>
  </w:abstractNum>
  <w:abstractNum w:abstractNumId="909101">
    <w:lvl>
      <w:numFmt w:val="bullet"/>
      <w:suff w:val="tab"/>
      <w:lvlText w:val="▪"/>
      <w:rPr>
        <w:color w:val="3370ff"/>
        <w:sz w:val="11"/>
      </w:rPr>
    </w:lvl>
  </w:abstractNum>
  <w:abstractNum w:abstractNumId="909102">
    <w:lvl>
      <w:numFmt w:val="bullet"/>
      <w:suff w:val="tab"/>
      <w:lvlText w:val="▪"/>
      <w:rPr>
        <w:color w:val="3370ff"/>
        <w:sz w:val="11"/>
      </w:rPr>
    </w:lvl>
  </w:abstractNum>
  <w:abstractNum w:abstractNumId="909103">
    <w:lvl>
      <w:numFmt w:val="bullet"/>
      <w:suff w:val="tab"/>
      <w:lvlText w:val="￮"/>
      <w:rPr>
        <w:color w:val="3370ff"/>
      </w:rPr>
    </w:lvl>
  </w:abstractNum>
  <w:abstractNum w:abstractNumId="909104">
    <w:lvl>
      <w:numFmt w:val="bullet"/>
      <w:suff w:val="tab"/>
      <w:lvlText w:val="▪"/>
      <w:rPr>
        <w:color w:val="3370ff"/>
        <w:sz w:val="11"/>
      </w:rPr>
    </w:lvl>
  </w:abstractNum>
  <w:abstractNum w:abstractNumId="909105">
    <w:lvl>
      <w:numFmt w:val="bullet"/>
      <w:suff w:val="tab"/>
      <w:lvlText w:val="▪"/>
      <w:rPr>
        <w:color w:val="3370ff"/>
        <w:sz w:val="11"/>
      </w:rPr>
    </w:lvl>
  </w:abstractNum>
  <w:abstractNum w:abstractNumId="909106">
    <w:lvl>
      <w:numFmt w:val="bullet"/>
      <w:suff w:val="tab"/>
      <w:lvlText w:val="▪"/>
      <w:rPr>
        <w:color w:val="3370ff"/>
        <w:sz w:val="11"/>
      </w:rPr>
    </w:lvl>
  </w:abstractNum>
  <w:abstractNum w:abstractNumId="909107">
    <w:lvl>
      <w:numFmt w:val="bullet"/>
      <w:suff w:val="tab"/>
      <w:lvlText w:val="￮"/>
      <w:rPr>
        <w:color w:val="3370ff"/>
      </w:rPr>
    </w:lvl>
  </w:abstractNum>
  <w:abstractNum w:abstractNumId="909108">
    <w:lvl>
      <w:numFmt w:val="bullet"/>
      <w:suff w:val="tab"/>
      <w:lvlText w:val="￮"/>
      <w:rPr>
        <w:color w:val="3370ff"/>
      </w:rPr>
    </w:lvl>
  </w:abstractNum>
  <w:abstractNum w:abstractNumId="909109">
    <w:lvl>
      <w:numFmt w:val="bullet"/>
      <w:suff w:val="tab"/>
      <w:lvlText w:val="▪"/>
      <w:rPr>
        <w:color w:val="3370ff"/>
        <w:sz w:val="11"/>
      </w:rPr>
    </w:lvl>
  </w:abstractNum>
  <w:abstractNum w:abstractNumId="909110">
    <w:lvl>
      <w:numFmt w:val="bullet"/>
      <w:suff w:val="tab"/>
      <w:lvlText w:val="▪"/>
      <w:rPr>
        <w:color w:val="3370ff"/>
        <w:sz w:val="11"/>
      </w:rPr>
    </w:lvl>
  </w:abstractNum>
  <w:abstractNum w:abstractNumId="909111">
    <w:lvl>
      <w:numFmt w:val="bullet"/>
      <w:suff w:val="tab"/>
      <w:lvlText w:val="￮"/>
      <w:rPr>
        <w:color w:val="3370ff"/>
      </w:rPr>
    </w:lvl>
  </w:abstractNum>
  <w:abstractNum w:abstractNumId="909112">
    <w:lvl>
      <w:numFmt w:val="bullet"/>
      <w:suff w:val="tab"/>
      <w:lvlText w:val="•"/>
      <w:rPr>
        <w:color w:val="3370ff"/>
      </w:rPr>
    </w:lvl>
  </w:abstractNum>
  <w:abstractNum w:abstractNumId="909113">
    <w:lvl>
      <w:numFmt w:val="bullet"/>
      <w:suff w:val="tab"/>
      <w:lvlText w:val="￮"/>
      <w:rPr>
        <w:color w:val="3370ff"/>
      </w:rPr>
    </w:lvl>
  </w:abstractNum>
  <w:abstractNum w:abstractNumId="909114">
    <w:lvl>
      <w:numFmt w:val="bullet"/>
      <w:suff w:val="tab"/>
      <w:lvlText w:val="￮"/>
      <w:rPr>
        <w:color w:val="3370ff"/>
      </w:rPr>
    </w:lvl>
  </w:abstractNum>
  <w:abstractNum w:abstractNumId="909115">
    <w:lvl>
      <w:numFmt w:val="bullet"/>
      <w:suff w:val="tab"/>
      <w:lvlText w:val="•"/>
      <w:rPr>
        <w:color w:val="3370ff"/>
      </w:rPr>
    </w:lvl>
  </w:abstractNum>
  <w:abstractNum w:abstractNumId="909116">
    <w:lvl>
      <w:numFmt w:val="bullet"/>
      <w:suff w:val="tab"/>
      <w:lvlText w:val="￮"/>
      <w:rPr>
        <w:color w:val="3370ff"/>
      </w:rPr>
    </w:lvl>
  </w:abstractNum>
  <w:abstractNum w:abstractNumId="909117">
    <w:lvl>
      <w:numFmt w:val="bullet"/>
      <w:suff w:val="tab"/>
      <w:lvlText w:val="▪"/>
      <w:rPr>
        <w:color w:val="3370ff"/>
        <w:sz w:val="11"/>
      </w:rPr>
    </w:lvl>
  </w:abstractNum>
  <w:abstractNum w:abstractNumId="909118">
    <w:lvl>
      <w:numFmt w:val="bullet"/>
      <w:suff w:val="tab"/>
      <w:lvlText w:val="▪"/>
      <w:rPr>
        <w:color w:val="3370ff"/>
        <w:sz w:val="11"/>
      </w:rPr>
    </w:lvl>
  </w:abstractNum>
  <w:abstractNum w:abstractNumId="909119">
    <w:lvl>
      <w:numFmt w:val="bullet"/>
      <w:suff w:val="tab"/>
      <w:lvlText w:val="▪"/>
      <w:rPr>
        <w:color w:val="3370ff"/>
        <w:sz w:val="11"/>
      </w:rPr>
    </w:lvl>
  </w:abstractNum>
  <w:abstractNum w:abstractNumId="909120">
    <w:lvl>
      <w:numFmt w:val="bullet"/>
      <w:suff w:val="tab"/>
      <w:lvlText w:val="▪"/>
      <w:rPr>
        <w:color w:val="3370ff"/>
        <w:sz w:val="11"/>
      </w:rPr>
    </w:lvl>
  </w:abstractNum>
  <w:abstractNum w:abstractNumId="909121">
    <w:lvl>
      <w:numFmt w:val="bullet"/>
      <w:suff w:val="tab"/>
      <w:lvlText w:val="￮"/>
      <w:rPr>
        <w:color w:val="3370ff"/>
      </w:rPr>
    </w:lvl>
  </w:abstractNum>
  <w:abstractNum w:abstractNumId="909122">
    <w:lvl>
      <w:numFmt w:val="bullet"/>
      <w:suff w:val="tab"/>
      <w:lvlText w:val="•"/>
      <w:rPr>
        <w:color w:val="3370ff"/>
      </w:rPr>
    </w:lvl>
  </w:abstractNum>
  <w:abstractNum w:abstractNumId="909123">
    <w:lvl>
      <w:numFmt w:val="bullet"/>
      <w:suff w:val="tab"/>
      <w:lvlText w:val="•"/>
      <w:rPr>
        <w:color w:val="3370ff"/>
      </w:rPr>
    </w:lvl>
  </w:abstractNum>
  <w:abstractNum w:abstractNumId="909124">
    <w:lvl>
      <w:numFmt w:val="bullet"/>
      <w:suff w:val="tab"/>
      <w:lvlText w:val="•"/>
      <w:rPr>
        <w:color w:val="3370ff"/>
      </w:rPr>
    </w:lvl>
  </w:abstractNum>
  <w:abstractNum w:abstractNumId="909125">
    <w:lvl>
      <w:numFmt w:val="bullet"/>
      <w:suff w:val="tab"/>
      <w:lvlText w:val="•"/>
      <w:rPr>
        <w:color w:val="3370ff"/>
      </w:rPr>
    </w:lvl>
  </w:abstractNum>
  <w:abstractNum w:abstractNumId="909126">
    <w:lvl>
      <w:numFmt w:val="bullet"/>
      <w:suff w:val="tab"/>
      <w:lvlText w:val="•"/>
      <w:rPr>
        <w:color w:val="3370ff"/>
      </w:rPr>
    </w:lvl>
  </w:abstractNum>
  <w:abstractNum w:abstractNumId="909127">
    <w:lvl>
      <w:numFmt w:val="bullet"/>
      <w:suff w:val="tab"/>
      <w:lvlText w:val="•"/>
      <w:rPr>
        <w:color w:val="3370ff"/>
      </w:rPr>
    </w:lvl>
  </w:abstractNum>
  <w:abstractNum w:abstractNumId="909128">
    <w:lvl>
      <w:numFmt w:val="bullet"/>
      <w:suff w:val="tab"/>
      <w:lvlText w:val="￮"/>
      <w:rPr>
        <w:color w:val="3370ff"/>
      </w:rPr>
    </w:lvl>
  </w:abstractNum>
  <w:num w:numId="1">
    <w:abstractNumId w:val="909081"/>
  </w:num>
  <w:num w:numId="2">
    <w:abstractNumId w:val="909082"/>
  </w:num>
  <w:num w:numId="3">
    <w:abstractNumId w:val="909083"/>
  </w:num>
  <w:num w:numId="4">
    <w:abstractNumId w:val="909084"/>
  </w:num>
  <w:num w:numId="5">
    <w:abstractNumId w:val="909085"/>
  </w:num>
  <w:num w:numId="6">
    <w:abstractNumId w:val="909086"/>
  </w:num>
  <w:num w:numId="7">
    <w:abstractNumId w:val="909087"/>
  </w:num>
  <w:num w:numId="8">
    <w:abstractNumId w:val="909088"/>
  </w:num>
  <w:num w:numId="9">
    <w:abstractNumId w:val="909089"/>
  </w:num>
  <w:num w:numId="10">
    <w:abstractNumId w:val="909090"/>
  </w:num>
  <w:num w:numId="11">
    <w:abstractNumId w:val="909091"/>
  </w:num>
  <w:num w:numId="12">
    <w:abstractNumId w:val="909092"/>
  </w:num>
  <w:num w:numId="13">
    <w:abstractNumId w:val="909093"/>
  </w:num>
  <w:num w:numId="14">
    <w:abstractNumId w:val="909094"/>
  </w:num>
  <w:num w:numId="15">
    <w:abstractNumId w:val="909095"/>
  </w:num>
  <w:num w:numId="16">
    <w:abstractNumId w:val="909096"/>
  </w:num>
  <w:num w:numId="17">
    <w:abstractNumId w:val="909097"/>
  </w:num>
  <w:num w:numId="18">
    <w:abstractNumId w:val="909098"/>
  </w:num>
  <w:num w:numId="19">
    <w:abstractNumId w:val="909099"/>
  </w:num>
  <w:num w:numId="20">
    <w:abstractNumId w:val="909100"/>
  </w:num>
  <w:num w:numId="21">
    <w:abstractNumId w:val="909101"/>
  </w:num>
  <w:num w:numId="22">
    <w:abstractNumId w:val="909102"/>
  </w:num>
  <w:num w:numId="23">
    <w:abstractNumId w:val="909103"/>
  </w:num>
  <w:num w:numId="24">
    <w:abstractNumId w:val="909104"/>
  </w:num>
  <w:num w:numId="25">
    <w:abstractNumId w:val="909105"/>
  </w:num>
  <w:num w:numId="26">
    <w:abstractNumId w:val="909106"/>
  </w:num>
  <w:num w:numId="27">
    <w:abstractNumId w:val="909107"/>
  </w:num>
  <w:num w:numId="28">
    <w:abstractNumId w:val="909108"/>
  </w:num>
  <w:num w:numId="29">
    <w:abstractNumId w:val="909109"/>
  </w:num>
  <w:num w:numId="30">
    <w:abstractNumId w:val="909110"/>
  </w:num>
  <w:num w:numId="31">
    <w:abstractNumId w:val="909111"/>
  </w:num>
  <w:num w:numId="32">
    <w:abstractNumId w:val="909112"/>
  </w:num>
  <w:num w:numId="33">
    <w:abstractNumId w:val="909113"/>
  </w:num>
  <w:num w:numId="34">
    <w:abstractNumId w:val="909114"/>
  </w:num>
  <w:num w:numId="35">
    <w:abstractNumId w:val="909115"/>
  </w:num>
  <w:num w:numId="36">
    <w:abstractNumId w:val="909116"/>
  </w:num>
  <w:num w:numId="37">
    <w:abstractNumId w:val="909117"/>
  </w:num>
  <w:num w:numId="38">
    <w:abstractNumId w:val="909118"/>
  </w:num>
  <w:num w:numId="39">
    <w:abstractNumId w:val="909119"/>
  </w:num>
  <w:num w:numId="40">
    <w:abstractNumId w:val="909120"/>
  </w:num>
  <w:num w:numId="41">
    <w:abstractNumId w:val="909121"/>
  </w:num>
  <w:num w:numId="42">
    <w:abstractNumId w:val="909122"/>
  </w:num>
  <w:num w:numId="43">
    <w:abstractNumId w:val="909123"/>
  </w:num>
  <w:num w:numId="44">
    <w:abstractNumId w:val="909124"/>
  </w:num>
  <w:num w:numId="45">
    <w:abstractNumId w:val="909125"/>
  </w:num>
  <w:num w:numId="46">
    <w:abstractNumId w:val="909126"/>
  </w:num>
  <w:num w:numId="47">
    <w:abstractNumId w:val="909127"/>
  </w:num>
  <w:num w:numId="48">
    <w:abstractNumId w:val="9091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85y7s6u755xkeb7516?t=423000" TargetMode="External" Type="http://schemas.openxmlformats.org/officeDocument/2006/relationships/hyperlink"/><Relationship Id="rId11" Target="https://hcnytq72r1ge.feishu.cn/minutes/obcnfn85y7s6u755xkeb7516?t=615000" TargetMode="External" Type="http://schemas.openxmlformats.org/officeDocument/2006/relationships/hyperlink"/><Relationship Id="rId12" Target="https://hcnytq72r1ge.feishu.cn/minutes/obcnfn85y7s6u755xkeb7516?t=785000" TargetMode="External" Type="http://schemas.openxmlformats.org/officeDocument/2006/relationships/hyperlink"/><Relationship Id="rId13" Target="https://hcnytq72r1ge.feishu.cn/minutes/obcnfn85y7s6u755xkeb7516?t=876000" TargetMode="External" Type="http://schemas.openxmlformats.org/officeDocument/2006/relationships/hyperlink"/><Relationship Id="rId14" Target="https://hcnytq72r1ge.feishu.cn/minutes/obcnfn85y7s6u755xkeb7516?t=935000" TargetMode="External" Type="http://schemas.openxmlformats.org/officeDocument/2006/relationships/hyperlink"/><Relationship Id="rId15" Target="https://hcnytq72r1ge.feishu.cn/minutes/obcnfn85y7s6u755xkeb7516?t=1079000" TargetMode="External" Type="http://schemas.openxmlformats.org/officeDocument/2006/relationships/hyperlink"/><Relationship Id="rId16" Target="https://hcnytq72r1ge.feishu.cn/minutes/obcnfn85y7s6u755xkeb7516?t=1140000" TargetMode="External" Type="http://schemas.openxmlformats.org/officeDocument/2006/relationships/hyperlink"/><Relationship Id="rId17" Target="https://hcnytq72r1ge.feishu.cn/minutes/obcnfn85y7s6u755xkeb7516?t=1245000" TargetMode="External" Type="http://schemas.openxmlformats.org/officeDocument/2006/relationships/hyperlink"/><Relationship Id="rId18" Target="https://hcnytq72r1ge.feishu.cn/minutes/obcnfn85y7s6u755xkeb7516?t=1279000" TargetMode="External" Type="http://schemas.openxmlformats.org/officeDocument/2006/relationships/hyperlink"/><Relationship Id="rId19" Target="https://hcnytq72r1ge.feishu.cn/minutes/obcnfn85y7s6u755xkeb7516?t=1364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fn85y7s6u755xkeb7516?t=1390000" TargetMode="External" Type="http://schemas.openxmlformats.org/officeDocument/2006/relationships/hyperlink"/><Relationship Id="rId21" Target="https://hcnytq72r1ge.feishu.cn/minutes/obcnfn85y7s6u755xkeb7516?t=1395000" TargetMode="External" Type="http://schemas.openxmlformats.org/officeDocument/2006/relationships/hyperlink"/><Relationship Id="rId22" Target="https://hcnytq72r1ge.feishu.cn/minutes/obcnfn85y7s6u755xkeb7516?t=1528000" TargetMode="External" Type="http://schemas.openxmlformats.org/officeDocument/2006/relationships/hyperlink"/><Relationship Id="rId23" Target="https://hcnytq72r1ge.feishu.cn/minutes/obcnfn85y7s6u755xkeb7516?from=ai_minutes" TargetMode="External" Type="http://schemas.openxmlformats.org/officeDocument/2006/relationships/hyperlink"/><Relationship Id="rId24" Target="https://hcnytq72r1ge.feishu.cn/docx/GObidil6soEC6SxVGJfcX0Hgnnc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n85y7s6u755xkeb7516?t=5000" TargetMode="External" Type="http://schemas.openxmlformats.org/officeDocument/2006/relationships/hyperlink"/><Relationship Id="rId8" Target="https://hcnytq72r1ge.feishu.cn/minutes/obcnfn85y7s6u755xkeb7516?t=151000" TargetMode="External" Type="http://schemas.openxmlformats.org/officeDocument/2006/relationships/hyperlink"/><Relationship Id="rId9" Target="https://hcnytq72r1ge.feishu.cn/minutes/obcnfn85y7s6u755xkeb7516?t=31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2026-01-26T02:28:50Z</dcterms:created>
  <dc:creator>Apache POI</dc:creator>
</cp:coreProperties>
</file>