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智能纪要：10.如何读懂学习环境报告 2026年1月22日</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会议主题：10.如何读懂学习环境报告</w:t>
            </w:r>
          </w:p>
          <w:p>
            <w:pPr>
              <w:spacing w:before="120" w:after="120" w:line="288" w:lineRule="auto"/>
              <w:ind w:left="0"/>
              <w:jc w:val="left"/>
            </w:pPr>
            <w:r>
              <w:rPr>
                <w:rFonts w:eastAsia="等线" w:ascii="Arial" w:cs="Arial" w:hAnsi="Arial"/>
                <w:color w:val="646a73"/>
                <w:sz w:val="22"/>
              </w:rPr>
              <w:t>上传时间：1月22号（周四） 21:57 （GMT+08）</w:t>
            </w:r>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智能纪要由 AI 生成，可能不准确，请谨慎甄别后使用</w:t>
            </w:r>
          </w:p>
        </w:tc>
      </w:tr>
    </w:tbl>
    <w:p>
      <w:pPr>
        <w:spacing w:before="120" w:after="120" w:line="288" w:lineRule="auto"/>
        <w:ind w:left="0"/>
        <w:jc w:val="left"/>
      </w:pPr>
    </w:p>
    <w:p>
      <w:pPr>
        <w:pStyle w:val="1"/>
        <w:spacing w:before="380" w:after="140" w:line="288" w:lineRule="auto"/>
        <w:ind w:left="0"/>
        <w:jc w:val="left"/>
        <w:outlineLvl w:val="0"/>
      </w:pPr>
      <w:bookmarkStart w:name="heading_0" w:id="0"/>
      <w:r>
        <w:rPr>
          <w:rFonts w:eastAsia="等线" w:ascii="Arial" w:cs="Arial" w:hAnsi="Arial"/>
          <w:b w:val="true"/>
          <w:sz w:val="36"/>
        </w:rPr>
        <w:t>总结</w:t>
      </w:r>
      <w:bookmarkEnd w:id="0"/>
    </w:p>
    <w:p>
      <w:pPr>
        <w:spacing w:before="120" w:after="120" w:line="288" w:lineRule="auto"/>
        <w:ind w:left="0"/>
        <w:jc w:val="center"/>
      </w:pPr>
      <w:r>
        <w:drawing>
          <wp:inline distT="0" distR="0" distB="0" distL="0">
            <wp:extent cx="5257800" cy="21145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21145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本次会议围绕道全能学业规划师初级课程中初一学生成长环境报告的解读展开，详细介绍了报告内容及小学与中学学习力在成长环境方面的差异，内容如下：</w:t>
      </w:r>
    </w:p>
    <w:p>
      <w:pPr>
        <w:numPr>
          <w:numId w:val="1"/>
        </w:numPr>
        <w:spacing w:before="120" w:after="120" w:line="288" w:lineRule="auto"/>
        <w:ind w:left="0"/>
        <w:jc w:val="left"/>
      </w:pPr>
      <w:r>
        <w:rPr>
          <w:rFonts w:eastAsia="等线" w:ascii="Arial" w:cs="Arial" w:hAnsi="Arial"/>
          <w:b w:val="true"/>
          <w:sz w:val="22"/>
        </w:rPr>
        <w:t>成长环境报告概述</w:t>
      </w:r>
    </w:p>
    <w:p>
      <w:pPr>
        <w:numPr>
          <w:numId w:val="2"/>
        </w:numPr>
        <w:spacing w:before="120" w:after="120" w:line="288" w:lineRule="auto"/>
        <w:ind w:left="453"/>
        <w:jc w:val="left"/>
      </w:pPr>
      <w:r>
        <w:rPr>
          <w:rFonts w:eastAsia="等线" w:ascii="Arial" w:cs="Arial" w:hAnsi="Arial"/>
          <w:b w:val="true"/>
          <w:sz w:val="22"/>
        </w:rPr>
        <w:t>报告核心</w:t>
      </w:r>
    </w:p>
    <w:p>
      <w:pPr>
        <w:numPr>
          <w:numId w:val="3"/>
        </w:numPr>
        <w:spacing w:before="120" w:after="120" w:line="288" w:lineRule="auto"/>
        <w:ind w:left="907"/>
        <w:jc w:val="left"/>
      </w:pPr>
      <w:r>
        <w:rPr>
          <w:rFonts w:eastAsia="等线" w:ascii="Arial" w:cs="Arial" w:hAnsi="Arial"/>
          <w:sz w:val="22"/>
        </w:rPr>
        <w:t>评估范围：成长环境报告核心评估孩子在学校、家庭以及恋爱方面的影响。若孩子不回答恋爱选项，报告仅显示家庭和学校环境指标。</w:t>
      </w:r>
    </w:p>
    <w:p>
      <w:pPr>
        <w:numPr>
          <w:numId w:val="4"/>
        </w:numPr>
        <w:spacing w:before="120" w:after="120" w:line="288" w:lineRule="auto"/>
        <w:ind w:left="907"/>
        <w:jc w:val="left"/>
      </w:pPr>
      <w:r>
        <w:rPr>
          <w:rFonts w:eastAsia="等线" w:ascii="Arial" w:cs="Arial" w:hAnsi="Arial"/>
          <w:sz w:val="22"/>
        </w:rPr>
        <w:t>学习力差异：小学学习力无恋爱影响，中学（初中和高中）可能受恋爱影响，若不选则报告不显示该影响。</w:t>
      </w:r>
    </w:p>
    <w:p>
      <w:pPr>
        <w:numPr>
          <w:numId w:val="5"/>
        </w:numPr>
        <w:spacing w:before="120" w:after="120" w:line="288" w:lineRule="auto"/>
        <w:ind w:left="453"/>
        <w:jc w:val="left"/>
      </w:pPr>
      <w:r>
        <w:rPr>
          <w:rFonts w:eastAsia="等线" w:ascii="Arial" w:cs="Arial" w:hAnsi="Arial"/>
          <w:b w:val="true"/>
          <w:sz w:val="22"/>
        </w:rPr>
        <w:t>对比与建议</w:t>
      </w:r>
    </w:p>
    <w:p>
      <w:pPr>
        <w:numPr>
          <w:numId w:val="6"/>
        </w:numPr>
        <w:spacing w:before="120" w:after="120" w:line="288" w:lineRule="auto"/>
        <w:ind w:left="907"/>
        <w:jc w:val="left"/>
      </w:pPr>
      <w:r>
        <w:rPr>
          <w:rFonts w:eastAsia="等线" w:ascii="Arial" w:cs="Arial" w:hAnsi="Arial"/>
          <w:sz w:val="22"/>
        </w:rPr>
        <w:t>对比情况：报告将家庭和学校环境与 985 线对比，展示孩子与同龄人的对比情况。</w:t>
      </w:r>
    </w:p>
    <w:p>
      <w:pPr>
        <w:numPr>
          <w:numId w:val="7"/>
        </w:numPr>
        <w:spacing w:before="120" w:after="120" w:line="288" w:lineRule="auto"/>
        <w:ind w:left="907"/>
        <w:jc w:val="left"/>
      </w:pPr>
      <w:r>
        <w:rPr>
          <w:rFonts w:eastAsia="等线" w:ascii="Arial" w:cs="Arial" w:hAnsi="Arial"/>
          <w:sz w:val="22"/>
        </w:rPr>
        <w:t>诊断与建议：报告给出成长环境的整体诊断结果和简单提升建议，因可能给学生查看，内容相对精简。</w:t>
      </w:r>
    </w:p>
    <w:tbl>
      <w:tblPr>
        <w:tblW w:w="0" w:type="auto"/>
        <w:tblInd w:w="453" w:type="dxa"/>
        <w:tblBorders>
          <w:top w:val="none" w:space="4"/>
          <w:left w:val="none" w:space="4"/>
          <w:bottom w:val="none" w:space="4"/>
          <w:right w:val="none" w:space="4"/>
          <w:insideH w:val="none" w:space="4"/>
          <w:insideV w:val="none" w:space="4"/>
        </w:tblBorders>
        <w:tblLayout w:type="fixed"/>
      </w:tblPr>
      <w:tblGrid>
        <w:gridCol w:w="414"/>
        <w:gridCol w:w="7369"/>
        <w:gridCol w:w="496"/>
      </w:tblGrid>
      <w:tr>
        <w:tc>
          <w:tcPr>
            <w:tcW w:w="414" w:type="dxa"/>
            <w:tcMar>
              <w:top w:type="dxa" w:w="60"/>
              <w:left w:type="dxa" w:w="120"/>
              <w:bottom w:type="dxa" w:w="30"/>
              <w:right w:type="dxa" w:w="120"/>
            </w:tcMar>
          </w:tcPr>
          <w:p>
            <w:pPr>
              <w:spacing w:before="120" w:after="120" w:line="288" w:lineRule="auto"/>
              <w:ind w:left="0"/>
              <w:jc w:val="left"/>
            </w:pPr>
          </w:p>
        </w:tc>
        <w:tc>
          <w:tcPr>
            <w:tcW w:w="7369" w:type="dxa"/>
            <w:tcMar>
              <w:top w:type="dxa" w:w="60"/>
              <w:left w:type="dxa" w:w="120"/>
              <w:bottom w:type="dxa" w:w="30"/>
              <w:right w:type="dxa" w:w="120"/>
            </w:tcMar>
          </w:tcPr>
          <w:p>
            <w:pPr>
              <w:spacing w:before="120" w:after="120" w:line="288" w:lineRule="auto"/>
              <w:ind w:left="0"/>
              <w:jc w:val="center"/>
            </w:pPr>
            <w:r>
              <w:drawing>
                <wp:inline distT="0" distR="0" distB="0" distL="0">
                  <wp:extent cx="4524375" cy="128587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4524375" cy="1285875"/>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小学与中学学习力成长环境评估差异对比</w:t>
              <w:br/>
            </w:r>
          </w:p>
        </w:tc>
        <w:tc>
          <w:tcPr>
            <w:tcW w:w="496" w:type="dxa"/>
            <w:tcMar>
              <w:top w:type="dxa" w:w="60"/>
              <w:left w:type="dxa" w:w="120"/>
              <w:bottom w:type="dxa" w:w="30"/>
              <w:right w:type="dxa" w:w="120"/>
            </w:tcMar>
          </w:tcPr>
          <w:p>
            <w:pPr>
              <w:spacing w:before="120" w:after="120" w:line="288" w:lineRule="auto"/>
              <w:ind w:left="0"/>
              <w:jc w:val="left"/>
            </w:pPr>
          </w:p>
        </w:tc>
      </w:tr>
    </w:tbl>
    <w:p>
      <w:pPr>
        <w:numPr>
          <w:numId w:val="8"/>
        </w:numPr>
        <w:spacing w:before="120" w:after="120" w:line="288" w:lineRule="auto"/>
        <w:ind w:left="0"/>
        <w:jc w:val="left"/>
      </w:pPr>
      <w:r>
        <w:rPr>
          <w:rFonts w:eastAsia="等线" w:ascii="Arial" w:cs="Arial" w:hAnsi="Arial"/>
          <w:b w:val="true"/>
          <w:sz w:val="22"/>
        </w:rPr>
        <w:t>家庭环境分析</w:t>
      </w:r>
    </w:p>
    <w:p>
      <w:pPr>
        <w:numPr>
          <w:numId w:val="9"/>
        </w:numPr>
        <w:spacing w:before="120" w:after="120" w:line="288" w:lineRule="auto"/>
        <w:ind w:left="453"/>
        <w:jc w:val="left"/>
      </w:pPr>
      <w:r>
        <w:rPr>
          <w:rFonts w:eastAsia="等线" w:ascii="Arial" w:cs="Arial" w:hAnsi="Arial"/>
          <w:b w:val="true"/>
          <w:sz w:val="22"/>
        </w:rPr>
        <w:t>家庭影响</w:t>
      </w:r>
    </w:p>
    <w:p>
      <w:pPr>
        <w:numPr>
          <w:numId w:val="10"/>
        </w:numPr>
        <w:spacing w:before="120" w:after="120" w:line="288" w:lineRule="auto"/>
        <w:ind w:left="907"/>
        <w:jc w:val="left"/>
      </w:pPr>
      <w:r>
        <w:rPr>
          <w:rFonts w:eastAsia="等线" w:ascii="Arial" w:cs="Arial" w:hAnsi="Arial"/>
          <w:sz w:val="22"/>
        </w:rPr>
        <w:t>原生家庭：成长受原生家庭影响较大，抚养人多为父母，也可能是爷爷奶奶等。</w:t>
      </w:r>
    </w:p>
    <w:p>
      <w:pPr>
        <w:numPr>
          <w:numId w:val="11"/>
        </w:numPr>
        <w:spacing w:before="120" w:after="120" w:line="288" w:lineRule="auto"/>
        <w:ind w:left="907"/>
        <w:jc w:val="left"/>
      </w:pPr>
      <w:r>
        <w:rPr>
          <w:rFonts w:eastAsia="等线" w:ascii="Arial" w:cs="Arial" w:hAnsi="Arial"/>
          <w:sz w:val="22"/>
        </w:rPr>
        <w:t>案例情况：案例报告中家庭环境对孩子整体影响较好，父母影响数值达 94%，说明父母鼓励孩子，与父母关系良好。</w:t>
      </w:r>
    </w:p>
    <w:p>
      <w:pPr>
        <w:numPr>
          <w:numId w:val="12"/>
        </w:numPr>
        <w:spacing w:before="120" w:after="120" w:line="288" w:lineRule="auto"/>
        <w:ind w:left="453"/>
        <w:jc w:val="left"/>
      </w:pPr>
      <w:r>
        <w:rPr>
          <w:rFonts w:eastAsia="等线" w:ascii="Arial" w:cs="Arial" w:hAnsi="Arial"/>
          <w:b w:val="true"/>
          <w:sz w:val="22"/>
        </w:rPr>
        <w:t>抚养人情况</w:t>
      </w:r>
      <w:r>
        <w:rPr>
          <w:rFonts w:eastAsia="等线" w:ascii="Arial" w:cs="Arial" w:hAnsi="Arial"/>
          <w:sz w:val="22"/>
        </w:rPr>
        <w:t>：若勾选其他抚养人，报告会显示其影响，案例可能涉及孩子与爷爷奶奶共同生活。</w:t>
      </w:r>
    </w:p>
    <w:p>
      <w:pPr>
        <w:numPr>
          <w:numId w:val="13"/>
        </w:numPr>
        <w:spacing w:before="120" w:after="120" w:line="288" w:lineRule="auto"/>
        <w:ind w:left="453"/>
        <w:jc w:val="left"/>
      </w:pPr>
      <w:r>
        <w:rPr>
          <w:rFonts w:eastAsia="等线" w:ascii="Arial" w:cs="Arial" w:hAnsi="Arial"/>
          <w:b w:val="true"/>
          <w:sz w:val="22"/>
        </w:rPr>
        <w:t>初步建议</w:t>
      </w:r>
      <w:r>
        <w:rPr>
          <w:rFonts w:eastAsia="等线" w:ascii="Arial" w:cs="Arial" w:hAnsi="Arial"/>
          <w:sz w:val="22"/>
        </w:rPr>
        <w:t>：报告针对家庭环境给出初步建议。</w:t>
      </w:r>
    </w:p>
    <w:p>
      <w:pPr>
        <w:numPr>
          <w:numId w:val="14"/>
        </w:numPr>
        <w:spacing w:before="120" w:after="120" w:line="288" w:lineRule="auto"/>
        <w:ind w:left="0"/>
        <w:jc w:val="left"/>
      </w:pPr>
      <w:r>
        <w:rPr>
          <w:rFonts w:eastAsia="等线" w:ascii="Arial" w:cs="Arial" w:hAnsi="Arial"/>
          <w:b w:val="true"/>
          <w:sz w:val="22"/>
        </w:rPr>
        <w:t>学校环境分析</w:t>
      </w:r>
    </w:p>
    <w:p>
      <w:pPr>
        <w:numPr>
          <w:numId w:val="15"/>
        </w:numPr>
        <w:spacing w:before="120" w:after="120" w:line="288" w:lineRule="auto"/>
        <w:ind w:left="453"/>
        <w:jc w:val="left"/>
      </w:pPr>
      <w:r>
        <w:rPr>
          <w:rFonts w:eastAsia="等线" w:ascii="Arial" w:cs="Arial" w:hAnsi="Arial"/>
          <w:b w:val="true"/>
          <w:sz w:val="22"/>
        </w:rPr>
        <w:t>环境影响</w:t>
      </w:r>
      <w:r>
        <w:rPr>
          <w:rFonts w:eastAsia="等线" w:ascii="Arial" w:cs="Arial" w:hAnsi="Arial"/>
          <w:sz w:val="22"/>
        </w:rPr>
        <w:t>：学校环境主要指老师和同学对孩子学习的影响，案例中学校环境超过 985 线。</w:t>
      </w:r>
    </w:p>
    <w:p>
      <w:pPr>
        <w:numPr>
          <w:numId w:val="16"/>
        </w:numPr>
        <w:spacing w:before="120" w:after="120" w:line="288" w:lineRule="auto"/>
        <w:ind w:left="453"/>
        <w:jc w:val="left"/>
      </w:pPr>
      <w:r>
        <w:rPr>
          <w:rFonts w:eastAsia="等线" w:ascii="Arial" w:cs="Arial" w:hAnsi="Arial"/>
          <w:b w:val="true"/>
          <w:sz w:val="22"/>
        </w:rPr>
        <w:t>学科评价</w:t>
      </w:r>
    </w:p>
    <w:p>
      <w:pPr>
        <w:numPr>
          <w:numId w:val="17"/>
        </w:numPr>
        <w:spacing w:before="120" w:after="120" w:line="288" w:lineRule="auto"/>
        <w:ind w:left="907"/>
        <w:jc w:val="left"/>
      </w:pPr>
      <w:r>
        <w:rPr>
          <w:rFonts w:eastAsia="等线" w:ascii="Arial" w:cs="Arial" w:hAnsi="Arial"/>
          <w:sz w:val="22"/>
        </w:rPr>
        <w:t>课堂氛围：报告展示孩子对各学科老师课堂氛围的评价，如英语和语文课堂可能未达孩子期望。</w:t>
      </w:r>
    </w:p>
    <w:p>
      <w:pPr>
        <w:numPr>
          <w:numId w:val="18"/>
        </w:numPr>
        <w:spacing w:before="120" w:after="120" w:line="288" w:lineRule="auto"/>
        <w:ind w:left="907"/>
        <w:jc w:val="left"/>
      </w:pPr>
      <w:r>
        <w:rPr>
          <w:rFonts w:eastAsia="等线" w:ascii="Arial" w:cs="Arial" w:hAnsi="Arial"/>
          <w:sz w:val="22"/>
        </w:rPr>
        <w:t>教学策略：孩子对各学科老师的教学策略进行评估。</w:t>
      </w:r>
    </w:p>
    <w:p>
      <w:pPr>
        <w:numPr>
          <w:numId w:val="19"/>
        </w:numPr>
        <w:spacing w:before="120" w:after="120" w:line="288" w:lineRule="auto"/>
        <w:ind w:left="453"/>
        <w:jc w:val="left"/>
      </w:pPr>
      <w:r>
        <w:rPr>
          <w:rFonts w:eastAsia="等线" w:ascii="Arial" w:cs="Arial" w:hAnsi="Arial"/>
          <w:b w:val="true"/>
          <w:sz w:val="22"/>
        </w:rPr>
        <w:t>同学影响</w:t>
      </w:r>
      <w:r>
        <w:rPr>
          <w:rFonts w:eastAsia="等线" w:ascii="Arial" w:cs="Arial" w:hAnsi="Arial"/>
          <w:sz w:val="22"/>
        </w:rPr>
        <w:t>：孩子认为同学对其影响尚可，主要问题在于与老师的关系。</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1" w:id="1"/>
      <w:r>
        <w:rPr>
          <w:rFonts w:eastAsia="等线" w:ascii="Arial" w:cs="Arial" w:hAnsi="Arial"/>
          <w:b w:val="true"/>
          <w:sz w:val="36"/>
        </w:rPr>
        <w:t>智能章节</w:t>
      </w:r>
      <w:bookmarkEnd w:id="1"/>
    </w:p>
    <w:p>
      <w:pPr>
        <w:spacing w:before="120" w:after="120" w:line="288" w:lineRule="auto"/>
        <w:ind w:left="0"/>
        <w:jc w:val="left"/>
      </w:pPr>
      <w:hyperlink r:id="rId7">
        <w:r>
          <w:rPr>
            <w:rFonts w:eastAsia="等线" w:ascii="Arial" w:cs="Arial" w:hAnsi="Arial"/>
            <w:color w:val="3370ff"/>
            <w:sz w:val="22"/>
          </w:rPr>
          <w:t>00:05</w:t>
        </w:r>
      </w:hyperlink>
      <w:r>
        <w:rPr>
          <w:rFonts w:eastAsia="等线" w:ascii="Arial" w:cs="Arial" w:hAnsi="Arial"/>
          <w:b w:val="true"/>
          <w:sz w:val="22"/>
        </w:rPr>
        <w:t xml:space="preserve">  道全能初级课程：成长环境报告解读介绍</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说话人1欢迎各位老师加入道全能学业规划师，指出本次是初级课程，主要学习成长环境报告的解读。随后引导大家打开报告，说明成长环境核心评估内容，即评估孩子在学校、家庭的情况，以及是否受到恋爱另一半的影响。</w:t>
            </w:r>
          </w:p>
        </w:tc>
      </w:tr>
    </w:tbl>
    <w:p>
      <w:pPr>
        <w:spacing w:before="120" w:after="120" w:line="288" w:lineRule="auto"/>
        <w:ind w:left="0"/>
        <w:jc w:val="left"/>
      </w:pPr>
      <w:hyperlink r:id="rId8">
        <w:r>
          <w:rPr>
            <w:rFonts w:eastAsia="等线" w:ascii="Arial" w:cs="Arial" w:hAnsi="Arial"/>
            <w:color w:val="3370ff"/>
            <w:sz w:val="22"/>
          </w:rPr>
          <w:t>00:42</w:t>
        </w:r>
      </w:hyperlink>
      <w:r>
        <w:rPr>
          <w:rFonts w:eastAsia="等线" w:ascii="Arial" w:cs="Arial" w:hAnsi="Arial"/>
          <w:b w:val="true"/>
          <w:sz w:val="22"/>
        </w:rPr>
        <w:t xml:space="preserve">  初中学力报告成长环境区别与对比建议</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围绕初一孩子报告展开，指出若孩子不回答恋爱选项，报告中仅显示家庭和学校环境指标，小学与中学学习力在成长环境方面的区别在于中学有恋爱影响，不回答则不显示。此外，报告还会将家庭和学校环境与985线对比，给出成长环境整体诊断结果及简单提升建议。</w:t>
            </w:r>
          </w:p>
        </w:tc>
      </w:tr>
    </w:tbl>
    <w:p>
      <w:pPr>
        <w:spacing w:before="120" w:after="120" w:line="288" w:lineRule="auto"/>
        <w:ind w:left="0"/>
        <w:jc w:val="left"/>
      </w:pPr>
      <w:hyperlink r:id="rId9">
        <w:r>
          <w:rPr>
            <w:rFonts w:eastAsia="等线" w:ascii="Arial" w:cs="Arial" w:hAnsi="Arial"/>
            <w:color w:val="3370ff"/>
            <w:sz w:val="22"/>
          </w:rPr>
          <w:t>02:20</w:t>
        </w:r>
      </w:hyperlink>
      <w:r>
        <w:rPr>
          <w:rFonts w:eastAsia="等线" w:ascii="Arial" w:cs="Arial" w:hAnsi="Arial"/>
          <w:b w:val="true"/>
          <w:sz w:val="22"/>
        </w:rPr>
        <w:t xml:space="preserve">  报告版块信息及家庭环境对学生的影响分析</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围绕某版块信息展开，该版块在与孩子或家长破冰沟通时需掌握更多信息，且考虑报告可能给学生，内容较少。还提及家庭环境受原生家庭影响大，抚养人多为父母也有其他情况。案例报告显示家庭环境对整体影响尚可，父母影响数值达94%，若有其他抚养人勾选也会体现，还会看与父母关系。</w:t>
            </w:r>
          </w:p>
        </w:tc>
      </w:tr>
    </w:tbl>
    <w:p>
      <w:pPr>
        <w:spacing w:before="120" w:after="120" w:line="288" w:lineRule="auto"/>
        <w:ind w:left="0"/>
        <w:jc w:val="left"/>
      </w:pPr>
      <w:hyperlink r:id="rId10">
        <w:r>
          <w:rPr>
            <w:rFonts w:eastAsia="等线" w:ascii="Arial" w:cs="Arial" w:hAnsi="Arial"/>
            <w:color w:val="3370ff"/>
            <w:sz w:val="22"/>
          </w:rPr>
          <w:t>04:05</w:t>
        </w:r>
      </w:hyperlink>
      <w:r>
        <w:rPr>
          <w:rFonts w:eastAsia="等线" w:ascii="Arial" w:cs="Arial" w:hAnsi="Arial"/>
          <w:b w:val="true"/>
          <w:sz w:val="22"/>
        </w:rPr>
        <w:t xml:space="preserve">  成长环境报告解读：学校、师生影响及学科评估</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是关于成长环境报告的基本解读。报告先给出初步建议，接着分析学校环境，重点是老师、同学对学习的影响。报告呈现与各学科老师的情况，包括课堂氛围评价、教学策略评估，显示在英语和语文科目上对老师期待更多。此外，同学影响评估结果还好，主要需解决与老师之间的问题。</w:t>
            </w:r>
          </w:p>
        </w:tc>
      </w:tr>
    </w:tbl>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2" w:id="2"/>
      <w:r>
        <w:rPr>
          <w:rFonts w:eastAsia="等线" w:ascii="Arial" w:cs="Arial" w:hAnsi="Arial"/>
          <w:b w:val="true"/>
          <w:sz w:val="36"/>
        </w:rPr>
        <w:t>关键决策</w:t>
      </w:r>
      <w:bookmarkEnd w:id="2"/>
    </w:p>
    <w:p>
      <w:pPr>
        <w:spacing w:before="120" w:after="120" w:line="288" w:lineRule="auto"/>
        <w:ind w:left="0"/>
        <w:jc w:val="left"/>
      </w:pPr>
      <w:r>
        <w:rPr>
          <w:rFonts w:eastAsia="等线" w:ascii="Arial" w:cs="Arial" w:hAnsi="Arial"/>
          <w:sz w:val="22"/>
        </w:rPr>
        <w:t>本次会议为分享类会议，无关键决策。会议关键内容总结如下：</w:t>
      </w:r>
    </w:p>
    <w:p>
      <w:pPr>
        <w:numPr>
          <w:numId w:val="20"/>
        </w:numPr>
        <w:spacing w:before="120" w:after="120" w:line="288" w:lineRule="auto"/>
        <w:ind w:left="0"/>
        <w:jc w:val="left"/>
      </w:pPr>
      <w:r>
        <w:rPr>
          <w:rFonts w:eastAsia="等线" w:ascii="Arial" w:cs="Arial" w:hAnsi="Arial"/>
          <w:b w:val="true"/>
          <w:sz w:val="22"/>
        </w:rPr>
        <w:t>课程主题</w:t>
      </w:r>
      <w:r>
        <w:rPr>
          <w:rFonts w:eastAsia="等线" w:ascii="Arial" w:cs="Arial" w:hAnsi="Arial"/>
          <w:sz w:val="22"/>
        </w:rPr>
        <w:t>：初级课程学习成长环境报告解读。</w:t>
      </w:r>
    </w:p>
    <w:p>
      <w:pPr>
        <w:numPr>
          <w:numId w:val="21"/>
        </w:numPr>
        <w:spacing w:before="120" w:after="120" w:line="288" w:lineRule="auto"/>
        <w:ind w:left="0"/>
        <w:jc w:val="left"/>
      </w:pPr>
      <w:r>
        <w:rPr>
          <w:rFonts w:eastAsia="等线" w:ascii="Arial" w:cs="Arial" w:hAnsi="Arial"/>
          <w:b w:val="true"/>
          <w:sz w:val="22"/>
        </w:rPr>
        <w:t>报告内容</w:t>
      </w:r>
      <w:r>
        <w:rPr>
          <w:rFonts w:eastAsia="等线" w:ascii="Arial" w:cs="Arial" w:hAnsi="Arial"/>
          <w:sz w:val="22"/>
        </w:rPr>
        <w:t>：核心评估孩子在学校、家庭及恋爱方面的成长环境，小学与中学学习力在恋爱影响上有区别，报告有与985线对比、整体诊断结果及提升建议。</w:t>
      </w:r>
    </w:p>
    <w:p>
      <w:pPr>
        <w:numPr>
          <w:numId w:val="22"/>
        </w:numPr>
        <w:spacing w:before="120" w:after="120" w:line="288" w:lineRule="auto"/>
        <w:ind w:left="0"/>
        <w:jc w:val="left"/>
      </w:pPr>
      <w:r>
        <w:rPr>
          <w:rFonts w:eastAsia="等线" w:ascii="Arial" w:cs="Arial" w:hAnsi="Arial"/>
          <w:b w:val="true"/>
          <w:sz w:val="22"/>
        </w:rPr>
        <w:t>家庭环境</w:t>
      </w:r>
      <w:r>
        <w:rPr>
          <w:rFonts w:eastAsia="等线" w:ascii="Arial" w:cs="Arial" w:hAnsi="Arial"/>
          <w:sz w:val="22"/>
        </w:rPr>
        <w:t>：受原生家庭影响大，报告展示家庭环境与同龄人对比情况，分析父母及抚养人影响并给出建议。</w:t>
      </w:r>
    </w:p>
    <w:p>
      <w:pPr>
        <w:numPr>
          <w:numId w:val="23"/>
        </w:numPr>
        <w:spacing w:before="120" w:after="120" w:line="288" w:lineRule="auto"/>
        <w:ind w:left="0"/>
        <w:jc w:val="left"/>
      </w:pPr>
      <w:r>
        <w:rPr>
          <w:rFonts w:eastAsia="等线" w:ascii="Arial" w:cs="Arial" w:hAnsi="Arial"/>
          <w:b w:val="true"/>
          <w:sz w:val="22"/>
        </w:rPr>
        <w:t>学校环境</w:t>
      </w:r>
      <w:r>
        <w:rPr>
          <w:rFonts w:eastAsia="等线" w:ascii="Arial" w:cs="Arial" w:hAnsi="Arial"/>
          <w:sz w:val="22"/>
        </w:rPr>
        <w:t>：主要指老师和同学对学习的影响，超过985线，有各学科老师课堂评价及教学策略评估，存在与老师间待解决问题。</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3" w:id="3"/>
      <w:r>
        <w:rPr>
          <w:rFonts w:eastAsia="等线" w:ascii="Arial" w:cs="Arial" w:hAnsi="Arial"/>
          <w:b w:val="true"/>
          <w:sz w:val="36"/>
        </w:rPr>
        <w:t>金句时刻</w:t>
      </w:r>
      <w:bookmarkEnd w:id="3"/>
    </w:p>
    <w:p>
      <w:pPr>
        <w:spacing w:before="120" w:after="120" w:line="288" w:lineRule="auto"/>
        <w:ind w:left="0"/>
        <w:jc w:val="left"/>
      </w:pPr>
      <w:r>
        <w:rPr>
          <w:rFonts w:eastAsia="等线" w:ascii="Arial" w:cs="Arial" w:hAnsi="Arial"/>
          <w:sz w:val="22"/>
        </w:rPr>
        <w:t>「这一版块需要在与孩子或家长做破冰沟通了解时掌握更多信息，考虑到报告可能给到学生，所以内容相对较少。」</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说话人 1</w:t>
      </w:r>
      <w:r>
        <w:rPr>
          <w:rFonts w:eastAsia="等线" w:ascii="Arial" w:cs="Arial" w:hAnsi="Arial"/>
          <w:sz w:val="22"/>
        </w:rPr>
        <w:t>，</w:t>
      </w:r>
      <w:r>
        <w:rPr>
          <w:rFonts w:eastAsia="等线" w:ascii="Arial" w:cs="Arial" w:hAnsi="Arial"/>
          <w:sz w:val="22"/>
        </w:rPr>
        <w:t xml:space="preserve">明确说明了报告该版块内容设置的原因，有助于理解报告的编写逻辑。 </w:t>
      </w:r>
    </w:p>
    <w:p>
      <w:pPr>
        <w:spacing w:before="120" w:after="120" w:line="288" w:lineRule="auto"/>
        <w:ind w:left="0"/>
        <w:jc w:val="left"/>
      </w:pPr>
    </w:p>
    <w:p>
      <w:pPr>
        <w:spacing w:before="120" w:after="120" w:line="288" w:lineRule="auto"/>
        <w:ind w:left="0"/>
        <w:jc w:val="left"/>
      </w:pPr>
      <w:r>
        <w:rPr>
          <w:rFonts w:eastAsia="等线" w:ascii="Arial" w:cs="Arial" w:hAnsi="Arial"/>
          <w:sz w:val="22"/>
        </w:rPr>
        <w:t>「从报告数值来看，孩子父母对他的影响很好，挺鼓励他的。」</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说话人 1</w:t>
      </w:r>
      <w:r>
        <w:rPr>
          <w:rFonts w:eastAsia="等线" w:ascii="Arial" w:cs="Arial" w:hAnsi="Arial"/>
          <w:sz w:val="22"/>
        </w:rPr>
        <w:t>，</w:t>
      </w:r>
      <w:r>
        <w:rPr>
          <w:rFonts w:eastAsia="等线" w:ascii="Arial" w:cs="Arial" w:hAnsi="Arial"/>
          <w:sz w:val="22"/>
        </w:rPr>
        <w:t xml:space="preserve">通过报告数据直观体现出父母对孩子积极的影响，突出了家庭环境对孩子成长的重要性。 </w:t>
      </w:r>
    </w:p>
    <w:p>
      <w:pPr>
        <w:spacing w:before="120" w:after="120" w:line="288" w:lineRule="auto"/>
        <w:ind w:left="0"/>
        <w:jc w:val="left"/>
      </w:pPr>
    </w:p>
    <w:p>
      <w:pPr>
        <w:spacing w:before="120" w:after="120" w:line="288" w:lineRule="auto"/>
        <w:ind w:left="0"/>
        <w:jc w:val="left"/>
      </w:pPr>
      <w:r>
        <w:rPr>
          <w:rFonts w:eastAsia="等线" w:ascii="Arial" w:cs="Arial" w:hAnsi="Arial"/>
          <w:sz w:val="22"/>
        </w:rPr>
        <w:t>「成长环境报告中，更多是孩子跟老师之间的一些问题需要去解决。」</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说话人 1</w:t>
      </w:r>
      <w:r>
        <w:rPr>
          <w:rFonts w:eastAsia="等线" w:ascii="Arial" w:cs="Arial" w:hAnsi="Arial"/>
          <w:sz w:val="22"/>
        </w:rPr>
        <w:t>，</w:t>
      </w:r>
      <w:r>
        <w:rPr>
          <w:rFonts w:eastAsia="等线" w:ascii="Arial" w:cs="Arial" w:hAnsi="Arial"/>
          <w:sz w:val="22"/>
        </w:rPr>
        <w:t xml:space="preserve">总结了报告反映出的关键问题，为后续关注和解决提供了方向。 </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4" w:id="4"/>
      <w:r>
        <w:rPr>
          <w:rFonts w:eastAsia="等线" w:ascii="Arial" w:cs="Arial" w:hAnsi="Arial"/>
          <w:b w:val="true"/>
          <w:sz w:val="36"/>
        </w:rPr>
        <w:t>相关链接</w:t>
      </w:r>
      <w:bookmarkEnd w:id="4"/>
    </w:p>
    <w:p>
      <w:pPr>
        <w:numPr>
          <w:numId w:val="24"/>
        </w:numPr>
        <w:spacing w:before="120" w:after="120" w:line="288" w:lineRule="auto"/>
        <w:ind w:left="0"/>
        <w:jc w:val="left"/>
      </w:pPr>
      <w:r>
        <w:rPr>
          <w:rFonts w:eastAsia="等线" w:ascii="Arial" w:cs="Arial" w:hAnsi="Arial"/>
          <w:sz w:val="22"/>
        </w:rPr>
        <w:t>妙记：</w:t>
      </w:r>
      <w:hyperlink r:id="rId11">
        <w:r>
          <w:rPr>
            <w:rFonts w:eastAsia="等线" w:ascii="Arial" w:cs="Arial" w:hAnsi="Arial"/>
            <w:color w:val="3370ff"/>
            <w:sz w:val="22"/>
          </w:rPr>
          <w:t>10.如何读懂学习环境报告</w:t>
        </w:r>
      </w:hyperlink>
    </w:p>
    <w:p>
      <w:pPr>
        <w:numPr>
          <w:numId w:val="25"/>
        </w:numPr>
        <w:spacing w:before="120" w:after="120" w:line="288" w:lineRule="auto"/>
        <w:ind w:left="0"/>
        <w:jc w:val="left"/>
      </w:pPr>
      <w:r>
        <w:rPr>
          <w:rFonts w:eastAsia="等线" w:ascii="Arial" w:cs="Arial" w:hAnsi="Arial"/>
          <w:sz w:val="22"/>
        </w:rPr>
        <w:t>文字记录</w:t>
      </w:r>
    </w:p>
    <w:p>
      <w:pPr>
        <w:numPr>
          <w:numId w:val="26"/>
        </w:numPr>
        <w:spacing w:before="120" w:after="120" w:line="288" w:lineRule="auto"/>
        <w:ind w:left="453"/>
        <w:jc w:val="left"/>
      </w:pPr>
      <w:hyperlink r:id="rId12">
        <w:r>
          <w:rPr>
            <w:rFonts w:eastAsia="等线" w:ascii="Arial" w:cs="Arial" w:hAnsi="Arial"/>
            <w:color w:val="3370ff"/>
            <w:sz w:val="22"/>
          </w:rPr>
          <w:t>10.如何读懂学习环境报告 2026年1月22日</w:t>
        </w:r>
      </w:hyperlink>
    </w:p>
    <w:sectPr>
      <w:footerReference w:type="default" r:id="rId3"/>
      <w:headerReference w:type="default" r:id="rId13"/>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066443">
    <w:lvl>
      <w:numFmt w:val="bullet"/>
      <w:suff w:val="tab"/>
      <w:lvlText w:val="•"/>
      <w:rPr>
        <w:color w:val="3370ff"/>
      </w:rPr>
    </w:lvl>
  </w:abstractNum>
  <w:abstractNum w:abstractNumId="1066444">
    <w:lvl>
      <w:numFmt w:val="bullet"/>
      <w:suff w:val="tab"/>
      <w:lvlText w:val="￮"/>
      <w:rPr>
        <w:color w:val="3370ff"/>
      </w:rPr>
    </w:lvl>
  </w:abstractNum>
  <w:abstractNum w:abstractNumId="1066445">
    <w:lvl>
      <w:numFmt w:val="bullet"/>
      <w:suff w:val="tab"/>
      <w:lvlText w:val="▪"/>
      <w:rPr>
        <w:color w:val="3370ff"/>
        <w:sz w:val="11"/>
      </w:rPr>
    </w:lvl>
  </w:abstractNum>
  <w:abstractNum w:abstractNumId="1066446">
    <w:lvl>
      <w:numFmt w:val="bullet"/>
      <w:suff w:val="tab"/>
      <w:lvlText w:val="▪"/>
      <w:rPr>
        <w:color w:val="3370ff"/>
        <w:sz w:val="11"/>
      </w:rPr>
    </w:lvl>
  </w:abstractNum>
  <w:abstractNum w:abstractNumId="1066447">
    <w:lvl>
      <w:numFmt w:val="bullet"/>
      <w:suff w:val="tab"/>
      <w:lvlText w:val="￮"/>
      <w:rPr>
        <w:color w:val="3370ff"/>
      </w:rPr>
    </w:lvl>
  </w:abstractNum>
  <w:abstractNum w:abstractNumId="1066448">
    <w:lvl>
      <w:numFmt w:val="bullet"/>
      <w:suff w:val="tab"/>
      <w:lvlText w:val="▪"/>
      <w:rPr>
        <w:color w:val="3370ff"/>
        <w:sz w:val="11"/>
      </w:rPr>
    </w:lvl>
  </w:abstractNum>
  <w:abstractNum w:abstractNumId="1066449">
    <w:lvl>
      <w:numFmt w:val="bullet"/>
      <w:suff w:val="tab"/>
      <w:lvlText w:val="▪"/>
      <w:rPr>
        <w:color w:val="3370ff"/>
        <w:sz w:val="11"/>
      </w:rPr>
    </w:lvl>
  </w:abstractNum>
  <w:abstractNum w:abstractNumId="1066450">
    <w:lvl>
      <w:numFmt w:val="bullet"/>
      <w:suff w:val="tab"/>
      <w:lvlText w:val="•"/>
      <w:rPr>
        <w:color w:val="3370ff"/>
      </w:rPr>
    </w:lvl>
  </w:abstractNum>
  <w:abstractNum w:abstractNumId="1066451">
    <w:lvl>
      <w:numFmt w:val="bullet"/>
      <w:suff w:val="tab"/>
      <w:lvlText w:val="￮"/>
      <w:rPr>
        <w:color w:val="3370ff"/>
      </w:rPr>
    </w:lvl>
  </w:abstractNum>
  <w:abstractNum w:abstractNumId="1066452">
    <w:lvl>
      <w:numFmt w:val="bullet"/>
      <w:suff w:val="tab"/>
      <w:lvlText w:val="▪"/>
      <w:rPr>
        <w:color w:val="3370ff"/>
        <w:sz w:val="11"/>
      </w:rPr>
    </w:lvl>
  </w:abstractNum>
  <w:abstractNum w:abstractNumId="1066453">
    <w:lvl>
      <w:numFmt w:val="bullet"/>
      <w:suff w:val="tab"/>
      <w:lvlText w:val="▪"/>
      <w:rPr>
        <w:color w:val="3370ff"/>
        <w:sz w:val="11"/>
      </w:rPr>
    </w:lvl>
  </w:abstractNum>
  <w:abstractNum w:abstractNumId="1066454">
    <w:lvl>
      <w:numFmt w:val="bullet"/>
      <w:suff w:val="tab"/>
      <w:lvlText w:val="￮"/>
      <w:rPr>
        <w:color w:val="3370ff"/>
      </w:rPr>
    </w:lvl>
  </w:abstractNum>
  <w:abstractNum w:abstractNumId="1066455">
    <w:lvl>
      <w:numFmt w:val="bullet"/>
      <w:suff w:val="tab"/>
      <w:lvlText w:val="￮"/>
      <w:rPr>
        <w:color w:val="3370ff"/>
      </w:rPr>
    </w:lvl>
  </w:abstractNum>
  <w:abstractNum w:abstractNumId="1066456">
    <w:lvl>
      <w:numFmt w:val="bullet"/>
      <w:suff w:val="tab"/>
      <w:lvlText w:val="•"/>
      <w:rPr>
        <w:color w:val="3370ff"/>
      </w:rPr>
    </w:lvl>
  </w:abstractNum>
  <w:abstractNum w:abstractNumId="1066457">
    <w:lvl>
      <w:numFmt w:val="bullet"/>
      <w:suff w:val="tab"/>
      <w:lvlText w:val="￮"/>
      <w:rPr>
        <w:color w:val="3370ff"/>
      </w:rPr>
    </w:lvl>
  </w:abstractNum>
  <w:abstractNum w:abstractNumId="1066458">
    <w:lvl>
      <w:numFmt w:val="bullet"/>
      <w:suff w:val="tab"/>
      <w:lvlText w:val="￮"/>
      <w:rPr>
        <w:color w:val="3370ff"/>
      </w:rPr>
    </w:lvl>
  </w:abstractNum>
  <w:abstractNum w:abstractNumId="1066459">
    <w:lvl>
      <w:numFmt w:val="bullet"/>
      <w:suff w:val="tab"/>
      <w:lvlText w:val="▪"/>
      <w:rPr>
        <w:color w:val="3370ff"/>
        <w:sz w:val="11"/>
      </w:rPr>
    </w:lvl>
  </w:abstractNum>
  <w:abstractNum w:abstractNumId="1066460">
    <w:lvl>
      <w:numFmt w:val="bullet"/>
      <w:suff w:val="tab"/>
      <w:lvlText w:val="▪"/>
      <w:rPr>
        <w:color w:val="3370ff"/>
        <w:sz w:val="11"/>
      </w:rPr>
    </w:lvl>
  </w:abstractNum>
  <w:abstractNum w:abstractNumId="1066461">
    <w:lvl>
      <w:numFmt w:val="bullet"/>
      <w:suff w:val="tab"/>
      <w:lvlText w:val="￮"/>
      <w:rPr>
        <w:color w:val="3370ff"/>
      </w:rPr>
    </w:lvl>
  </w:abstractNum>
  <w:abstractNum w:abstractNumId="1066462">
    <w:lvl>
      <w:numFmt w:val="bullet"/>
      <w:suff w:val="tab"/>
      <w:lvlText w:val="•"/>
      <w:rPr>
        <w:color w:val="3370ff"/>
      </w:rPr>
    </w:lvl>
  </w:abstractNum>
  <w:abstractNum w:abstractNumId="1066463">
    <w:lvl>
      <w:numFmt w:val="bullet"/>
      <w:suff w:val="tab"/>
      <w:lvlText w:val="•"/>
      <w:rPr>
        <w:color w:val="3370ff"/>
      </w:rPr>
    </w:lvl>
  </w:abstractNum>
  <w:abstractNum w:abstractNumId="1066464">
    <w:lvl>
      <w:numFmt w:val="bullet"/>
      <w:suff w:val="tab"/>
      <w:lvlText w:val="•"/>
      <w:rPr>
        <w:color w:val="3370ff"/>
      </w:rPr>
    </w:lvl>
  </w:abstractNum>
  <w:abstractNum w:abstractNumId="1066465">
    <w:lvl>
      <w:numFmt w:val="bullet"/>
      <w:suff w:val="tab"/>
      <w:lvlText w:val="•"/>
      <w:rPr>
        <w:color w:val="3370ff"/>
      </w:rPr>
    </w:lvl>
  </w:abstractNum>
  <w:abstractNum w:abstractNumId="1066466">
    <w:lvl>
      <w:numFmt w:val="bullet"/>
      <w:suff w:val="tab"/>
      <w:lvlText w:val="•"/>
      <w:rPr>
        <w:color w:val="3370ff"/>
      </w:rPr>
    </w:lvl>
  </w:abstractNum>
  <w:abstractNum w:abstractNumId="1066467">
    <w:lvl>
      <w:numFmt w:val="bullet"/>
      <w:suff w:val="tab"/>
      <w:lvlText w:val="•"/>
      <w:rPr>
        <w:color w:val="3370ff"/>
      </w:rPr>
    </w:lvl>
  </w:abstractNum>
  <w:abstractNum w:abstractNumId="1066468">
    <w:lvl>
      <w:numFmt w:val="bullet"/>
      <w:suff w:val="tab"/>
      <w:lvlText w:val="￮"/>
      <w:rPr>
        <w:color w:val="3370ff"/>
      </w:rPr>
    </w:lvl>
  </w:abstractNum>
  <w:num w:numId="1">
    <w:abstractNumId w:val="1066443"/>
  </w:num>
  <w:num w:numId="2">
    <w:abstractNumId w:val="1066444"/>
  </w:num>
  <w:num w:numId="3">
    <w:abstractNumId w:val="1066445"/>
  </w:num>
  <w:num w:numId="4">
    <w:abstractNumId w:val="1066446"/>
  </w:num>
  <w:num w:numId="5">
    <w:abstractNumId w:val="1066447"/>
  </w:num>
  <w:num w:numId="6">
    <w:abstractNumId w:val="1066448"/>
  </w:num>
  <w:num w:numId="7">
    <w:abstractNumId w:val="1066449"/>
  </w:num>
  <w:num w:numId="8">
    <w:abstractNumId w:val="1066450"/>
  </w:num>
  <w:num w:numId="9">
    <w:abstractNumId w:val="1066451"/>
  </w:num>
  <w:num w:numId="10">
    <w:abstractNumId w:val="1066452"/>
  </w:num>
  <w:num w:numId="11">
    <w:abstractNumId w:val="1066453"/>
  </w:num>
  <w:num w:numId="12">
    <w:abstractNumId w:val="1066454"/>
  </w:num>
  <w:num w:numId="13">
    <w:abstractNumId w:val="1066455"/>
  </w:num>
  <w:num w:numId="14">
    <w:abstractNumId w:val="1066456"/>
  </w:num>
  <w:num w:numId="15">
    <w:abstractNumId w:val="1066457"/>
  </w:num>
  <w:num w:numId="16">
    <w:abstractNumId w:val="1066458"/>
  </w:num>
  <w:num w:numId="17">
    <w:abstractNumId w:val="1066459"/>
  </w:num>
  <w:num w:numId="18">
    <w:abstractNumId w:val="1066460"/>
  </w:num>
  <w:num w:numId="19">
    <w:abstractNumId w:val="1066461"/>
  </w:num>
  <w:num w:numId="20">
    <w:abstractNumId w:val="1066462"/>
  </w:num>
  <w:num w:numId="21">
    <w:abstractNumId w:val="1066463"/>
  </w:num>
  <w:num w:numId="22">
    <w:abstractNumId w:val="1066464"/>
  </w:num>
  <w:num w:numId="23">
    <w:abstractNumId w:val="1066465"/>
  </w:num>
  <w:num w:numId="24">
    <w:abstractNumId w:val="1066466"/>
  </w:num>
  <w:num w:numId="25">
    <w:abstractNumId w:val="1066467"/>
  </w:num>
  <w:num w:numId="26">
    <w:abstractNumId w:val="1066468"/>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hcnytq72r1ge.feishu.cn/minutes/obcnfn5qx58s3j2l6994w2r1?t=245000" TargetMode="External" Type="http://schemas.openxmlformats.org/officeDocument/2006/relationships/hyperlink"/><Relationship Id="rId11" Target="https://hcnytq72r1ge.feishu.cn/minutes/obcnfn5qx58s3j2l6994w2r1?from=ai_minutes" TargetMode="External" Type="http://schemas.openxmlformats.org/officeDocument/2006/relationships/hyperlink"/><Relationship Id="rId12" Target="https://hcnytq72r1ge.feishu.cn/docx/R5X0dYJvho5px6xtZF9cFrx5nAg" TargetMode="External" Type="http://schemas.openxmlformats.org/officeDocument/2006/relationships/hyperlink"/><Relationship Id="rId13"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media/image1.jpeg" Type="http://schemas.openxmlformats.org/officeDocument/2006/relationships/image"/><Relationship Id="rId5" Target="numbering.xml" Type="http://schemas.openxmlformats.org/officeDocument/2006/relationships/numbering"/><Relationship Id="rId6" Target="media/image2.png" Type="http://schemas.openxmlformats.org/officeDocument/2006/relationships/image"/><Relationship Id="rId7" Target="https://hcnytq72r1ge.feishu.cn/minutes/obcnfn5qx58s3j2l6994w2r1?t=5000" TargetMode="External" Type="http://schemas.openxmlformats.org/officeDocument/2006/relationships/hyperlink"/><Relationship Id="rId8" Target="https://hcnytq72r1ge.feishu.cn/minutes/obcnfn5qx58s3j2l6994w2r1?t=42000" TargetMode="External" Type="http://schemas.openxmlformats.org/officeDocument/2006/relationships/hyperlink"/><Relationship Id="rId9" Target="https://hcnytq72r1ge.feishu.cn/minutes/obcnfn5qx58s3j2l6994w2r1?t=140000"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2026-01-26T03:45:54Z</dcterms:created>
  <dc:creator>Apache POI</dc:creator>
</cp:coreProperties>
</file>