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智能纪要：11.如何读懂学生卓越学习力报告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会议主题：11.如何读懂学生卓越学习力报告</w:t>
            </w:r>
          </w:p>
          <w:p>
            <w:pPr>
              <w:spacing w:before="120" w:after="120" w:line="288" w:lineRule="auto"/>
              <w:ind w:left="0"/>
              <w:jc w:val="left"/>
            </w:pPr>
            <w:r>
              <w:rPr>
                <w:rFonts w:eastAsia="等线" w:ascii="Arial" w:cs="Arial" w:hAnsi="Arial"/>
                <w:color w:val="646a73"/>
                <w:sz w:val="22"/>
              </w:rPr>
              <w:t>上传时间：1月22号（周四） 21:58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4290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429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本次会议围绕道全能学业规划师初级课程中卓越学习力报告解读展开，介绍了卓越学习力的定义、适用范围、衡量指标等内容，为学员提供了对中学生卓越学习力的全面认识。内容如下：</w:t>
      </w:r>
    </w:p>
    <w:p>
      <w:pPr>
        <w:numPr>
          <w:numId w:val="1"/>
        </w:numPr>
        <w:spacing w:before="120" w:after="120" w:line="288" w:lineRule="auto"/>
        <w:ind w:left="0"/>
        <w:jc w:val="left"/>
      </w:pPr>
      <w:r>
        <w:rPr>
          <w:rFonts w:eastAsia="等线" w:ascii="Arial" w:cs="Arial" w:hAnsi="Arial"/>
          <w:b w:val="true"/>
          <w:sz w:val="22"/>
        </w:rPr>
        <w:t>卓越学习力概述</w:t>
      </w:r>
    </w:p>
    <w:p>
      <w:pPr>
        <w:numPr>
          <w:numId w:val="2"/>
        </w:numPr>
        <w:spacing w:before="120" w:after="120" w:line="288" w:lineRule="auto"/>
        <w:ind w:left="453"/>
        <w:jc w:val="left"/>
      </w:pPr>
      <w:r>
        <w:rPr>
          <w:rFonts w:eastAsia="等线" w:ascii="Arial" w:cs="Arial" w:hAnsi="Arial"/>
          <w:b w:val="true"/>
          <w:sz w:val="22"/>
        </w:rPr>
        <w:t>适用范围</w:t>
      </w:r>
      <w:r>
        <w:rPr>
          <w:rFonts w:eastAsia="等线" w:ascii="Arial" w:cs="Arial" w:hAnsi="Arial"/>
          <w:sz w:val="22"/>
        </w:rPr>
        <w:t>：说话人1强调卓越学习力评估只针对初中生和高中生，小学阶段不进行此项评估。</w:t>
      </w:r>
    </w:p>
    <w:p>
      <w:pPr>
        <w:numPr>
          <w:numId w:val="3"/>
        </w:numPr>
        <w:spacing w:before="120" w:after="120" w:line="288" w:lineRule="auto"/>
        <w:ind w:left="453"/>
        <w:jc w:val="left"/>
      </w:pPr>
      <w:r>
        <w:rPr>
          <w:rFonts w:eastAsia="等线" w:ascii="Arial" w:cs="Arial" w:hAnsi="Arial"/>
          <w:b w:val="true"/>
          <w:sz w:val="22"/>
        </w:rPr>
        <w:t>定义解读</w:t>
      </w:r>
    </w:p>
    <w:p>
      <w:pPr>
        <w:numPr>
          <w:numId w:val="4"/>
        </w:numPr>
        <w:spacing w:before="120" w:after="120" w:line="288" w:lineRule="auto"/>
        <w:ind w:left="907"/>
        <w:jc w:val="left"/>
      </w:pPr>
      <w:r>
        <w:rPr>
          <w:rFonts w:eastAsia="等线" w:ascii="Arial" w:cs="Arial" w:hAnsi="Arial"/>
          <w:sz w:val="22"/>
        </w:rPr>
        <w:t>正式定义：卓越学习力指孩子有意识地进行自我完善、思维升级，追求更好状态和更高目标，体现成长型思维。</w:t>
      </w:r>
    </w:p>
    <w:p>
      <w:pPr>
        <w:numPr>
          <w:numId w:val="5"/>
        </w:numPr>
        <w:spacing w:before="120" w:after="120" w:line="288" w:lineRule="auto"/>
        <w:ind w:left="907"/>
        <w:jc w:val="left"/>
      </w:pPr>
      <w:r>
        <w:rPr>
          <w:rFonts w:eastAsia="等线" w:ascii="Arial" w:cs="Arial" w:hAnsi="Arial"/>
          <w:sz w:val="22"/>
        </w:rPr>
        <w:t>通俗理解：即孩子是否具备成长型思维，与固定思维相对。</w:t>
      </w:r>
    </w:p>
    <w:p>
      <w:pPr>
        <w:numPr>
          <w:numId w:val="6"/>
        </w:numPr>
        <w:spacing w:before="120" w:after="120" w:line="288" w:lineRule="auto"/>
        <w:ind w:left="0"/>
        <w:jc w:val="left"/>
      </w:pPr>
      <w:r>
        <w:rPr>
          <w:rFonts w:eastAsia="等线" w:ascii="Arial" w:cs="Arial" w:hAnsi="Arial"/>
          <w:b w:val="true"/>
          <w:sz w:val="22"/>
        </w:rPr>
        <w:t>卓越学习力衡量指标</w:t>
      </w:r>
    </w:p>
    <w:p>
      <w:pPr>
        <w:numPr>
          <w:numId w:val="7"/>
        </w:numPr>
        <w:spacing w:before="120" w:after="120" w:line="288" w:lineRule="auto"/>
        <w:ind w:left="453"/>
        <w:jc w:val="left"/>
      </w:pPr>
      <w:r>
        <w:rPr>
          <w:rFonts w:eastAsia="等线" w:ascii="Arial" w:cs="Arial" w:hAnsi="Arial"/>
          <w:b w:val="true"/>
          <w:sz w:val="22"/>
        </w:rPr>
        <w:t>卓越动力</w:t>
      </w:r>
    </w:p>
    <w:p>
      <w:pPr>
        <w:numPr>
          <w:numId w:val="8"/>
        </w:numPr>
        <w:spacing w:before="120" w:after="120" w:line="288" w:lineRule="auto"/>
        <w:ind w:left="907"/>
        <w:jc w:val="left"/>
      </w:pPr>
      <w:r>
        <w:rPr>
          <w:rFonts w:eastAsia="等线" w:ascii="Arial" w:cs="Arial" w:hAnsi="Arial"/>
          <w:sz w:val="22"/>
        </w:rPr>
        <w:t>指标含义：指孩子改变现状的意愿程度，案例中的孩子有强烈意愿改变学业问题。</w:t>
      </w:r>
    </w:p>
    <w:p>
      <w:pPr>
        <w:numPr>
          <w:numId w:val="9"/>
        </w:numPr>
        <w:spacing w:before="120" w:after="120" w:line="288" w:lineRule="auto"/>
        <w:ind w:left="907"/>
        <w:jc w:val="left"/>
      </w:pPr>
      <w:r>
        <w:rPr>
          <w:rFonts w:eastAsia="等线" w:ascii="Arial" w:cs="Arial" w:hAnsi="Arial"/>
          <w:sz w:val="22"/>
        </w:rPr>
        <w:t>对比与建议：该指标会与 985 目标线对比，解决学习动力和卓越学习力相关问题的更多讲解将在高级课程中进行。</w:t>
      </w:r>
    </w:p>
    <w:p>
      <w:pPr>
        <w:numPr>
          <w:numId w:val="10"/>
        </w:numPr>
        <w:spacing w:before="120" w:after="120" w:line="288" w:lineRule="auto"/>
        <w:ind w:left="453"/>
        <w:jc w:val="left"/>
      </w:pPr>
      <w:r>
        <w:rPr>
          <w:rFonts w:eastAsia="等线" w:ascii="Arial" w:cs="Arial" w:hAnsi="Arial"/>
          <w:b w:val="true"/>
          <w:sz w:val="22"/>
        </w:rPr>
        <w:t>卓越执行力</w:t>
      </w:r>
    </w:p>
    <w:p>
      <w:pPr>
        <w:numPr>
          <w:numId w:val="11"/>
        </w:numPr>
        <w:spacing w:before="120" w:after="120" w:line="288" w:lineRule="auto"/>
        <w:ind w:left="907"/>
        <w:jc w:val="left"/>
      </w:pPr>
      <w:r>
        <w:rPr>
          <w:rFonts w:eastAsia="等线" w:ascii="Arial" w:cs="Arial" w:hAnsi="Arial"/>
          <w:sz w:val="22"/>
        </w:rPr>
        <w:t>指标含义：指能否定期通过系统复盘和自我反思来提升自己，案例中的孩子在这方面表现尚可。</w:t>
      </w:r>
    </w:p>
    <w:p>
      <w:pPr>
        <w:numPr>
          <w:numId w:val="12"/>
        </w:numPr>
        <w:spacing w:before="120" w:after="120" w:line="288" w:lineRule="auto"/>
        <w:ind w:left="907"/>
        <w:jc w:val="left"/>
      </w:pPr>
      <w:r>
        <w:rPr>
          <w:rFonts w:eastAsia="等线" w:ascii="Arial" w:cs="Arial" w:hAnsi="Arial"/>
          <w:sz w:val="22"/>
        </w:rPr>
        <w:t>结论与建议：同样会给出结论和建议，具体内容未详细提及。</w:t>
      </w:r>
    </w:p>
    <w:p>
      <w:pPr>
        <w:numPr>
          <w:numId w:val="13"/>
        </w:numPr>
        <w:spacing w:before="120" w:after="120" w:line="288" w:lineRule="auto"/>
        <w:ind w:left="453"/>
        <w:jc w:val="left"/>
      </w:pPr>
      <w:r>
        <w:rPr>
          <w:rFonts w:eastAsia="等线" w:ascii="Arial" w:cs="Arial" w:hAnsi="Arial"/>
          <w:b w:val="true"/>
          <w:sz w:val="22"/>
        </w:rPr>
        <w:t>卓越能力</w:t>
      </w:r>
    </w:p>
    <w:p>
      <w:pPr>
        <w:numPr>
          <w:numId w:val="14"/>
        </w:numPr>
        <w:spacing w:before="120" w:after="120" w:line="288" w:lineRule="auto"/>
        <w:ind w:left="907"/>
        <w:jc w:val="left"/>
      </w:pPr>
      <w:r>
        <w:rPr>
          <w:rFonts w:eastAsia="等线" w:ascii="Arial" w:cs="Arial" w:hAnsi="Arial"/>
          <w:sz w:val="22"/>
        </w:rPr>
        <w:t>指标含义：指孩子不断突破自身障碍、激发学习潜能，获得终身学习能力的能力。案例中的孩子此项指标相对较低。</w:t>
      </w:r>
    </w:p>
    <w:p>
      <w:pPr>
        <w:numPr>
          <w:numId w:val="15"/>
        </w:numPr>
        <w:spacing w:before="120" w:after="120" w:line="288" w:lineRule="auto"/>
        <w:ind w:left="907"/>
        <w:jc w:val="left"/>
      </w:pPr>
      <w:r>
        <w:rPr>
          <w:rFonts w:eastAsia="等线" w:ascii="Arial" w:cs="Arial" w:hAnsi="Arial"/>
          <w:sz w:val="22"/>
        </w:rPr>
        <w:t>思维差异：拥有成长型思维的孩子会积极应对自身能力问题，而固定思维的孩子则容易自我设限。</w:t>
      </w:r>
    </w:p>
    <w:p>
      <w:pPr>
        <w:numPr>
          <w:numId w:val="16"/>
        </w:numPr>
        <w:spacing w:before="120" w:after="120" w:line="288" w:lineRule="auto"/>
        <w:ind w:left="453"/>
        <w:jc w:val="left"/>
      </w:pPr>
      <w:r>
        <w:rPr>
          <w:rFonts w:eastAsia="等线" w:ascii="Arial" w:cs="Arial" w:hAnsi="Arial"/>
          <w:b w:val="true"/>
          <w:sz w:val="22"/>
        </w:rPr>
        <w:t>环境认知</w:t>
      </w:r>
    </w:p>
    <w:p>
      <w:pPr>
        <w:numPr>
          <w:numId w:val="17"/>
        </w:numPr>
        <w:spacing w:before="120" w:after="120" w:line="288" w:lineRule="auto"/>
        <w:ind w:left="907"/>
        <w:jc w:val="left"/>
      </w:pPr>
      <w:r>
        <w:rPr>
          <w:rFonts w:eastAsia="等线" w:ascii="Arial" w:cs="Arial" w:hAnsi="Arial"/>
          <w:sz w:val="22"/>
        </w:rPr>
        <w:t>指标含义：指孩子对周围环境影响的认知和应对能力。</w:t>
      </w:r>
    </w:p>
    <w:p>
      <w:pPr>
        <w:numPr>
          <w:numId w:val="18"/>
        </w:numPr>
        <w:spacing w:before="120" w:after="120" w:line="288" w:lineRule="auto"/>
        <w:ind w:left="907"/>
        <w:jc w:val="left"/>
      </w:pPr>
      <w:r>
        <w:rPr>
          <w:rFonts w:eastAsia="等线" w:ascii="Arial" w:cs="Arial" w:hAnsi="Arial"/>
          <w:sz w:val="22"/>
        </w:rPr>
        <w:t>思维差异：成长型思维的孩子不会受环境限制，会积极寻找解决问题的方法，而固定思维的孩子则容易因环境因素放弃努力。</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6">
        <w:r>
          <w:rPr>
            <w:rFonts w:eastAsia="等线" w:ascii="Arial" w:cs="Arial" w:hAnsi="Arial"/>
            <w:color w:val="3370ff"/>
            <w:sz w:val="22"/>
          </w:rPr>
          <w:t>00:05</w:t>
        </w:r>
      </w:hyperlink>
      <w:r>
        <w:rPr>
          <w:rFonts w:eastAsia="等线" w:ascii="Arial" w:cs="Arial" w:hAnsi="Arial"/>
          <w:b w:val="true"/>
          <w:sz w:val="22"/>
        </w:rPr>
        <w:t xml:space="preserve">  初级课程介绍中学生卓越学习力报告解读</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是道全能学业规划师初级课程，聚焦卓越学习力报告解读。强调卓越学习力评估仅针对初中生和高中生，小学阶段不涉及。介绍了卓越学习力的正式含义，指孩子有意识自我完善、思维升级，追求更好状态和更高目标，也通俗解释为孩子有无成长型思维，还提及对应的固定思维。</w:t>
            </w:r>
          </w:p>
        </w:tc>
      </w:tr>
    </w:tbl>
    <w:p>
      <w:pPr>
        <w:spacing w:before="120" w:after="120" w:line="288" w:lineRule="auto"/>
        <w:ind w:left="0"/>
        <w:jc w:val="left"/>
      </w:pPr>
      <w:hyperlink r:id="rId7">
        <w:r>
          <w:rPr>
            <w:rFonts w:eastAsia="等线" w:ascii="Arial" w:cs="Arial" w:hAnsi="Arial"/>
            <w:color w:val="3370ff"/>
            <w:sz w:val="22"/>
          </w:rPr>
          <w:t>01:26</w:t>
        </w:r>
      </w:hyperlink>
      <w:r>
        <w:rPr>
          <w:rFonts w:eastAsia="等线" w:ascii="Arial" w:cs="Arial" w:hAnsi="Arial"/>
          <w:b w:val="true"/>
          <w:sz w:val="22"/>
        </w:rPr>
        <w:t xml:space="preserve">  卓越学习力指标、雷达图及孩子情况介绍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卓越学习力由四个指标衡量，需留意指标数字指超过同龄人的比例而非考试得分。会通过雷达图呈现四个指标数值及与985线对比情况。以某案例说明，该孩子卓越能力与985目标线有差距，其他三个指标相对较好，雷达图可帮助快速对孩子有大致认知。</w:t>
            </w:r>
          </w:p>
        </w:tc>
      </w:tr>
    </w:tbl>
    <w:p>
      <w:pPr>
        <w:spacing w:before="120" w:after="120" w:line="288" w:lineRule="auto"/>
        <w:ind w:left="0"/>
        <w:jc w:val="left"/>
      </w:pPr>
      <w:hyperlink r:id="rId8">
        <w:r>
          <w:rPr>
            <w:rFonts w:eastAsia="等线" w:ascii="Arial" w:cs="Arial" w:hAnsi="Arial"/>
            <w:color w:val="3370ff"/>
            <w:sz w:val="22"/>
          </w:rPr>
          <w:t>02:29</w:t>
        </w:r>
      </w:hyperlink>
      <w:r>
        <w:rPr>
          <w:rFonts w:eastAsia="等线" w:ascii="Arial" w:cs="Arial" w:hAnsi="Arial"/>
          <w:b w:val="true"/>
          <w:sz w:val="22"/>
        </w:rPr>
        <w:t xml:space="preserve">  卓越动力与执行力指标解释及课程建议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两项指标的名词解释及相关建议。首先是卓越动力，指孩子改变学业现状的意愿程度，该指标与卓越学习力有关联，更多讲解将在高级课程中呈现；其次是卓越执行力，即能否定期通过系统复盘和自我反思，此指标表现尚可，也会给到相应结论和建议。</w:t>
            </w:r>
          </w:p>
        </w:tc>
      </w:tr>
    </w:tbl>
    <w:p>
      <w:pPr>
        <w:spacing w:before="120" w:after="120" w:line="288" w:lineRule="auto"/>
        <w:ind w:left="0"/>
        <w:jc w:val="left"/>
      </w:pPr>
      <w:hyperlink r:id="rId9">
        <w:r>
          <w:rPr>
            <w:rFonts w:eastAsia="等线" w:ascii="Arial" w:cs="Arial" w:hAnsi="Arial"/>
            <w:color w:val="3370ff"/>
            <w:sz w:val="22"/>
          </w:rPr>
          <w:t>04:03</w:t>
        </w:r>
      </w:hyperlink>
      <w:r>
        <w:rPr>
          <w:rFonts w:eastAsia="等线" w:ascii="Arial" w:cs="Arial" w:hAnsi="Arial"/>
          <w:b w:val="true"/>
          <w:sz w:val="22"/>
        </w:rPr>
        <w:t xml:space="preserve">  卓越能力与成长型思维的体现及差距分析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第三项卓越能力，即不断突破自我、激发学习潜能以获得终身学习能力。与985对比，部分孩子此项能力较低，他们认为能力无法改变，遇到没做过或不擅长的事就拒绝。而拥有成长型思维的孩子会积极应对，把做事当作提升能力的机会，还会主动向他人学习。</w:t>
            </w:r>
          </w:p>
        </w:tc>
      </w:tr>
    </w:tbl>
    <w:p>
      <w:pPr>
        <w:spacing w:before="120" w:after="120" w:line="288" w:lineRule="auto"/>
        <w:ind w:left="0"/>
        <w:jc w:val="left"/>
      </w:pPr>
      <w:hyperlink r:id="rId10">
        <w:r>
          <w:rPr>
            <w:rFonts w:eastAsia="等线" w:ascii="Arial" w:cs="Arial" w:hAnsi="Arial"/>
            <w:color w:val="3370ff"/>
            <w:sz w:val="22"/>
          </w:rPr>
          <w:t>06:24</w:t>
        </w:r>
      </w:hyperlink>
      <w:r>
        <w:rPr>
          <w:rFonts w:eastAsia="等线" w:ascii="Arial" w:cs="Arial" w:hAnsi="Arial"/>
          <w:b w:val="true"/>
          <w:sz w:val="22"/>
        </w:rPr>
        <w:t xml:space="preserve">  卓越学习力之环境认知及应对方式分享</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环境认知指标，其关注周围环境对人的影响。以是否因经济条件无法上补习班为例，说明不同态度的差异。拥有成长型思维的孩子不会受环境限制，会积极通过向同学借书、请教同学、去图书馆等方式解决问题，最后提及这是关于卓越学习力的分享。</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19"/>
        </w:numPr>
        <w:spacing w:before="120" w:after="120" w:line="288" w:lineRule="auto"/>
        <w:ind w:left="0"/>
        <w:jc w:val="left"/>
      </w:pPr>
      <w:r>
        <w:rPr>
          <w:rFonts w:eastAsia="等线" w:ascii="Arial" w:cs="Arial" w:hAnsi="Arial"/>
          <w:b w:val="true"/>
          <w:sz w:val="22"/>
        </w:rPr>
        <w:t>课程介绍</w:t>
      </w:r>
      <w:r>
        <w:rPr>
          <w:rFonts w:eastAsia="等线" w:ascii="Arial" w:cs="Arial" w:hAnsi="Arial"/>
          <w:sz w:val="22"/>
        </w:rPr>
        <w:t>：本次是初级课程，学习卓越学习力报告解读，该评估仅针对中学生。</w:t>
      </w:r>
    </w:p>
    <w:p>
      <w:pPr>
        <w:numPr>
          <w:numId w:val="20"/>
        </w:numPr>
        <w:spacing w:before="120" w:after="120" w:line="288" w:lineRule="auto"/>
        <w:ind w:left="0"/>
        <w:jc w:val="left"/>
      </w:pPr>
      <w:r>
        <w:rPr>
          <w:rFonts w:eastAsia="等线" w:ascii="Arial" w:cs="Arial" w:hAnsi="Arial"/>
          <w:b w:val="true"/>
          <w:sz w:val="22"/>
        </w:rPr>
        <w:t>卓越学习力定义</w:t>
      </w:r>
      <w:r>
        <w:rPr>
          <w:rFonts w:eastAsia="等线" w:ascii="Arial" w:cs="Arial" w:hAnsi="Arial"/>
          <w:sz w:val="22"/>
        </w:rPr>
        <w:t>：指孩子有意识自我完善、思维升级，追求更好状态和更高目标，体现成长型思维。</w:t>
      </w:r>
    </w:p>
    <w:p>
      <w:pPr>
        <w:numPr>
          <w:numId w:val="21"/>
        </w:numPr>
        <w:spacing w:before="120" w:after="120" w:line="288" w:lineRule="auto"/>
        <w:ind w:left="0"/>
        <w:jc w:val="left"/>
      </w:pPr>
      <w:r>
        <w:rPr>
          <w:rFonts w:eastAsia="等线" w:ascii="Arial" w:cs="Arial" w:hAnsi="Arial"/>
          <w:b w:val="true"/>
          <w:sz w:val="22"/>
        </w:rPr>
        <w:t>评估指标</w:t>
      </w:r>
      <w:r>
        <w:rPr>
          <w:rFonts w:eastAsia="等线" w:ascii="Arial" w:cs="Arial" w:hAnsi="Arial"/>
          <w:sz w:val="22"/>
        </w:rPr>
        <w:t>：卓越学习力通过卓越动力、卓越执行力、卓越能力、环境认知四个指标衡量，各指标有对应解释和建议，更多讲解在高级课程。</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「卓越学习力指孩子能否有意识地进行自我完善和思维层面的升级，以追求更好的状态和更高的目标，体现了一个人的成长型思维。」</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清晰明确地阐述了卓越学习力的定义，突出了会议主题的核心观点。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「拥有成长型思维的孩子会觉得，去做一件事情，不管结果好与坏，都能收获一定的能力。」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提出了成长型思维在面对事情时的积极态度，具有独特洞察，能引发思考。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「拥有成长型思维的孩子不会让环境限制自己的发展，会积极努力地通过其他方式解决问题。」</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强调了成长型思维在应对环境限制时的积极做法，是会议主题的重要体现，能让读者快速理解含义。</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2"/>
        </w:numPr>
        <w:spacing w:before="120" w:after="120" w:line="288" w:lineRule="auto"/>
        <w:ind w:left="0"/>
        <w:jc w:val="left"/>
      </w:pPr>
      <w:r>
        <w:rPr>
          <w:rFonts w:eastAsia="等线" w:ascii="Arial" w:cs="Arial" w:hAnsi="Arial"/>
          <w:sz w:val="22"/>
        </w:rPr>
        <w:t>妙记：</w:t>
      </w:r>
      <w:hyperlink r:id="rId11">
        <w:r>
          <w:rPr>
            <w:rFonts w:eastAsia="等线" w:ascii="Arial" w:cs="Arial" w:hAnsi="Arial"/>
            <w:color w:val="3370ff"/>
            <w:sz w:val="22"/>
          </w:rPr>
          <w:t>11.如何读懂学生卓越学习力报告</w:t>
        </w:r>
      </w:hyperlink>
    </w:p>
    <w:p>
      <w:pPr>
        <w:numPr>
          <w:numId w:val="23"/>
        </w:numPr>
        <w:spacing w:before="120" w:after="120" w:line="288" w:lineRule="auto"/>
        <w:ind w:left="0"/>
        <w:jc w:val="left"/>
      </w:pPr>
      <w:r>
        <w:rPr>
          <w:rFonts w:eastAsia="等线" w:ascii="Arial" w:cs="Arial" w:hAnsi="Arial"/>
          <w:sz w:val="22"/>
        </w:rPr>
        <w:t>文字记录</w:t>
      </w:r>
    </w:p>
    <w:p>
      <w:pPr>
        <w:numPr>
          <w:numId w:val="24"/>
        </w:numPr>
        <w:spacing w:before="120" w:after="120" w:line="288" w:lineRule="auto"/>
        <w:ind w:left="453"/>
        <w:jc w:val="left"/>
      </w:pPr>
      <w:hyperlink r:id="rId12">
        <w:r>
          <w:rPr>
            <w:rFonts w:eastAsia="等线" w:ascii="Arial" w:cs="Arial" w:hAnsi="Arial"/>
            <w:color w:val="3370ff"/>
            <w:sz w:val="22"/>
          </w:rPr>
          <w:t>11.如何读懂学生卓越学习力报告 2026年1月22日</w:t>
        </w:r>
      </w:hyperlink>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93303">
    <w:lvl>
      <w:numFmt w:val="bullet"/>
      <w:suff w:val="tab"/>
      <w:lvlText w:val="•"/>
      <w:rPr>
        <w:color w:val="3370ff"/>
      </w:rPr>
    </w:lvl>
  </w:abstractNum>
  <w:abstractNum w:abstractNumId="993304">
    <w:lvl>
      <w:numFmt w:val="bullet"/>
      <w:suff w:val="tab"/>
      <w:lvlText w:val="￮"/>
      <w:rPr>
        <w:color w:val="3370ff"/>
      </w:rPr>
    </w:lvl>
  </w:abstractNum>
  <w:abstractNum w:abstractNumId="993305">
    <w:lvl>
      <w:numFmt w:val="bullet"/>
      <w:suff w:val="tab"/>
      <w:lvlText w:val="￮"/>
      <w:rPr>
        <w:color w:val="3370ff"/>
      </w:rPr>
    </w:lvl>
  </w:abstractNum>
  <w:abstractNum w:abstractNumId="993306">
    <w:lvl>
      <w:numFmt w:val="bullet"/>
      <w:suff w:val="tab"/>
      <w:lvlText w:val="▪"/>
      <w:rPr>
        <w:color w:val="3370ff"/>
        <w:sz w:val="11"/>
      </w:rPr>
    </w:lvl>
  </w:abstractNum>
  <w:abstractNum w:abstractNumId="993307">
    <w:lvl>
      <w:numFmt w:val="bullet"/>
      <w:suff w:val="tab"/>
      <w:lvlText w:val="▪"/>
      <w:rPr>
        <w:color w:val="3370ff"/>
        <w:sz w:val="11"/>
      </w:rPr>
    </w:lvl>
  </w:abstractNum>
  <w:abstractNum w:abstractNumId="993308">
    <w:lvl>
      <w:numFmt w:val="bullet"/>
      <w:suff w:val="tab"/>
      <w:lvlText w:val="•"/>
      <w:rPr>
        <w:color w:val="3370ff"/>
      </w:rPr>
    </w:lvl>
  </w:abstractNum>
  <w:abstractNum w:abstractNumId="993309">
    <w:lvl>
      <w:numFmt w:val="bullet"/>
      <w:suff w:val="tab"/>
      <w:lvlText w:val="￮"/>
      <w:rPr>
        <w:color w:val="3370ff"/>
      </w:rPr>
    </w:lvl>
  </w:abstractNum>
  <w:abstractNum w:abstractNumId="993310">
    <w:lvl>
      <w:numFmt w:val="bullet"/>
      <w:suff w:val="tab"/>
      <w:lvlText w:val="▪"/>
      <w:rPr>
        <w:color w:val="3370ff"/>
        <w:sz w:val="11"/>
      </w:rPr>
    </w:lvl>
  </w:abstractNum>
  <w:abstractNum w:abstractNumId="993311">
    <w:lvl>
      <w:numFmt w:val="bullet"/>
      <w:suff w:val="tab"/>
      <w:lvlText w:val="▪"/>
      <w:rPr>
        <w:color w:val="3370ff"/>
        <w:sz w:val="11"/>
      </w:rPr>
    </w:lvl>
  </w:abstractNum>
  <w:abstractNum w:abstractNumId="993312">
    <w:lvl>
      <w:numFmt w:val="bullet"/>
      <w:suff w:val="tab"/>
      <w:lvlText w:val="￮"/>
      <w:rPr>
        <w:color w:val="3370ff"/>
      </w:rPr>
    </w:lvl>
  </w:abstractNum>
  <w:abstractNum w:abstractNumId="993313">
    <w:lvl>
      <w:numFmt w:val="bullet"/>
      <w:suff w:val="tab"/>
      <w:lvlText w:val="▪"/>
      <w:rPr>
        <w:color w:val="3370ff"/>
        <w:sz w:val="11"/>
      </w:rPr>
    </w:lvl>
  </w:abstractNum>
  <w:abstractNum w:abstractNumId="993314">
    <w:lvl>
      <w:numFmt w:val="bullet"/>
      <w:suff w:val="tab"/>
      <w:lvlText w:val="▪"/>
      <w:rPr>
        <w:color w:val="3370ff"/>
        <w:sz w:val="11"/>
      </w:rPr>
    </w:lvl>
  </w:abstractNum>
  <w:abstractNum w:abstractNumId="993315">
    <w:lvl>
      <w:numFmt w:val="bullet"/>
      <w:suff w:val="tab"/>
      <w:lvlText w:val="￮"/>
      <w:rPr>
        <w:color w:val="3370ff"/>
      </w:rPr>
    </w:lvl>
  </w:abstractNum>
  <w:abstractNum w:abstractNumId="993316">
    <w:lvl>
      <w:numFmt w:val="bullet"/>
      <w:suff w:val="tab"/>
      <w:lvlText w:val="▪"/>
      <w:rPr>
        <w:color w:val="3370ff"/>
        <w:sz w:val="11"/>
      </w:rPr>
    </w:lvl>
  </w:abstractNum>
  <w:abstractNum w:abstractNumId="993317">
    <w:lvl>
      <w:numFmt w:val="bullet"/>
      <w:suff w:val="tab"/>
      <w:lvlText w:val="▪"/>
      <w:rPr>
        <w:color w:val="3370ff"/>
        <w:sz w:val="11"/>
      </w:rPr>
    </w:lvl>
  </w:abstractNum>
  <w:abstractNum w:abstractNumId="993318">
    <w:lvl>
      <w:numFmt w:val="bullet"/>
      <w:suff w:val="tab"/>
      <w:lvlText w:val="￮"/>
      <w:rPr>
        <w:color w:val="3370ff"/>
      </w:rPr>
    </w:lvl>
  </w:abstractNum>
  <w:abstractNum w:abstractNumId="993319">
    <w:lvl>
      <w:numFmt w:val="bullet"/>
      <w:suff w:val="tab"/>
      <w:lvlText w:val="▪"/>
      <w:rPr>
        <w:color w:val="3370ff"/>
        <w:sz w:val="11"/>
      </w:rPr>
    </w:lvl>
  </w:abstractNum>
  <w:abstractNum w:abstractNumId="993320">
    <w:lvl>
      <w:numFmt w:val="bullet"/>
      <w:suff w:val="tab"/>
      <w:lvlText w:val="▪"/>
      <w:rPr>
        <w:color w:val="3370ff"/>
        <w:sz w:val="11"/>
      </w:rPr>
    </w:lvl>
  </w:abstractNum>
  <w:abstractNum w:abstractNumId="993321">
    <w:lvl>
      <w:numFmt w:val="bullet"/>
      <w:suff w:val="tab"/>
      <w:lvlText w:val="•"/>
      <w:rPr>
        <w:color w:val="3370ff"/>
      </w:rPr>
    </w:lvl>
  </w:abstractNum>
  <w:abstractNum w:abstractNumId="993322">
    <w:lvl>
      <w:numFmt w:val="bullet"/>
      <w:suff w:val="tab"/>
      <w:lvlText w:val="•"/>
      <w:rPr>
        <w:color w:val="3370ff"/>
      </w:rPr>
    </w:lvl>
  </w:abstractNum>
  <w:abstractNum w:abstractNumId="993323">
    <w:lvl>
      <w:numFmt w:val="bullet"/>
      <w:suff w:val="tab"/>
      <w:lvlText w:val="•"/>
      <w:rPr>
        <w:color w:val="3370ff"/>
      </w:rPr>
    </w:lvl>
  </w:abstractNum>
  <w:abstractNum w:abstractNumId="993324">
    <w:lvl>
      <w:numFmt w:val="bullet"/>
      <w:suff w:val="tab"/>
      <w:lvlText w:val="•"/>
      <w:rPr>
        <w:color w:val="3370ff"/>
      </w:rPr>
    </w:lvl>
  </w:abstractNum>
  <w:abstractNum w:abstractNumId="993325">
    <w:lvl>
      <w:numFmt w:val="bullet"/>
      <w:suff w:val="tab"/>
      <w:lvlText w:val="•"/>
      <w:rPr>
        <w:color w:val="3370ff"/>
      </w:rPr>
    </w:lvl>
  </w:abstractNum>
  <w:abstractNum w:abstractNumId="993326">
    <w:lvl>
      <w:numFmt w:val="bullet"/>
      <w:suff w:val="tab"/>
      <w:lvlText w:val="￮"/>
      <w:rPr>
        <w:color w:val="3370ff"/>
      </w:rPr>
    </w:lvl>
  </w:abstractNum>
  <w:num w:numId="1">
    <w:abstractNumId w:val="993303"/>
  </w:num>
  <w:num w:numId="2">
    <w:abstractNumId w:val="993304"/>
  </w:num>
  <w:num w:numId="3">
    <w:abstractNumId w:val="993305"/>
  </w:num>
  <w:num w:numId="4">
    <w:abstractNumId w:val="993306"/>
  </w:num>
  <w:num w:numId="5">
    <w:abstractNumId w:val="993307"/>
  </w:num>
  <w:num w:numId="6">
    <w:abstractNumId w:val="993308"/>
  </w:num>
  <w:num w:numId="7">
    <w:abstractNumId w:val="993309"/>
  </w:num>
  <w:num w:numId="8">
    <w:abstractNumId w:val="993310"/>
  </w:num>
  <w:num w:numId="9">
    <w:abstractNumId w:val="993311"/>
  </w:num>
  <w:num w:numId="10">
    <w:abstractNumId w:val="993312"/>
  </w:num>
  <w:num w:numId="11">
    <w:abstractNumId w:val="993313"/>
  </w:num>
  <w:num w:numId="12">
    <w:abstractNumId w:val="993314"/>
  </w:num>
  <w:num w:numId="13">
    <w:abstractNumId w:val="993315"/>
  </w:num>
  <w:num w:numId="14">
    <w:abstractNumId w:val="993316"/>
  </w:num>
  <w:num w:numId="15">
    <w:abstractNumId w:val="993317"/>
  </w:num>
  <w:num w:numId="16">
    <w:abstractNumId w:val="993318"/>
  </w:num>
  <w:num w:numId="17">
    <w:abstractNumId w:val="993319"/>
  </w:num>
  <w:num w:numId="18">
    <w:abstractNumId w:val="993320"/>
  </w:num>
  <w:num w:numId="19">
    <w:abstractNumId w:val="993321"/>
  </w:num>
  <w:num w:numId="20">
    <w:abstractNumId w:val="993322"/>
  </w:num>
  <w:num w:numId="21">
    <w:abstractNumId w:val="993323"/>
  </w:num>
  <w:num w:numId="22">
    <w:abstractNumId w:val="993324"/>
  </w:num>
  <w:num w:numId="23">
    <w:abstractNumId w:val="993325"/>
  </w:num>
  <w:num w:numId="24">
    <w:abstractNumId w:val="99332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n5f64twl589ruoawp81?t=384000" TargetMode="External" Type="http://schemas.openxmlformats.org/officeDocument/2006/relationships/hyperlink"/><Relationship Id="rId11" Target="https://hcnytq72r1ge.feishu.cn/minutes/obcnfn5f64twl589ruoawp81?from=ai_minutes" TargetMode="External" Type="http://schemas.openxmlformats.org/officeDocument/2006/relationships/hyperlink"/><Relationship Id="rId12" Target="https://hcnytq72r1ge.feishu.cn/docx/Fg5OdOUzwognNDxmoXTcePO6nLf" TargetMode="External" Type="http://schemas.openxmlformats.org/officeDocument/2006/relationships/hyperlink"/><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https://hcnytq72r1ge.feishu.cn/minutes/obcnfn5f64twl589ruoawp81?t=5000" TargetMode="External" Type="http://schemas.openxmlformats.org/officeDocument/2006/relationships/hyperlink"/><Relationship Id="rId7" Target="https://hcnytq72r1ge.feishu.cn/minutes/obcnfn5f64twl589ruoawp81?t=86000" TargetMode="External" Type="http://schemas.openxmlformats.org/officeDocument/2006/relationships/hyperlink"/><Relationship Id="rId8" Target="https://hcnytq72r1ge.feishu.cn/minutes/obcnfn5f64twl589ruoawp81?t=149000" TargetMode="External" Type="http://schemas.openxmlformats.org/officeDocument/2006/relationships/hyperlink"/><Relationship Id="rId9" Target="https://hcnytq72r1ge.feishu.cn/minutes/obcnfn5f64twl589ruoawp81?t=243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2026-01-26T03:48:51Z</dcterms:created>
  <dc:creator>Apache POI</dc:creator>
</cp:coreProperties>
</file>