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智能纪要：13.如何读懂学生MECE学习力综合报告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会议主题：13.如何读懂学生MECE学习力综合报告</w:t>
            </w:r>
          </w:p>
          <w:p>
            <w:pPr>
              <w:spacing w:before="120" w:after="120" w:line="288" w:lineRule="auto"/>
              <w:ind w:left="0"/>
              <w:jc w:val="left"/>
            </w:pPr>
            <w:r>
              <w:rPr>
                <w:rFonts w:eastAsia="等线" w:ascii="Arial" w:cs="Arial" w:hAnsi="Arial"/>
                <w:color w:val="646a73"/>
                <w:sz w:val="22"/>
              </w:rPr>
              <w:t>上传时间：1月22号（周四） 21:58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2247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247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本次会议围绕道全能学业规划师初级课程中的学生学习力综合报告使用展开，详细介绍了报告内容、中小学生报告区别、报告等级颜色及各部分含义，内容如下：</w:t>
      </w:r>
    </w:p>
    <w:p>
      <w:pPr>
        <w:numPr>
          <w:numId w:val="1"/>
        </w:numPr>
        <w:spacing w:before="120" w:after="120" w:line="288" w:lineRule="auto"/>
        <w:ind w:left="0"/>
        <w:jc w:val="left"/>
      </w:pPr>
      <w:r>
        <w:rPr>
          <w:rFonts w:eastAsia="等线" w:ascii="Arial" w:cs="Arial" w:hAnsi="Arial"/>
          <w:b w:val="true"/>
          <w:sz w:val="22"/>
        </w:rPr>
        <w:t>学习力综合报告概述</w:t>
      </w:r>
    </w:p>
    <w:p>
      <w:pPr>
        <w:numPr>
          <w:numId w:val="2"/>
        </w:numPr>
        <w:spacing w:before="120" w:after="120" w:line="288" w:lineRule="auto"/>
        <w:ind w:left="453"/>
        <w:jc w:val="left"/>
      </w:pPr>
      <w:r>
        <w:rPr>
          <w:rFonts w:eastAsia="等线" w:ascii="Arial" w:cs="Arial" w:hAnsi="Arial"/>
          <w:b w:val="true"/>
          <w:sz w:val="22"/>
        </w:rPr>
        <w:t>报告核心内容</w:t>
      </w:r>
    </w:p>
    <w:p>
      <w:pPr>
        <w:numPr>
          <w:numId w:val="3"/>
        </w:numPr>
        <w:spacing w:before="120" w:after="120" w:line="288" w:lineRule="auto"/>
        <w:ind w:left="907"/>
        <w:jc w:val="left"/>
      </w:pPr>
      <w:r>
        <w:rPr>
          <w:rFonts w:eastAsia="等线" w:ascii="Arial" w:cs="Arial" w:hAnsi="Arial"/>
          <w:sz w:val="22"/>
        </w:rPr>
        <w:t>综合汇总：学习力综合报告是对学习表现、学习执行力、学习能力、学习动力、卓越学习力以及成长环境的汇总。</w:t>
      </w:r>
    </w:p>
    <w:p>
      <w:pPr>
        <w:numPr>
          <w:numId w:val="4"/>
        </w:numPr>
        <w:spacing w:before="120" w:after="120" w:line="288" w:lineRule="auto"/>
        <w:ind w:left="907"/>
        <w:jc w:val="left"/>
      </w:pPr>
      <w:r>
        <w:rPr>
          <w:rFonts w:eastAsia="等线" w:ascii="Arial" w:cs="Arial" w:hAnsi="Arial"/>
          <w:sz w:val="22"/>
        </w:rPr>
        <w:t>中小学生报告区别：学科选择不同，小学生无卓越学习力，小学生成长环境无恋爱影响，小学生家长报告也无卓越学习力。</w:t>
      </w:r>
    </w:p>
    <w:p>
      <w:pPr>
        <w:numPr>
          <w:numId w:val="5"/>
        </w:numPr>
        <w:spacing w:before="120" w:after="120" w:line="288" w:lineRule="auto"/>
        <w:ind w:left="453"/>
        <w:jc w:val="left"/>
      </w:pPr>
      <w:r>
        <w:rPr>
          <w:rFonts w:eastAsia="等线" w:ascii="Arial" w:cs="Arial" w:hAnsi="Arial"/>
          <w:b w:val="true"/>
          <w:sz w:val="22"/>
        </w:rPr>
        <w:t>报告等级与颜色</w:t>
      </w:r>
    </w:p>
    <w:p>
      <w:pPr>
        <w:numPr>
          <w:numId w:val="6"/>
        </w:numPr>
        <w:spacing w:before="120" w:after="120" w:line="288" w:lineRule="auto"/>
        <w:ind w:left="907"/>
        <w:jc w:val="left"/>
      </w:pPr>
      <w:r>
        <w:rPr>
          <w:rFonts w:eastAsia="等线" w:ascii="Arial" w:cs="Arial" w:hAnsi="Arial"/>
          <w:sz w:val="22"/>
        </w:rPr>
        <w:t>等级划分：报告分为五个等级，5 级最好，依次递减。</w:t>
      </w:r>
    </w:p>
    <w:p>
      <w:pPr>
        <w:numPr>
          <w:numId w:val="7"/>
        </w:numPr>
        <w:spacing w:before="120" w:after="120" w:line="288" w:lineRule="auto"/>
        <w:ind w:left="907"/>
        <w:jc w:val="left"/>
      </w:pPr>
      <w:r>
        <w:rPr>
          <w:rFonts w:eastAsia="等线" w:ascii="Arial" w:cs="Arial" w:hAnsi="Arial"/>
          <w:sz w:val="22"/>
        </w:rPr>
        <w:t>颜色对应：5 级为深绿色，4 级为浅绿色，3 级为黄色，2 级为橙色，1 级为红色，红色表示问题最严重。</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910"/>
        <w:gridCol w:w="4222"/>
        <w:gridCol w:w="2235"/>
        <w:gridCol w:w="910"/>
      </w:tblGrid>
      <w:tr>
        <w:tc>
          <w:tcPr>
            <w:tcW w:w="910" w:type="dxa"/>
            <w:tcMar>
              <w:top w:type="dxa" w:w="60"/>
              <w:left w:type="dxa" w:w="120"/>
              <w:bottom w:type="dxa" w:w="30"/>
              <w:right w:type="dxa" w:w="120"/>
            </w:tcMar>
          </w:tcPr>
          <w:p>
            <w:pPr>
              <w:spacing w:before="120" w:after="120" w:line="288" w:lineRule="auto"/>
              <w:ind w:left="0"/>
              <w:jc w:val="left"/>
            </w:pPr>
          </w:p>
        </w:tc>
        <w:tc>
          <w:tcPr>
            <w:tcW w:w="4222" w:type="dxa"/>
            <w:tcMar>
              <w:top w:type="dxa" w:w="60"/>
              <w:left w:type="dxa" w:w="120"/>
              <w:bottom w:type="dxa" w:w="30"/>
              <w:right w:type="dxa" w:w="120"/>
            </w:tcMar>
          </w:tcPr>
          <w:p>
            <w:pPr>
              <w:spacing w:before="120" w:after="120" w:line="288" w:lineRule="auto"/>
              <w:ind w:left="0"/>
              <w:jc w:val="center"/>
            </w:pPr>
            <w:r>
              <w:drawing>
                <wp:inline distT="0" distR="0" distB="0" distL="0">
                  <wp:extent cx="2524125" cy="12382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524125" cy="12382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中小学生学习力综合报告区别对比</w:t>
              <w:br/>
            </w:r>
          </w:p>
        </w:tc>
        <w:tc>
          <w:tcPr>
            <w:tcW w:w="2235" w:type="dxa"/>
            <w:tcMar>
              <w:top w:type="dxa" w:w="60"/>
              <w:left w:type="dxa" w:w="120"/>
              <w:bottom w:type="dxa" w:w="30"/>
              <w:right w:type="dxa" w:w="120"/>
            </w:tcMar>
          </w:tcPr>
          <w:p>
            <w:pPr>
              <w:spacing w:before="120" w:after="120" w:line="288" w:lineRule="auto"/>
              <w:ind w:left="0"/>
              <w:jc w:val="center"/>
            </w:pPr>
            <w:r>
              <w:drawing>
                <wp:inline distT="0" distR="0" distB="0" distL="0">
                  <wp:extent cx="1266825" cy="11811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266825" cy="11811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报告等级与颜色标识对应表</w:t>
              <w:br/>
            </w:r>
          </w:p>
        </w:tc>
        <w:tc>
          <w:tcPr>
            <w:tcW w:w="910" w:type="dxa"/>
            <w:tcMar>
              <w:top w:type="dxa" w:w="60"/>
              <w:left w:type="dxa" w:w="120"/>
              <w:bottom w:type="dxa" w:w="30"/>
              <w:right w:type="dxa" w:w="120"/>
            </w:tcMar>
          </w:tcPr>
          <w:p>
            <w:pPr>
              <w:spacing w:before="120" w:after="120" w:line="288" w:lineRule="auto"/>
              <w:ind w:left="0"/>
              <w:jc w:val="left"/>
            </w:pPr>
          </w:p>
        </w:tc>
      </w:tr>
    </w:tbl>
    <w:p>
      <w:pPr>
        <w:numPr>
          <w:numId w:val="8"/>
        </w:numPr>
        <w:spacing w:before="120" w:after="120" w:line="288" w:lineRule="auto"/>
        <w:ind w:left="0"/>
        <w:jc w:val="left"/>
      </w:pPr>
      <w:r>
        <w:rPr>
          <w:rFonts w:eastAsia="等线" w:ascii="Arial" w:cs="Arial" w:hAnsi="Arial"/>
          <w:b w:val="true"/>
          <w:sz w:val="22"/>
        </w:rPr>
        <w:t>报告各部分含义</w:t>
      </w:r>
    </w:p>
    <w:p>
      <w:pPr>
        <w:numPr>
          <w:numId w:val="9"/>
        </w:numPr>
        <w:spacing w:before="120" w:after="120" w:line="288" w:lineRule="auto"/>
        <w:ind w:left="453"/>
        <w:jc w:val="left"/>
      </w:pPr>
      <w:r>
        <w:rPr>
          <w:rFonts w:eastAsia="等线" w:ascii="Arial" w:cs="Arial" w:hAnsi="Arial"/>
          <w:b w:val="true"/>
          <w:sz w:val="22"/>
        </w:rPr>
        <w:t>学习表现</w:t>
      </w:r>
    </w:p>
    <w:p>
      <w:pPr>
        <w:numPr>
          <w:numId w:val="10"/>
        </w:numPr>
        <w:spacing w:before="120" w:after="120" w:line="288" w:lineRule="auto"/>
        <w:ind w:left="907"/>
        <w:jc w:val="left"/>
      </w:pPr>
      <w:r>
        <w:rPr>
          <w:rFonts w:eastAsia="等线" w:ascii="Arial" w:cs="Arial" w:hAnsi="Arial"/>
          <w:sz w:val="22"/>
        </w:rPr>
        <w:t>学科情况：展示各学科情况、优势学科及主观 DISC 图形。</w:t>
      </w:r>
    </w:p>
    <w:p>
      <w:pPr>
        <w:numPr>
          <w:numId w:val="11"/>
        </w:numPr>
        <w:spacing w:before="120" w:after="120" w:line="288" w:lineRule="auto"/>
        <w:ind w:left="907"/>
        <w:jc w:val="left"/>
      </w:pPr>
      <w:r>
        <w:rPr>
          <w:rFonts w:eastAsia="等线" w:ascii="Arial" w:cs="Arial" w:hAnsi="Arial"/>
          <w:sz w:val="22"/>
        </w:rPr>
        <w:t>对比分析：需与校园版 DISC 对比，查看自我认知与客观认知是否一致。</w:t>
      </w:r>
    </w:p>
    <w:p>
      <w:pPr>
        <w:numPr>
          <w:numId w:val="12"/>
        </w:numPr>
        <w:spacing w:before="120" w:after="120" w:line="288" w:lineRule="auto"/>
        <w:ind w:left="453"/>
        <w:jc w:val="left"/>
      </w:pPr>
      <w:r>
        <w:rPr>
          <w:rFonts w:eastAsia="等线" w:ascii="Arial" w:cs="Arial" w:hAnsi="Arial"/>
          <w:b w:val="true"/>
          <w:sz w:val="22"/>
        </w:rPr>
        <w:t>学习动力</w:t>
      </w:r>
    </w:p>
    <w:p>
      <w:pPr>
        <w:numPr>
          <w:numId w:val="13"/>
        </w:numPr>
        <w:spacing w:before="120" w:after="120" w:line="288" w:lineRule="auto"/>
        <w:ind w:left="907"/>
        <w:jc w:val="left"/>
      </w:pPr>
      <w:r>
        <w:rPr>
          <w:rFonts w:eastAsia="等线" w:ascii="Arial" w:cs="Arial" w:hAnsi="Arial"/>
          <w:sz w:val="22"/>
        </w:rPr>
        <w:t>指标内容：包括学习意愿、动力持续性和自我效能感。</w:t>
      </w:r>
    </w:p>
    <w:p>
      <w:pPr>
        <w:numPr>
          <w:numId w:val="14"/>
        </w:numPr>
        <w:spacing w:before="120" w:after="120" w:line="288" w:lineRule="auto"/>
        <w:ind w:left="907"/>
        <w:jc w:val="left"/>
      </w:pPr>
      <w:r>
        <w:rPr>
          <w:rFonts w:eastAsia="等线" w:ascii="Arial" w:cs="Arial" w:hAnsi="Arial"/>
          <w:sz w:val="22"/>
        </w:rPr>
        <w:t>雷达图与对比：通过雷达图展示，每项指标与 985 对比，并给出小说明。</w:t>
      </w:r>
    </w:p>
    <w:p>
      <w:pPr>
        <w:numPr>
          <w:numId w:val="15"/>
        </w:numPr>
        <w:spacing w:before="120" w:after="120" w:line="288" w:lineRule="auto"/>
        <w:ind w:left="453"/>
        <w:jc w:val="left"/>
      </w:pPr>
      <w:r>
        <w:rPr>
          <w:rFonts w:eastAsia="等线" w:ascii="Arial" w:cs="Arial" w:hAnsi="Arial"/>
          <w:b w:val="true"/>
          <w:sz w:val="22"/>
        </w:rPr>
        <w:t>学习能力</w:t>
      </w:r>
    </w:p>
    <w:p>
      <w:pPr>
        <w:numPr>
          <w:numId w:val="16"/>
        </w:numPr>
        <w:spacing w:before="120" w:after="120" w:line="288" w:lineRule="auto"/>
        <w:ind w:left="907"/>
        <w:jc w:val="left"/>
      </w:pPr>
      <w:r>
        <w:rPr>
          <w:rFonts w:eastAsia="等线" w:ascii="Arial" w:cs="Arial" w:hAnsi="Arial"/>
          <w:sz w:val="22"/>
        </w:rPr>
        <w:t>能力指标：关注专注力、短时记忆力和推理智力。</w:t>
      </w:r>
    </w:p>
    <w:p>
      <w:pPr>
        <w:numPr>
          <w:numId w:val="17"/>
        </w:numPr>
        <w:spacing w:before="120" w:after="120" w:line="288" w:lineRule="auto"/>
        <w:ind w:left="907"/>
        <w:jc w:val="left"/>
      </w:pPr>
      <w:r>
        <w:rPr>
          <w:rFonts w:eastAsia="等线" w:ascii="Arial" w:cs="Arial" w:hAnsi="Arial"/>
          <w:sz w:val="22"/>
        </w:rPr>
        <w:t>推理智力要点：关注推理智力完成时间是否用满 40 分钟。</w:t>
      </w:r>
    </w:p>
    <w:p>
      <w:pPr>
        <w:numPr>
          <w:numId w:val="18"/>
        </w:numPr>
        <w:spacing w:before="120" w:after="120" w:line="288" w:lineRule="auto"/>
        <w:ind w:left="453"/>
        <w:jc w:val="left"/>
      </w:pPr>
      <w:r>
        <w:rPr>
          <w:rFonts w:eastAsia="等线" w:ascii="Arial" w:cs="Arial" w:hAnsi="Arial"/>
          <w:b w:val="true"/>
          <w:sz w:val="22"/>
        </w:rPr>
        <w:t>学习执行力</w:t>
      </w:r>
    </w:p>
    <w:p>
      <w:pPr>
        <w:numPr>
          <w:numId w:val="19"/>
        </w:numPr>
        <w:spacing w:before="120" w:after="120" w:line="288" w:lineRule="auto"/>
        <w:ind w:left="907"/>
        <w:jc w:val="left"/>
      </w:pPr>
      <w:r>
        <w:rPr>
          <w:rFonts w:eastAsia="等线" w:ascii="Arial" w:cs="Arial" w:hAnsi="Arial"/>
          <w:sz w:val="22"/>
        </w:rPr>
        <w:t>指标内容：包括目标管理、完成度和完成效率。</w:t>
      </w:r>
    </w:p>
    <w:p>
      <w:pPr>
        <w:numPr>
          <w:numId w:val="20"/>
        </w:numPr>
        <w:spacing w:before="120" w:after="120" w:line="288" w:lineRule="auto"/>
        <w:ind w:left="907"/>
        <w:jc w:val="left"/>
      </w:pPr>
      <w:r>
        <w:rPr>
          <w:rFonts w:eastAsia="等线" w:ascii="Arial" w:cs="Arial" w:hAnsi="Arial"/>
          <w:sz w:val="22"/>
        </w:rPr>
        <w:t>雷达图与建议：通过雷达图了解情况，每项指标与 985 对比并给出建议。</w:t>
      </w:r>
    </w:p>
    <w:p>
      <w:pPr>
        <w:numPr>
          <w:numId w:val="21"/>
        </w:numPr>
        <w:spacing w:before="120" w:after="120" w:line="288" w:lineRule="auto"/>
        <w:ind w:left="453"/>
        <w:jc w:val="left"/>
      </w:pPr>
      <w:r>
        <w:rPr>
          <w:rFonts w:eastAsia="等线" w:ascii="Arial" w:cs="Arial" w:hAnsi="Arial"/>
          <w:b w:val="true"/>
          <w:sz w:val="22"/>
        </w:rPr>
        <w:t>卓越学习力</w:t>
      </w:r>
    </w:p>
    <w:p>
      <w:pPr>
        <w:numPr>
          <w:numId w:val="22"/>
        </w:numPr>
        <w:spacing w:before="120" w:after="120" w:line="288" w:lineRule="auto"/>
        <w:ind w:left="907"/>
        <w:jc w:val="left"/>
      </w:pPr>
      <w:r>
        <w:rPr>
          <w:rFonts w:eastAsia="等线" w:ascii="Arial" w:cs="Arial" w:hAnsi="Arial"/>
          <w:sz w:val="22"/>
        </w:rPr>
        <w:t>适用人群：仅适用于中学生，也叫成长型思维。</w:t>
      </w:r>
    </w:p>
    <w:p>
      <w:pPr>
        <w:numPr>
          <w:numId w:val="23"/>
        </w:numPr>
        <w:spacing w:before="120" w:after="120" w:line="288" w:lineRule="auto"/>
        <w:ind w:left="907"/>
        <w:jc w:val="left"/>
      </w:pPr>
      <w:r>
        <w:rPr>
          <w:rFonts w:eastAsia="等线" w:ascii="Arial" w:cs="Arial" w:hAnsi="Arial"/>
          <w:sz w:val="22"/>
        </w:rPr>
        <w:t>指标情况：包括环境认知、成长环境等指标，中学生成长环境可能有恋爱影响，小学生无。</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8">
        <w:r>
          <w:rPr>
            <w:rFonts w:eastAsia="等线" w:ascii="Arial" w:cs="Arial" w:hAnsi="Arial"/>
            <w:color w:val="3370ff"/>
            <w:sz w:val="22"/>
          </w:rPr>
          <w:t>00:05</w:t>
        </w:r>
      </w:hyperlink>
      <w:r>
        <w:rPr>
          <w:rFonts w:eastAsia="等线" w:ascii="Arial" w:cs="Arial" w:hAnsi="Arial"/>
          <w:b w:val="true"/>
          <w:sz w:val="22"/>
        </w:rPr>
        <w:t xml:space="preserve">  初级课程学学习力综合报告及小初报告区别</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是道全能学业规划师初级课程学习，主要围绕学生学习力综合报告的使用展开。该报告是前面单个报告的汇总，涵盖学习表现、执行力等内容。同时强调了小学生与中学生综合报告的区别，包括学科选择不同、小学生无卓越学习力、成长环境无恋爱影响，且家长报告也无卓越学习力。</w:t>
            </w:r>
          </w:p>
        </w:tc>
      </w:tr>
    </w:tbl>
    <w:p>
      <w:pPr>
        <w:spacing w:before="120" w:after="120" w:line="288" w:lineRule="auto"/>
        <w:ind w:left="0"/>
        <w:jc w:val="left"/>
      </w:pPr>
      <w:hyperlink r:id="rId9">
        <w:r>
          <w:rPr>
            <w:rFonts w:eastAsia="等线" w:ascii="Arial" w:cs="Arial" w:hAnsi="Arial"/>
            <w:color w:val="3370ff"/>
            <w:sz w:val="22"/>
          </w:rPr>
          <w:t>02:02</w:t>
        </w:r>
      </w:hyperlink>
      <w:r>
        <w:rPr>
          <w:rFonts w:eastAsia="等线" w:ascii="Arial" w:cs="Arial" w:hAnsi="Arial"/>
          <w:b w:val="true"/>
          <w:sz w:val="22"/>
        </w:rPr>
        <w:t xml:space="preserve">  全览报告等级划分及对应颜色说明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本章节主要介绍全览报告中的颜色含义。报告共分为五个等级，等级从 5 到 1 递减，5 为最好。5 级对应深绿色，4 级是浅绿色，3 级为黄色，2 级是橙色，1 级为红色，1 级代表目前最严重的问题。</w:t>
            </w:r>
          </w:p>
        </w:tc>
      </w:tr>
    </w:tbl>
    <w:p>
      <w:pPr>
        <w:spacing w:before="120" w:after="120" w:line="288" w:lineRule="auto"/>
        <w:ind w:left="0"/>
        <w:jc w:val="left"/>
      </w:pPr>
      <w:hyperlink r:id="rId10">
        <w:r>
          <w:rPr>
            <w:rFonts w:eastAsia="等线" w:ascii="Arial" w:cs="Arial" w:hAnsi="Arial"/>
            <w:color w:val="3370ff"/>
            <w:sz w:val="22"/>
          </w:rPr>
          <w:t>02:59</w:t>
        </w:r>
      </w:hyperlink>
      <w:r>
        <w:rPr>
          <w:rFonts w:eastAsia="等线" w:ascii="Arial" w:cs="Arial" w:hAnsi="Arial"/>
          <w:b w:val="true"/>
          <w:sz w:val="22"/>
        </w:rPr>
        <w:t xml:space="preserve">  介绍第二部分学习力指标数值及了解方式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介绍接下来要查看的第二部分内容，该部分对学习力、能力等做了简单汇总，会展示如学习动力里三个指标每项的分值，让大家能更深入了解。同时提到在不同位置查看情况，每个人的习惯存在差异。</w:t>
            </w:r>
          </w:p>
        </w:tc>
      </w:tr>
    </w:tbl>
    <w:p>
      <w:pPr>
        <w:spacing w:before="120" w:after="120" w:line="288" w:lineRule="auto"/>
        <w:ind w:left="0"/>
        <w:jc w:val="left"/>
      </w:pPr>
      <w:hyperlink r:id="rId11">
        <w:r>
          <w:rPr>
            <w:rFonts w:eastAsia="等线" w:ascii="Arial" w:cs="Arial" w:hAnsi="Arial"/>
            <w:color w:val="3370ff"/>
            <w:sz w:val="22"/>
          </w:rPr>
          <w:t>03:40</w:t>
        </w:r>
      </w:hyperlink>
      <w:r>
        <w:rPr>
          <w:rFonts w:eastAsia="等线" w:ascii="Arial" w:cs="Arial" w:hAnsi="Arial"/>
          <w:b w:val="true"/>
          <w:sz w:val="22"/>
        </w:rPr>
        <w:t xml:space="preserve">  回顾报告：学习表现、学科优势及DISC对比</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1表示将带大家快速回顾各报告的意思。首先提及学习表现报告，能看到各学科情况、有无优势学科以及主观DISC图形。还强调要将其与校园版DISC作对比，查看自我认知和客观认知是否一致，同时关注学科优势方面是否存在问题。</w:t>
            </w:r>
          </w:p>
        </w:tc>
      </w:tr>
    </w:tbl>
    <w:p>
      <w:pPr>
        <w:spacing w:before="120" w:after="120" w:line="288" w:lineRule="auto"/>
        <w:ind w:left="0"/>
        <w:jc w:val="left"/>
      </w:pPr>
      <w:hyperlink r:id="rId12">
        <w:r>
          <w:rPr>
            <w:rFonts w:eastAsia="等线" w:ascii="Arial" w:cs="Arial" w:hAnsi="Arial"/>
            <w:color w:val="3370ff"/>
            <w:sz w:val="22"/>
          </w:rPr>
          <w:t>04:17</w:t>
        </w:r>
      </w:hyperlink>
      <w:r>
        <w:rPr>
          <w:rFonts w:eastAsia="等线" w:ascii="Arial" w:cs="Arial" w:hAnsi="Arial"/>
          <w:b w:val="true"/>
          <w:sz w:val="22"/>
        </w:rPr>
        <w:t xml:space="preserve">  学生成绩排名、学习动力及能力情况介绍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了学生相关情况。先提及各学科成绩大致排名，接着阐述学习动力，包含学习意愿、动力持续性、自我效能感，有雷达图展示且与985对比，每项有小说明。之后介绍学习能力，先看专注力情况，再看短时记忆力情况。</w:t>
            </w:r>
          </w:p>
        </w:tc>
      </w:tr>
    </w:tbl>
    <w:p>
      <w:pPr>
        <w:spacing w:before="120" w:after="120" w:line="288" w:lineRule="auto"/>
        <w:ind w:left="0"/>
        <w:jc w:val="left"/>
      </w:pPr>
      <w:hyperlink r:id="rId13">
        <w:r>
          <w:rPr>
            <w:rFonts w:eastAsia="等线" w:ascii="Arial" w:cs="Arial" w:hAnsi="Arial"/>
            <w:color w:val="3370ff"/>
            <w:sz w:val="22"/>
          </w:rPr>
          <w:t>05:18</w:t>
        </w:r>
      </w:hyperlink>
      <w:r>
        <w:rPr>
          <w:rFonts w:eastAsia="等线" w:ascii="Arial" w:cs="Arial" w:hAnsi="Arial"/>
          <w:b w:val="true"/>
          <w:sz w:val="22"/>
        </w:rPr>
        <w:t xml:space="preserve">  学习能力评估指标及卓越学习力说明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主要介绍学习力相关内容。首先提到推理智力，需关注完成时间是否用满40分钟；接着说明学习执行力，涉及目标管理、完成度和效率，还有雷达图可对比各小指标与985线并获取建议。若有不熟悉可回看小节课程。最后指出卓越学习力仅中学生有，小学生阶段无。</w:t>
            </w:r>
          </w:p>
        </w:tc>
      </w:tr>
    </w:tbl>
    <w:p>
      <w:pPr>
        <w:spacing w:before="120" w:after="120" w:line="288" w:lineRule="auto"/>
        <w:ind w:left="0"/>
        <w:jc w:val="left"/>
      </w:pPr>
      <w:hyperlink r:id="rId14">
        <w:r>
          <w:rPr>
            <w:rFonts w:eastAsia="等线" w:ascii="Arial" w:cs="Arial" w:hAnsi="Arial"/>
            <w:color w:val="3370ff"/>
            <w:sz w:val="22"/>
          </w:rPr>
          <w:t>06:16</w:t>
        </w:r>
      </w:hyperlink>
      <w:r>
        <w:rPr>
          <w:rFonts w:eastAsia="等线" w:ascii="Arial" w:cs="Arial" w:hAnsi="Arial"/>
          <w:b w:val="true"/>
          <w:sz w:val="22"/>
        </w:rPr>
        <w:t xml:space="preserve">  卓越学习力报告分享及成长环境指标情况</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介绍卓越学习力即成长型思维，提及要查看其各指标情况，包括成长环境，如家庭环境、父母及抚养人影响、学校环境和师生同学关系等。还提到若勾选恋爱影响会有相应呈现，但小学生无此情况，中学生才有。最后表示学习力综合报告分享暂告一段落。</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24"/>
        </w:numPr>
        <w:spacing w:before="120" w:after="120" w:line="288" w:lineRule="auto"/>
        <w:ind w:left="0"/>
        <w:jc w:val="left"/>
      </w:pPr>
      <w:r>
        <w:rPr>
          <w:rFonts w:eastAsia="等线" w:ascii="Arial" w:cs="Arial" w:hAnsi="Arial"/>
          <w:b w:val="true"/>
          <w:sz w:val="22"/>
        </w:rPr>
        <w:t>报告核心</w:t>
      </w:r>
      <w:r>
        <w:rPr>
          <w:rFonts w:eastAsia="等线" w:ascii="Arial" w:cs="Arial" w:hAnsi="Arial"/>
          <w:sz w:val="22"/>
        </w:rPr>
        <w:t>：学习力综合报告是对学习表现、学习执行力、学习能力、学习动力、卓越学习力以及成长环境的汇总。</w:t>
      </w:r>
    </w:p>
    <w:p>
      <w:pPr>
        <w:numPr>
          <w:numId w:val="25"/>
        </w:numPr>
        <w:spacing w:before="120" w:after="120" w:line="288" w:lineRule="auto"/>
        <w:ind w:left="0"/>
        <w:jc w:val="left"/>
      </w:pPr>
      <w:r>
        <w:rPr>
          <w:rFonts w:eastAsia="等线" w:ascii="Arial" w:cs="Arial" w:hAnsi="Arial"/>
          <w:b w:val="true"/>
          <w:sz w:val="22"/>
        </w:rPr>
        <w:t>中小学生报告区别</w:t>
      </w:r>
      <w:r>
        <w:rPr>
          <w:rFonts w:eastAsia="等线" w:ascii="Arial" w:cs="Arial" w:hAnsi="Arial"/>
          <w:sz w:val="22"/>
        </w:rPr>
        <w:t>：学科选择不同；小学生无卓越学习力；小学生成长环境无恋爱影响；小学生家长报告无卓越学习力。</w:t>
      </w:r>
    </w:p>
    <w:p>
      <w:pPr>
        <w:numPr>
          <w:numId w:val="26"/>
        </w:numPr>
        <w:spacing w:before="120" w:after="120" w:line="288" w:lineRule="auto"/>
        <w:ind w:left="0"/>
        <w:jc w:val="left"/>
      </w:pPr>
      <w:r>
        <w:rPr>
          <w:rFonts w:eastAsia="等线" w:ascii="Arial" w:cs="Arial" w:hAnsi="Arial"/>
          <w:b w:val="true"/>
          <w:sz w:val="22"/>
        </w:rPr>
        <w:t>报告等级</w:t>
      </w:r>
      <w:r>
        <w:rPr>
          <w:rFonts w:eastAsia="等线" w:ascii="Arial" w:cs="Arial" w:hAnsi="Arial"/>
          <w:sz w:val="22"/>
        </w:rPr>
        <w:t>：报告分为五个等级，5 级最好，颜色从深绿到红色递减。</w:t>
      </w:r>
    </w:p>
    <w:p>
      <w:pPr>
        <w:numPr>
          <w:numId w:val="27"/>
        </w:numPr>
        <w:spacing w:before="120" w:after="120" w:line="288" w:lineRule="auto"/>
        <w:ind w:left="0"/>
        <w:jc w:val="left"/>
      </w:pPr>
      <w:r>
        <w:rPr>
          <w:rFonts w:eastAsia="等线" w:ascii="Arial" w:cs="Arial" w:hAnsi="Arial"/>
          <w:b w:val="true"/>
          <w:sz w:val="22"/>
        </w:rPr>
        <w:t>各部分内容</w:t>
      </w:r>
      <w:r>
        <w:rPr>
          <w:rFonts w:eastAsia="等线" w:ascii="Arial" w:cs="Arial" w:hAnsi="Arial"/>
          <w:sz w:val="22"/>
        </w:rPr>
        <w:t>：介绍学习表现、学习动力、学习能力、学习执行力、卓越学习力等部分的具体内容及查看要点。</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「学习力综合报告核心是将前面所学习到的学习表现、学习执行力、学习能力、学习动力、卓越学习力以及成长环境做了一个汇总。」</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清晰阐述了学习力综合报告的核心内容，让参会者对报告有整体的认识。</w:t>
      </w:r>
    </w:p>
    <w:p>
      <w:pPr>
        <w:spacing w:before="120" w:after="120" w:line="288" w:lineRule="auto"/>
        <w:ind w:left="0"/>
        <w:jc w:val="left"/>
      </w:pPr>
    </w:p>
    <w:p>
      <w:pPr>
        <w:spacing w:before="120" w:after="120" w:line="288" w:lineRule="auto"/>
        <w:ind w:left="0"/>
        <w:jc w:val="left"/>
      </w:pPr>
      <w:r>
        <w:rPr>
          <w:rFonts w:eastAsia="等线" w:ascii="Arial" w:cs="Arial" w:hAnsi="Arial"/>
          <w:sz w:val="22"/>
        </w:rPr>
        <w:t>「小学生和中学生学习力综合报告核心区别在于学科选择不同，小学生没有卓越学习力，小学生成长环境中没有恋爱影响，小学生家长报告也没有卓越学习力。」</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明确指出了中小学生学习力综合报告的关键区别，有助于参会者准确把握不同阶段报告的特点。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「学习力综合报告一共分成五个等级，5 是最好，呈递减情况，不同等级对应不同颜色。」</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简洁说明了报告等级的划分及对应颜色，方便参会者快速理解报告的等级体系。</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8"/>
        </w:numPr>
        <w:spacing w:before="120" w:after="120" w:line="288" w:lineRule="auto"/>
        <w:ind w:left="0"/>
        <w:jc w:val="left"/>
      </w:pPr>
      <w:r>
        <w:rPr>
          <w:rFonts w:eastAsia="等线" w:ascii="Arial" w:cs="Arial" w:hAnsi="Arial"/>
          <w:sz w:val="22"/>
        </w:rPr>
        <w:t>妙记：</w:t>
      </w:r>
      <w:hyperlink r:id="rId15">
        <w:r>
          <w:rPr>
            <w:rFonts w:eastAsia="等线" w:ascii="Arial" w:cs="Arial" w:hAnsi="Arial"/>
            <w:color w:val="3370ff"/>
            <w:sz w:val="22"/>
          </w:rPr>
          <w:t>13.如何读懂学生MECE学习力综合报告</w:t>
        </w:r>
      </w:hyperlink>
    </w:p>
    <w:p>
      <w:pPr>
        <w:numPr>
          <w:numId w:val="29"/>
        </w:numPr>
        <w:spacing w:before="120" w:after="120" w:line="288" w:lineRule="auto"/>
        <w:ind w:left="0"/>
        <w:jc w:val="left"/>
      </w:pPr>
      <w:r>
        <w:rPr>
          <w:rFonts w:eastAsia="等线" w:ascii="Arial" w:cs="Arial" w:hAnsi="Arial"/>
          <w:sz w:val="22"/>
        </w:rPr>
        <w:t>文字记录</w:t>
      </w:r>
    </w:p>
    <w:p>
      <w:pPr>
        <w:numPr>
          <w:numId w:val="30"/>
        </w:numPr>
        <w:spacing w:before="120" w:after="120" w:line="288" w:lineRule="auto"/>
        <w:ind w:left="453"/>
        <w:jc w:val="left"/>
      </w:pPr>
      <w:hyperlink r:id="rId16">
        <w:r>
          <w:rPr>
            <w:rFonts w:eastAsia="等线" w:ascii="Arial" w:cs="Arial" w:hAnsi="Arial"/>
            <w:color w:val="3370ff"/>
            <w:sz w:val="22"/>
          </w:rPr>
          <w:t>13.如何读懂学生MECE学习力综合报告 2026年1月22日</w:t>
        </w:r>
      </w:hyperlink>
    </w:p>
    <w:sectPr>
      <w:footerReference w:type="default" r:id="rId3"/>
      <w:headerReference w:type="default" r:id="rId1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165020">
    <w:lvl>
      <w:numFmt w:val="bullet"/>
      <w:suff w:val="tab"/>
      <w:lvlText w:val="•"/>
      <w:rPr>
        <w:color w:val="3370ff"/>
      </w:rPr>
    </w:lvl>
  </w:abstractNum>
  <w:abstractNum w:abstractNumId="1165021">
    <w:lvl>
      <w:numFmt w:val="bullet"/>
      <w:suff w:val="tab"/>
      <w:lvlText w:val="￮"/>
      <w:rPr>
        <w:color w:val="3370ff"/>
      </w:rPr>
    </w:lvl>
  </w:abstractNum>
  <w:abstractNum w:abstractNumId="1165022">
    <w:lvl>
      <w:numFmt w:val="bullet"/>
      <w:suff w:val="tab"/>
      <w:lvlText w:val="▪"/>
      <w:rPr>
        <w:color w:val="3370ff"/>
        <w:sz w:val="11"/>
      </w:rPr>
    </w:lvl>
  </w:abstractNum>
  <w:abstractNum w:abstractNumId="1165023">
    <w:lvl>
      <w:numFmt w:val="bullet"/>
      <w:suff w:val="tab"/>
      <w:lvlText w:val="▪"/>
      <w:rPr>
        <w:color w:val="3370ff"/>
        <w:sz w:val="11"/>
      </w:rPr>
    </w:lvl>
  </w:abstractNum>
  <w:abstractNum w:abstractNumId="1165024">
    <w:lvl>
      <w:numFmt w:val="bullet"/>
      <w:suff w:val="tab"/>
      <w:lvlText w:val="￮"/>
      <w:rPr>
        <w:color w:val="3370ff"/>
      </w:rPr>
    </w:lvl>
  </w:abstractNum>
  <w:abstractNum w:abstractNumId="1165025">
    <w:lvl>
      <w:numFmt w:val="bullet"/>
      <w:suff w:val="tab"/>
      <w:lvlText w:val="▪"/>
      <w:rPr>
        <w:color w:val="3370ff"/>
        <w:sz w:val="11"/>
      </w:rPr>
    </w:lvl>
  </w:abstractNum>
  <w:abstractNum w:abstractNumId="1165026">
    <w:lvl>
      <w:numFmt w:val="bullet"/>
      <w:suff w:val="tab"/>
      <w:lvlText w:val="▪"/>
      <w:rPr>
        <w:color w:val="3370ff"/>
        <w:sz w:val="11"/>
      </w:rPr>
    </w:lvl>
  </w:abstractNum>
  <w:abstractNum w:abstractNumId="1165027">
    <w:lvl>
      <w:numFmt w:val="bullet"/>
      <w:suff w:val="tab"/>
      <w:lvlText w:val="•"/>
      <w:rPr>
        <w:color w:val="3370ff"/>
      </w:rPr>
    </w:lvl>
  </w:abstractNum>
  <w:abstractNum w:abstractNumId="1165028">
    <w:lvl>
      <w:numFmt w:val="bullet"/>
      <w:suff w:val="tab"/>
      <w:lvlText w:val="￮"/>
      <w:rPr>
        <w:color w:val="3370ff"/>
      </w:rPr>
    </w:lvl>
  </w:abstractNum>
  <w:abstractNum w:abstractNumId="1165029">
    <w:lvl>
      <w:numFmt w:val="bullet"/>
      <w:suff w:val="tab"/>
      <w:lvlText w:val="▪"/>
      <w:rPr>
        <w:color w:val="3370ff"/>
        <w:sz w:val="11"/>
      </w:rPr>
    </w:lvl>
  </w:abstractNum>
  <w:abstractNum w:abstractNumId="1165030">
    <w:lvl>
      <w:numFmt w:val="bullet"/>
      <w:suff w:val="tab"/>
      <w:lvlText w:val="▪"/>
      <w:rPr>
        <w:color w:val="3370ff"/>
        <w:sz w:val="11"/>
      </w:rPr>
    </w:lvl>
  </w:abstractNum>
  <w:abstractNum w:abstractNumId="1165031">
    <w:lvl>
      <w:numFmt w:val="bullet"/>
      <w:suff w:val="tab"/>
      <w:lvlText w:val="￮"/>
      <w:rPr>
        <w:color w:val="3370ff"/>
      </w:rPr>
    </w:lvl>
  </w:abstractNum>
  <w:abstractNum w:abstractNumId="1165032">
    <w:lvl>
      <w:numFmt w:val="bullet"/>
      <w:suff w:val="tab"/>
      <w:lvlText w:val="▪"/>
      <w:rPr>
        <w:color w:val="3370ff"/>
        <w:sz w:val="11"/>
      </w:rPr>
    </w:lvl>
  </w:abstractNum>
  <w:abstractNum w:abstractNumId="1165033">
    <w:lvl>
      <w:numFmt w:val="bullet"/>
      <w:suff w:val="tab"/>
      <w:lvlText w:val="▪"/>
      <w:rPr>
        <w:color w:val="3370ff"/>
        <w:sz w:val="11"/>
      </w:rPr>
    </w:lvl>
  </w:abstractNum>
  <w:abstractNum w:abstractNumId="1165034">
    <w:lvl>
      <w:numFmt w:val="bullet"/>
      <w:suff w:val="tab"/>
      <w:lvlText w:val="￮"/>
      <w:rPr>
        <w:color w:val="3370ff"/>
      </w:rPr>
    </w:lvl>
  </w:abstractNum>
  <w:abstractNum w:abstractNumId="1165035">
    <w:lvl>
      <w:numFmt w:val="bullet"/>
      <w:suff w:val="tab"/>
      <w:lvlText w:val="▪"/>
      <w:rPr>
        <w:color w:val="3370ff"/>
        <w:sz w:val="11"/>
      </w:rPr>
    </w:lvl>
  </w:abstractNum>
  <w:abstractNum w:abstractNumId="1165036">
    <w:lvl>
      <w:numFmt w:val="bullet"/>
      <w:suff w:val="tab"/>
      <w:lvlText w:val="▪"/>
      <w:rPr>
        <w:color w:val="3370ff"/>
        <w:sz w:val="11"/>
      </w:rPr>
    </w:lvl>
  </w:abstractNum>
  <w:abstractNum w:abstractNumId="1165037">
    <w:lvl>
      <w:numFmt w:val="bullet"/>
      <w:suff w:val="tab"/>
      <w:lvlText w:val="￮"/>
      <w:rPr>
        <w:color w:val="3370ff"/>
      </w:rPr>
    </w:lvl>
  </w:abstractNum>
  <w:abstractNum w:abstractNumId="1165038">
    <w:lvl>
      <w:numFmt w:val="bullet"/>
      <w:suff w:val="tab"/>
      <w:lvlText w:val="▪"/>
      <w:rPr>
        <w:color w:val="3370ff"/>
        <w:sz w:val="11"/>
      </w:rPr>
    </w:lvl>
  </w:abstractNum>
  <w:abstractNum w:abstractNumId="1165039">
    <w:lvl>
      <w:numFmt w:val="bullet"/>
      <w:suff w:val="tab"/>
      <w:lvlText w:val="▪"/>
      <w:rPr>
        <w:color w:val="3370ff"/>
        <w:sz w:val="11"/>
      </w:rPr>
    </w:lvl>
  </w:abstractNum>
  <w:abstractNum w:abstractNumId="1165040">
    <w:lvl>
      <w:numFmt w:val="bullet"/>
      <w:suff w:val="tab"/>
      <w:lvlText w:val="￮"/>
      <w:rPr>
        <w:color w:val="3370ff"/>
      </w:rPr>
    </w:lvl>
  </w:abstractNum>
  <w:abstractNum w:abstractNumId="1165041">
    <w:lvl>
      <w:numFmt w:val="bullet"/>
      <w:suff w:val="tab"/>
      <w:lvlText w:val="▪"/>
      <w:rPr>
        <w:color w:val="3370ff"/>
        <w:sz w:val="11"/>
      </w:rPr>
    </w:lvl>
  </w:abstractNum>
  <w:abstractNum w:abstractNumId="1165042">
    <w:lvl>
      <w:numFmt w:val="bullet"/>
      <w:suff w:val="tab"/>
      <w:lvlText w:val="▪"/>
      <w:rPr>
        <w:color w:val="3370ff"/>
        <w:sz w:val="11"/>
      </w:rPr>
    </w:lvl>
  </w:abstractNum>
  <w:abstractNum w:abstractNumId="1165043">
    <w:lvl>
      <w:numFmt w:val="bullet"/>
      <w:suff w:val="tab"/>
      <w:lvlText w:val="•"/>
      <w:rPr>
        <w:color w:val="3370ff"/>
      </w:rPr>
    </w:lvl>
  </w:abstractNum>
  <w:abstractNum w:abstractNumId="1165044">
    <w:lvl>
      <w:numFmt w:val="bullet"/>
      <w:suff w:val="tab"/>
      <w:lvlText w:val="•"/>
      <w:rPr>
        <w:color w:val="3370ff"/>
      </w:rPr>
    </w:lvl>
  </w:abstractNum>
  <w:abstractNum w:abstractNumId="1165045">
    <w:lvl>
      <w:numFmt w:val="bullet"/>
      <w:suff w:val="tab"/>
      <w:lvlText w:val="•"/>
      <w:rPr>
        <w:color w:val="3370ff"/>
      </w:rPr>
    </w:lvl>
  </w:abstractNum>
  <w:abstractNum w:abstractNumId="1165046">
    <w:lvl>
      <w:numFmt w:val="bullet"/>
      <w:suff w:val="tab"/>
      <w:lvlText w:val="•"/>
      <w:rPr>
        <w:color w:val="3370ff"/>
      </w:rPr>
    </w:lvl>
  </w:abstractNum>
  <w:abstractNum w:abstractNumId="1165047">
    <w:lvl>
      <w:numFmt w:val="bullet"/>
      <w:suff w:val="tab"/>
      <w:lvlText w:val="•"/>
      <w:rPr>
        <w:color w:val="3370ff"/>
      </w:rPr>
    </w:lvl>
  </w:abstractNum>
  <w:abstractNum w:abstractNumId="1165048">
    <w:lvl>
      <w:numFmt w:val="bullet"/>
      <w:suff w:val="tab"/>
      <w:lvlText w:val="•"/>
      <w:rPr>
        <w:color w:val="3370ff"/>
      </w:rPr>
    </w:lvl>
  </w:abstractNum>
  <w:abstractNum w:abstractNumId="1165049">
    <w:lvl>
      <w:numFmt w:val="bullet"/>
      <w:suff w:val="tab"/>
      <w:lvlText w:val="￮"/>
      <w:rPr>
        <w:color w:val="3370ff"/>
      </w:rPr>
    </w:lvl>
  </w:abstractNum>
  <w:num w:numId="1">
    <w:abstractNumId w:val="1165020"/>
  </w:num>
  <w:num w:numId="2">
    <w:abstractNumId w:val="1165021"/>
  </w:num>
  <w:num w:numId="3">
    <w:abstractNumId w:val="1165022"/>
  </w:num>
  <w:num w:numId="4">
    <w:abstractNumId w:val="1165023"/>
  </w:num>
  <w:num w:numId="5">
    <w:abstractNumId w:val="1165024"/>
  </w:num>
  <w:num w:numId="6">
    <w:abstractNumId w:val="1165025"/>
  </w:num>
  <w:num w:numId="7">
    <w:abstractNumId w:val="1165026"/>
  </w:num>
  <w:num w:numId="8">
    <w:abstractNumId w:val="1165027"/>
  </w:num>
  <w:num w:numId="9">
    <w:abstractNumId w:val="1165028"/>
  </w:num>
  <w:num w:numId="10">
    <w:abstractNumId w:val="1165029"/>
  </w:num>
  <w:num w:numId="11">
    <w:abstractNumId w:val="1165030"/>
  </w:num>
  <w:num w:numId="12">
    <w:abstractNumId w:val="1165031"/>
  </w:num>
  <w:num w:numId="13">
    <w:abstractNumId w:val="1165032"/>
  </w:num>
  <w:num w:numId="14">
    <w:abstractNumId w:val="1165033"/>
  </w:num>
  <w:num w:numId="15">
    <w:abstractNumId w:val="1165034"/>
  </w:num>
  <w:num w:numId="16">
    <w:abstractNumId w:val="1165035"/>
  </w:num>
  <w:num w:numId="17">
    <w:abstractNumId w:val="1165036"/>
  </w:num>
  <w:num w:numId="18">
    <w:abstractNumId w:val="1165037"/>
  </w:num>
  <w:num w:numId="19">
    <w:abstractNumId w:val="1165038"/>
  </w:num>
  <w:num w:numId="20">
    <w:abstractNumId w:val="1165039"/>
  </w:num>
  <w:num w:numId="21">
    <w:abstractNumId w:val="1165040"/>
  </w:num>
  <w:num w:numId="22">
    <w:abstractNumId w:val="1165041"/>
  </w:num>
  <w:num w:numId="23">
    <w:abstractNumId w:val="1165042"/>
  </w:num>
  <w:num w:numId="24">
    <w:abstractNumId w:val="1165043"/>
  </w:num>
  <w:num w:numId="25">
    <w:abstractNumId w:val="1165044"/>
  </w:num>
  <w:num w:numId="26">
    <w:abstractNumId w:val="1165045"/>
  </w:num>
  <w:num w:numId="27">
    <w:abstractNumId w:val="1165046"/>
  </w:num>
  <w:num w:numId="28">
    <w:abstractNumId w:val="1165047"/>
  </w:num>
  <w:num w:numId="29">
    <w:abstractNumId w:val="1165048"/>
  </w:num>
  <w:num w:numId="30">
    <w:abstractNumId w:val="116504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n9611287hy3phjwox6c?t=179000" TargetMode="External" Type="http://schemas.openxmlformats.org/officeDocument/2006/relationships/hyperlink"/><Relationship Id="rId11" Target="https://hcnytq72r1ge.feishu.cn/minutes/obcnfn9611287hy3phjwox6c?t=220000" TargetMode="External" Type="http://schemas.openxmlformats.org/officeDocument/2006/relationships/hyperlink"/><Relationship Id="rId12" Target="https://hcnytq72r1ge.feishu.cn/minutes/obcnfn9611287hy3phjwox6c?t=257000" TargetMode="External" Type="http://schemas.openxmlformats.org/officeDocument/2006/relationships/hyperlink"/><Relationship Id="rId13" Target="https://hcnytq72r1ge.feishu.cn/minutes/obcnfn9611287hy3phjwox6c?t=318000" TargetMode="External" Type="http://schemas.openxmlformats.org/officeDocument/2006/relationships/hyperlink"/><Relationship Id="rId14" Target="https://hcnytq72r1ge.feishu.cn/minutes/obcnfn9611287hy3phjwox6c?t=376000" TargetMode="External" Type="http://schemas.openxmlformats.org/officeDocument/2006/relationships/hyperlink"/><Relationship Id="rId15" Target="https://hcnytq72r1ge.feishu.cn/minutes/obcnfn9611287hy3phjwox6c?from=ai_minutes" TargetMode="External" Type="http://schemas.openxmlformats.org/officeDocument/2006/relationships/hyperlink"/><Relationship Id="rId16" Target="https://hcnytq72r1ge.feishu.cn/docx/JaWqdQpytoSUyFxiNiPcltdMnGy" TargetMode="External" Type="http://schemas.openxmlformats.org/officeDocument/2006/relationships/hyperlink"/><Relationship Id="rId17"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ttps://hcnytq72r1ge.feishu.cn/minutes/obcnfn9611287hy3phjwox6c?t=5000" TargetMode="External" Type="http://schemas.openxmlformats.org/officeDocument/2006/relationships/hyperlink"/><Relationship Id="rId9" Target="https://hcnytq72r1ge.feishu.cn/minutes/obcnfn9611287hy3phjwox6c?t=122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2026-01-26T03:58:42Z</dcterms:created>
  <dc:creator>Apache POI</dc:creator>
</cp:coreProperties>
</file>