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智能纪要：16.如何读懂家庭管教冲突报告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会议主题：16.如何读懂家庭管教冲突报告</w:t>
            </w:r>
          </w:p>
          <w:p>
            <w:pPr>
              <w:spacing w:before="120" w:after="120" w:line="288" w:lineRule="auto"/>
              <w:ind w:left="0"/>
              <w:jc w:val="left"/>
            </w:pPr>
            <w:r>
              <w:rPr>
                <w:rFonts w:eastAsia="等线" w:ascii="Arial" w:cs="Arial" w:hAnsi="Arial"/>
                <w:color w:val="646a73"/>
                <w:sz w:val="22"/>
              </w:rPr>
              <w:t>上传时间：1月22号（周四） 21:58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457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本次会议围绕道全能学业规划师初级课学习力板块的家庭冲突报告展开，介绍了报告生成条件、查看建议及具体内容解读，内容如下：</w:t>
      </w:r>
    </w:p>
    <w:p>
      <w:pPr>
        <w:numPr>
          <w:numId w:val="1"/>
        </w:numPr>
        <w:spacing w:before="120" w:after="120" w:line="288" w:lineRule="auto"/>
        <w:ind w:left="0"/>
        <w:jc w:val="left"/>
      </w:pPr>
      <w:r>
        <w:rPr>
          <w:rFonts w:eastAsia="等线" w:ascii="Arial" w:cs="Arial" w:hAnsi="Arial"/>
          <w:b w:val="true"/>
          <w:sz w:val="22"/>
        </w:rPr>
        <w:t>报告生成与查看</w:t>
      </w:r>
    </w:p>
    <w:p>
      <w:pPr>
        <w:numPr>
          <w:numId w:val="2"/>
        </w:numPr>
        <w:spacing w:before="120" w:after="120" w:line="288" w:lineRule="auto"/>
        <w:ind w:left="453"/>
        <w:jc w:val="left"/>
      </w:pPr>
      <w:r>
        <w:rPr>
          <w:rFonts w:eastAsia="等线" w:ascii="Arial" w:cs="Arial" w:hAnsi="Arial"/>
          <w:b w:val="true"/>
          <w:sz w:val="22"/>
        </w:rPr>
        <w:t>生成条件</w:t>
      </w:r>
    </w:p>
    <w:p>
      <w:pPr>
        <w:numPr>
          <w:numId w:val="3"/>
        </w:numPr>
        <w:spacing w:before="120" w:after="120" w:line="288" w:lineRule="auto"/>
        <w:ind w:left="907"/>
        <w:jc w:val="left"/>
      </w:pPr>
      <w:r>
        <w:rPr>
          <w:rFonts w:eastAsia="等线" w:ascii="Arial" w:cs="Arial" w:hAnsi="Arial"/>
          <w:sz w:val="22"/>
        </w:rPr>
        <w:t>完成要求：家庭冲突报告需学生完成所有学习力报告，且家长完成家长评估的所有学习力报告才会生成，两者缺一不可。</w:t>
      </w:r>
    </w:p>
    <w:p>
      <w:pPr>
        <w:numPr>
          <w:numId w:val="4"/>
        </w:numPr>
        <w:spacing w:before="120" w:after="120" w:line="288" w:lineRule="auto"/>
        <w:ind w:left="907"/>
        <w:jc w:val="left"/>
      </w:pPr>
      <w:r>
        <w:rPr>
          <w:rFonts w:eastAsia="等线" w:ascii="Arial" w:cs="Arial" w:hAnsi="Arial"/>
          <w:sz w:val="22"/>
        </w:rPr>
        <w:t>展示限制：该报告不会在手机端展示给家长，若开放完整报告，仅在系统中呈现。</w:t>
      </w:r>
    </w:p>
    <w:p>
      <w:pPr>
        <w:numPr>
          <w:numId w:val="5"/>
        </w:numPr>
        <w:spacing w:before="120" w:after="120" w:line="288" w:lineRule="auto"/>
        <w:ind w:left="453"/>
        <w:jc w:val="left"/>
      </w:pPr>
      <w:r>
        <w:rPr>
          <w:rFonts w:eastAsia="等线" w:ascii="Arial" w:cs="Arial" w:hAnsi="Arial"/>
          <w:b w:val="true"/>
          <w:sz w:val="22"/>
        </w:rPr>
        <w:t>查看建议</w:t>
      </w:r>
      <w:r>
        <w:rPr>
          <w:rFonts w:eastAsia="等线" w:ascii="Arial" w:cs="Arial" w:hAnsi="Arial"/>
          <w:sz w:val="22"/>
        </w:rPr>
        <w:t>：系统中的每份报告都是综合报告的子报告，若无特定活动或特殊考虑，直接查看综合报告效率更高。</w:t>
      </w:r>
    </w:p>
    <w:p>
      <w:pPr>
        <w:numPr>
          <w:numId w:val="6"/>
        </w:numPr>
        <w:spacing w:before="120" w:after="120" w:line="288" w:lineRule="auto"/>
        <w:ind w:left="0"/>
        <w:jc w:val="left"/>
      </w:pPr>
      <w:r>
        <w:rPr>
          <w:rFonts w:eastAsia="等线" w:ascii="Arial" w:cs="Arial" w:hAnsi="Arial"/>
          <w:b w:val="true"/>
          <w:sz w:val="22"/>
        </w:rPr>
        <w:t>家庭管教冲突报告解读</w:t>
      </w:r>
    </w:p>
    <w:p>
      <w:pPr>
        <w:numPr>
          <w:numId w:val="7"/>
        </w:numPr>
        <w:spacing w:before="120" w:after="120" w:line="288" w:lineRule="auto"/>
        <w:ind w:left="453"/>
        <w:jc w:val="left"/>
      </w:pPr>
      <w:r>
        <w:rPr>
          <w:rFonts w:eastAsia="等线" w:ascii="Arial" w:cs="Arial" w:hAnsi="Arial"/>
          <w:b w:val="true"/>
          <w:sz w:val="22"/>
        </w:rPr>
        <w:t>管教风格冲突</w:t>
      </w:r>
    </w:p>
    <w:p>
      <w:pPr>
        <w:numPr>
          <w:numId w:val="8"/>
        </w:numPr>
        <w:spacing w:before="120" w:after="120" w:line="288" w:lineRule="auto"/>
        <w:ind w:left="907"/>
        <w:jc w:val="left"/>
      </w:pPr>
      <w:r>
        <w:rPr>
          <w:rFonts w:eastAsia="等线" w:ascii="Arial" w:cs="Arial" w:hAnsi="Arial"/>
          <w:sz w:val="22"/>
        </w:rPr>
        <w:t>报告选择：建议用相对客观的家庭和校园版本的 DISC 报告解读家长管教风格与学生学习风格的冲突，主观报告因自我认知问题可能存在解读偏差。</w:t>
      </w:r>
    </w:p>
    <w:p>
      <w:pPr>
        <w:numPr>
          <w:numId w:val="9"/>
        </w:numPr>
        <w:spacing w:before="120" w:after="120" w:line="288" w:lineRule="auto"/>
        <w:ind w:left="907"/>
        <w:jc w:val="left"/>
      </w:pPr>
      <w:r>
        <w:rPr>
          <w:rFonts w:eastAsia="等线" w:ascii="Arial" w:cs="Arial" w:hAnsi="Arial"/>
          <w:sz w:val="22"/>
        </w:rPr>
        <w:t>案例分析：以某案例为例，家长最高项为 d（老虎，追求掌控和权威），学生最高项为 i（孔雀，追求影响力），虽都外向积极，但追求不同，终极课程会有更详细解读。</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579"/>
        <w:gridCol w:w="7120"/>
        <w:gridCol w:w="579"/>
      </w:tblGrid>
      <w:tr>
        <w:tc>
          <w:tcPr>
            <w:tcW w:w="579" w:type="dxa"/>
            <w:tcMar>
              <w:top w:type="dxa" w:w="60"/>
              <w:left w:type="dxa" w:w="120"/>
              <w:bottom w:type="dxa" w:w="30"/>
              <w:right w:type="dxa" w:w="120"/>
            </w:tcMar>
          </w:tcPr>
          <w:p>
            <w:pPr>
              <w:spacing w:before="120" w:after="120" w:line="288" w:lineRule="auto"/>
              <w:ind w:left="0"/>
              <w:jc w:val="left"/>
            </w:pPr>
          </w:p>
        </w:tc>
        <w:tc>
          <w:tcPr>
            <w:tcW w:w="7120" w:type="dxa"/>
            <w:tcMar>
              <w:top w:type="dxa" w:w="60"/>
              <w:left w:type="dxa" w:w="120"/>
              <w:bottom w:type="dxa" w:w="30"/>
              <w:right w:type="dxa" w:w="120"/>
            </w:tcMar>
          </w:tcPr>
          <w:p>
            <w:pPr>
              <w:spacing w:before="120" w:after="120" w:line="288" w:lineRule="auto"/>
              <w:ind w:left="0"/>
              <w:jc w:val="center"/>
            </w:pPr>
            <w:r>
              <w:drawing>
                <wp:inline distT="0" distR="0" distB="0" distL="0">
                  <wp:extent cx="4362450" cy="1285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4362450" cy="12858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家长与学生DISC管教风格对比</w:t>
              <w:br/>
            </w:r>
          </w:p>
        </w:tc>
        <w:tc>
          <w:tcPr>
            <w:tcW w:w="579" w:type="dxa"/>
            <w:tcMar>
              <w:top w:type="dxa" w:w="60"/>
              <w:left w:type="dxa" w:w="120"/>
              <w:bottom w:type="dxa" w:w="30"/>
              <w:right w:type="dxa" w:w="120"/>
            </w:tcMar>
          </w:tcPr>
          <w:p>
            <w:pPr>
              <w:spacing w:before="120" w:after="120" w:line="288" w:lineRule="auto"/>
              <w:ind w:left="0"/>
              <w:jc w:val="left"/>
            </w:pPr>
          </w:p>
        </w:tc>
      </w:tr>
    </w:tbl>
    <w:p>
      <w:pPr>
        <w:numPr>
          <w:numId w:val="10"/>
        </w:numPr>
        <w:spacing w:before="120" w:after="120" w:line="288" w:lineRule="auto"/>
        <w:ind w:left="453"/>
        <w:jc w:val="left"/>
      </w:pPr>
      <w:r>
        <w:rPr>
          <w:rFonts w:eastAsia="等线" w:ascii="Arial" w:cs="Arial" w:hAnsi="Arial"/>
          <w:b w:val="true"/>
          <w:sz w:val="22"/>
        </w:rPr>
        <w:t>观点冲突</w:t>
      </w:r>
    </w:p>
    <w:p>
      <w:pPr>
        <w:numPr>
          <w:numId w:val="11"/>
        </w:numPr>
        <w:spacing w:before="120" w:after="120" w:line="288" w:lineRule="auto"/>
        <w:ind w:left="907"/>
        <w:jc w:val="left"/>
      </w:pPr>
      <w:r>
        <w:rPr>
          <w:rFonts w:eastAsia="等线" w:ascii="Arial" w:cs="Arial" w:hAnsi="Arial"/>
          <w:sz w:val="22"/>
        </w:rPr>
        <w:t>重要性：家长与孩子观点冲突报告对后续服务和跟踪非常有用。</w:t>
      </w:r>
    </w:p>
    <w:p>
      <w:pPr>
        <w:numPr>
          <w:numId w:val="12"/>
        </w:numPr>
        <w:spacing w:before="120" w:after="120" w:line="288" w:lineRule="auto"/>
        <w:ind w:left="907"/>
        <w:jc w:val="left"/>
      </w:pPr>
      <w:r>
        <w:rPr>
          <w:rFonts w:eastAsia="等线" w:ascii="Arial" w:cs="Arial" w:hAnsi="Arial"/>
          <w:sz w:val="22"/>
        </w:rPr>
        <w:t>案例分析：以某案例为例，严重冲突项为卓越能力和目标管理。卓越能力方面，孩子认为学习能力难以大幅提升，家长认为孩子想提升且有行动；目标管理方面，家长认为孩子有短期学习目标，孩子认为自己无目标计划，属布置什么学什么状态。报告还会分析冲突原因、预测后果并给出改善建议，终极课程会有更多解读。</w:t>
      </w:r>
    </w:p>
    <w:p>
      <w:pPr>
        <w:spacing w:before="120" w:after="120" w:line="288" w:lineRule="auto"/>
        <w:ind w:left="907"/>
        <w:jc w:val="center"/>
      </w:pPr>
      <w:r>
        <w:drawing>
          <wp:inline distT="0" distR="0" distB="0" distL="0">
            <wp:extent cx="5257800" cy="9429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942975"/>
                    </a:xfrm>
                    <a:prstGeom prst="rect">
                      <a:avLst/>
                    </a:prstGeom>
                  </pic:spPr>
                </pic:pic>
              </a:graphicData>
            </a:graphic>
          </wp:inline>
        </w:drawing>
      </w:r>
    </w:p>
    <w:p>
      <w:pPr>
        <w:spacing w:before="120" w:after="120" w:line="288" w:lineRule="auto"/>
        <w:ind w:left="907"/>
        <w:jc w:val="center"/>
      </w:pPr>
      <w:r>
        <w:rPr>
          <w:rFonts w:eastAsia="等线" w:ascii="Arial" w:cs="Arial" w:hAnsi="Arial"/>
          <w:color w:val="8F959E"/>
          <w:sz w:val="22"/>
        </w:rPr>
        <w:t>家庭观点冲突项分析</w:t>
        <w:br/>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00:05</w:t>
        </w:r>
      </w:hyperlink>
      <w:r>
        <w:rPr>
          <w:rFonts w:eastAsia="等线" w:ascii="Arial" w:cs="Arial" w:hAnsi="Arial"/>
          <w:b w:val="true"/>
          <w:sz w:val="22"/>
        </w:rPr>
        <w:t xml:space="preserve">  初级课学习力最后一节：家庭冲突报告介绍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初级课学习力板块最后一课——家庭冲突报告。该报告需学生和家长完成所有学习力报告才会生成，且不在手机端向家长展示，只在系统呈现。随着对系统和报告解读的熟悉，未来核心看三份综合报告效率更高，因其他报告是其子报告。家庭管教冲突报告取两者回答有冲突处。</w:t>
            </w:r>
          </w:p>
        </w:tc>
      </w:tr>
    </w:tbl>
    <w:p>
      <w:pPr>
        <w:spacing w:before="120" w:after="120" w:line="288" w:lineRule="auto"/>
        <w:ind w:left="0"/>
        <w:jc w:val="left"/>
      </w:pPr>
      <w:hyperlink r:id="rId9">
        <w:r>
          <w:rPr>
            <w:rFonts w:eastAsia="等线" w:ascii="Arial" w:cs="Arial" w:hAnsi="Arial"/>
            <w:color w:val="3370ff"/>
            <w:sz w:val="22"/>
          </w:rPr>
          <w:t>02:03</w:t>
        </w:r>
      </w:hyperlink>
      <w:r>
        <w:rPr>
          <w:rFonts w:eastAsia="等线" w:ascii="Arial" w:cs="Arial" w:hAnsi="Arial"/>
          <w:b w:val="true"/>
          <w:sz w:val="22"/>
        </w:rPr>
        <w:t xml:space="preserve">  管教与学习风格冲突及DISC报告解读建议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第一个板块，即家长管教风格与学生学习风格的冲突。建议用相对客观的家庭和校园版本的DISC报告做冲突解读，避免主观报告因自我认知不清晰导致偏差。还指出家长最高值是d（老虎，追求掌控和权威），学生最高值是i（孔雀，追求影响力和快乐），终极课程会有更详细解读。</w:t>
            </w:r>
          </w:p>
        </w:tc>
      </w:tr>
    </w:tbl>
    <w:p>
      <w:pPr>
        <w:spacing w:before="120" w:after="120" w:line="288" w:lineRule="auto"/>
        <w:ind w:left="0"/>
        <w:jc w:val="left"/>
      </w:pPr>
      <w:hyperlink r:id="rId10">
        <w:r>
          <w:rPr>
            <w:rFonts w:eastAsia="等线" w:ascii="Arial" w:cs="Arial" w:hAnsi="Arial"/>
            <w:color w:val="3370ff"/>
            <w:sz w:val="22"/>
          </w:rPr>
          <w:t>04:05</w:t>
        </w:r>
      </w:hyperlink>
      <w:r>
        <w:rPr>
          <w:rFonts w:eastAsia="等线" w:ascii="Arial" w:cs="Arial" w:hAnsi="Arial"/>
          <w:b w:val="true"/>
          <w:sz w:val="22"/>
        </w:rPr>
        <w:t xml:space="preserve">  家庭报告要点、冲突分析及改善建议解读</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给到家长管教建议及分析家长与孩子观点冲突报告的重要性，其对后续服务及跟踪有很大作用。以案例展示冰山图各项冲突，如卓越能力和目标管理有严重冲突。接着分析家庭冲突项多解读空间大，还提及要分析孩子与家长的观点、冲突原因、后果预测，并给出改善建议，报告在终极课程会有更多解读。</w:t>
            </w:r>
          </w:p>
        </w:tc>
      </w:tr>
    </w:tbl>
    <w:p>
      <w:pPr>
        <w:spacing w:before="120" w:after="120" w:line="288" w:lineRule="auto"/>
        <w:ind w:left="0"/>
        <w:jc w:val="left"/>
      </w:pPr>
      <w:hyperlink r:id="rId11">
        <w:r>
          <w:rPr>
            <w:rFonts w:eastAsia="等线" w:ascii="Arial" w:cs="Arial" w:hAnsi="Arial"/>
            <w:color w:val="3370ff"/>
            <w:sz w:val="22"/>
          </w:rPr>
          <w:t>06:04</w:t>
        </w:r>
      </w:hyperlink>
      <w:r>
        <w:rPr>
          <w:rFonts w:eastAsia="等线" w:ascii="Arial" w:cs="Arial" w:hAnsi="Arial"/>
          <w:b w:val="true"/>
          <w:sz w:val="22"/>
        </w:rPr>
        <w:t xml:space="preserve">  报告分享：目标管理中家长与孩子观点差异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目标管理展开。在目标管理方面，家长认为孩子会制定短期学习目标，但孩子觉得自己没目标、没计划，处于布置什么学什么的状态，这一差异很能说明问题。此外，相关内容里还包含孩子家长的观点和后果预测，最后说话人完成了该报告的分享。</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13"/>
        </w:numPr>
        <w:spacing w:before="120" w:after="120" w:line="288" w:lineRule="auto"/>
        <w:ind w:left="0"/>
        <w:jc w:val="left"/>
      </w:pPr>
      <w:r>
        <w:rPr>
          <w:rFonts w:eastAsia="等线" w:ascii="Arial" w:cs="Arial" w:hAnsi="Arial"/>
          <w:b w:val="true"/>
          <w:sz w:val="22"/>
        </w:rPr>
        <w:t>家庭冲突报告生成条件</w:t>
      </w:r>
      <w:r>
        <w:rPr>
          <w:rFonts w:eastAsia="等线" w:ascii="Arial" w:cs="Arial" w:hAnsi="Arial"/>
          <w:sz w:val="22"/>
        </w:rPr>
        <w:t>：需学生完成所有学习力报告，家长完成家长评估的所有学习力报告，缺一不可。</w:t>
      </w:r>
    </w:p>
    <w:p>
      <w:pPr>
        <w:numPr>
          <w:numId w:val="14"/>
        </w:numPr>
        <w:spacing w:before="120" w:after="120" w:line="288" w:lineRule="auto"/>
        <w:ind w:left="0"/>
        <w:jc w:val="left"/>
      </w:pPr>
      <w:r>
        <w:rPr>
          <w:rFonts w:eastAsia="等线" w:ascii="Arial" w:cs="Arial" w:hAnsi="Arial"/>
          <w:b w:val="true"/>
          <w:sz w:val="22"/>
        </w:rPr>
        <w:t>报告展示方式</w:t>
      </w:r>
      <w:r>
        <w:rPr>
          <w:rFonts w:eastAsia="等线" w:ascii="Arial" w:cs="Arial" w:hAnsi="Arial"/>
          <w:sz w:val="22"/>
        </w:rPr>
        <w:t>：该报告不会在手机端向家长展示，若开放完整报告，仅在系统中呈现。</w:t>
      </w:r>
    </w:p>
    <w:p>
      <w:pPr>
        <w:numPr>
          <w:numId w:val="15"/>
        </w:numPr>
        <w:spacing w:before="120" w:after="120" w:line="288" w:lineRule="auto"/>
        <w:ind w:left="0"/>
        <w:jc w:val="left"/>
      </w:pPr>
      <w:r>
        <w:rPr>
          <w:rFonts w:eastAsia="等线" w:ascii="Arial" w:cs="Arial" w:hAnsi="Arial"/>
          <w:b w:val="true"/>
          <w:sz w:val="22"/>
        </w:rPr>
        <w:t>报告查看建议</w:t>
      </w:r>
      <w:r>
        <w:rPr>
          <w:rFonts w:eastAsia="等线" w:ascii="Arial" w:cs="Arial" w:hAnsi="Arial"/>
          <w:sz w:val="22"/>
        </w:rPr>
        <w:t>：随着对系统和报告解读的熟悉，未来核心查看三份综合报告，效率更高。</w:t>
      </w:r>
    </w:p>
    <w:p>
      <w:pPr>
        <w:numPr>
          <w:numId w:val="16"/>
        </w:numPr>
        <w:spacing w:before="120" w:after="120" w:line="288" w:lineRule="auto"/>
        <w:ind w:left="0"/>
        <w:jc w:val="left"/>
      </w:pPr>
      <w:r>
        <w:rPr>
          <w:rFonts w:eastAsia="等线" w:ascii="Arial" w:cs="Arial" w:hAnsi="Arial"/>
          <w:b w:val="true"/>
          <w:sz w:val="22"/>
        </w:rPr>
        <w:t>家庭管教冲突解读</w:t>
      </w:r>
      <w:r>
        <w:rPr>
          <w:rFonts w:eastAsia="等线" w:ascii="Arial" w:cs="Arial" w:hAnsi="Arial"/>
          <w:sz w:val="22"/>
        </w:rPr>
        <w:t>：可结合家庭和校园版本的客观 DISC 报告进行冲突解读，主观报告可能因自我认知不清晰产生偏差。</w:t>
      </w:r>
    </w:p>
    <w:p>
      <w:pPr>
        <w:numPr>
          <w:numId w:val="17"/>
        </w:numPr>
        <w:spacing w:before="120" w:after="120" w:line="288" w:lineRule="auto"/>
        <w:ind w:left="0"/>
        <w:jc w:val="left"/>
      </w:pPr>
      <w:r>
        <w:rPr>
          <w:rFonts w:eastAsia="等线" w:ascii="Arial" w:cs="Arial" w:hAnsi="Arial"/>
          <w:b w:val="true"/>
          <w:sz w:val="22"/>
        </w:rPr>
        <w:t>报告重要性</w:t>
      </w:r>
      <w:r>
        <w:rPr>
          <w:rFonts w:eastAsia="等线" w:ascii="Arial" w:cs="Arial" w:hAnsi="Arial"/>
          <w:sz w:val="22"/>
        </w:rPr>
        <w:t>：报告中的冲突点对为家长和学生提供服务、进行高效跟踪非常有用。</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「随着对系统和报告解读的熟悉，未来核心查看三份综合报告，效率更高，因为上面每份报告都是综合报告的子报告，已综合所有内容。」</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突出了查看报告的高效方式，为后续工作提供了明确的方向。</w:t>
      </w:r>
    </w:p>
    <w:p>
      <w:pPr>
        <w:spacing w:before="120" w:after="120" w:line="288" w:lineRule="auto"/>
        <w:ind w:left="0"/>
        <w:jc w:val="left"/>
      </w:pPr>
    </w:p>
    <w:p>
      <w:pPr>
        <w:spacing w:before="120" w:after="120" w:line="288" w:lineRule="auto"/>
        <w:ind w:left="0"/>
        <w:jc w:val="left"/>
      </w:pPr>
      <w:r>
        <w:rPr>
          <w:rFonts w:eastAsia="等线" w:ascii="Arial" w:cs="Arial" w:hAnsi="Arial"/>
          <w:sz w:val="22"/>
        </w:rPr>
        <w:t>「建议拿家庭和校园版本的客观 DISC 报告做冲突解读，主观报告因自我认知不清晰可能导致解读偏差。」</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提供了更准确解读报告的方法，避免因主观因素产生误差。</w:t>
      </w:r>
    </w:p>
    <w:p>
      <w:pPr>
        <w:spacing w:before="120" w:after="120" w:line="288" w:lineRule="auto"/>
        <w:ind w:left="0"/>
        <w:jc w:val="left"/>
      </w:pPr>
    </w:p>
    <w:p>
      <w:pPr>
        <w:spacing w:before="120" w:after="120" w:line="288" w:lineRule="auto"/>
        <w:ind w:left="0"/>
        <w:jc w:val="left"/>
      </w:pPr>
      <w:r>
        <w:rPr>
          <w:rFonts w:eastAsia="等线" w:ascii="Arial" w:cs="Arial" w:hAnsi="Arial"/>
          <w:sz w:val="22"/>
        </w:rPr>
        <w:t>「家庭冲突报告中的冲突点对为家长和学生提供服务以及高效跟踪非常有用。」</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强调了报告的重要价值，让参会者认识到报告的实用性。</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18"/>
        </w:numPr>
        <w:spacing w:before="120" w:after="120" w:line="288" w:lineRule="auto"/>
        <w:ind w:left="0"/>
        <w:jc w:val="left"/>
      </w:pPr>
      <w:r>
        <w:rPr>
          <w:rFonts w:eastAsia="等线" w:ascii="Arial" w:cs="Arial" w:hAnsi="Arial"/>
          <w:sz w:val="22"/>
        </w:rPr>
        <w:t>妙记：</w:t>
      </w:r>
      <w:hyperlink r:id="rId12">
        <w:r>
          <w:rPr>
            <w:rFonts w:eastAsia="等线" w:ascii="Arial" w:cs="Arial" w:hAnsi="Arial"/>
            <w:color w:val="3370ff"/>
            <w:sz w:val="22"/>
          </w:rPr>
          <w:t>16.如何读懂家庭管教冲突报告</w:t>
        </w:r>
      </w:hyperlink>
    </w:p>
    <w:p>
      <w:pPr>
        <w:numPr>
          <w:numId w:val="19"/>
        </w:numPr>
        <w:spacing w:before="120" w:after="120" w:line="288" w:lineRule="auto"/>
        <w:ind w:left="0"/>
        <w:jc w:val="left"/>
      </w:pPr>
      <w:r>
        <w:rPr>
          <w:rFonts w:eastAsia="等线" w:ascii="Arial" w:cs="Arial" w:hAnsi="Arial"/>
          <w:sz w:val="22"/>
        </w:rPr>
        <w:t>文字记录</w:t>
      </w:r>
    </w:p>
    <w:p>
      <w:pPr>
        <w:numPr>
          <w:numId w:val="20"/>
        </w:numPr>
        <w:spacing w:before="120" w:after="120" w:line="288" w:lineRule="auto"/>
        <w:ind w:left="453"/>
        <w:jc w:val="left"/>
      </w:pPr>
      <w:hyperlink r:id="rId13">
        <w:r>
          <w:rPr>
            <w:rFonts w:eastAsia="等线" w:ascii="Arial" w:cs="Arial" w:hAnsi="Arial"/>
            <w:color w:val="3370ff"/>
            <w:sz w:val="22"/>
          </w:rPr>
          <w:t>16.如何读懂家庭管教冲突报告 2026年1月22日</w:t>
        </w:r>
      </w:hyperlink>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80863">
    <w:lvl>
      <w:numFmt w:val="bullet"/>
      <w:suff w:val="tab"/>
      <w:lvlText w:val="•"/>
      <w:rPr>
        <w:color w:val="3370ff"/>
      </w:rPr>
    </w:lvl>
  </w:abstractNum>
  <w:abstractNum w:abstractNumId="980864">
    <w:lvl>
      <w:numFmt w:val="bullet"/>
      <w:suff w:val="tab"/>
      <w:lvlText w:val="￮"/>
      <w:rPr>
        <w:color w:val="3370ff"/>
      </w:rPr>
    </w:lvl>
  </w:abstractNum>
  <w:abstractNum w:abstractNumId="980865">
    <w:lvl>
      <w:numFmt w:val="bullet"/>
      <w:suff w:val="tab"/>
      <w:lvlText w:val="▪"/>
      <w:rPr>
        <w:color w:val="3370ff"/>
        <w:sz w:val="11"/>
      </w:rPr>
    </w:lvl>
  </w:abstractNum>
  <w:abstractNum w:abstractNumId="980866">
    <w:lvl>
      <w:numFmt w:val="bullet"/>
      <w:suff w:val="tab"/>
      <w:lvlText w:val="▪"/>
      <w:rPr>
        <w:color w:val="3370ff"/>
        <w:sz w:val="11"/>
      </w:rPr>
    </w:lvl>
  </w:abstractNum>
  <w:abstractNum w:abstractNumId="980867">
    <w:lvl>
      <w:numFmt w:val="bullet"/>
      <w:suff w:val="tab"/>
      <w:lvlText w:val="￮"/>
      <w:rPr>
        <w:color w:val="3370ff"/>
      </w:rPr>
    </w:lvl>
  </w:abstractNum>
  <w:abstractNum w:abstractNumId="980868">
    <w:lvl>
      <w:numFmt w:val="bullet"/>
      <w:suff w:val="tab"/>
      <w:lvlText w:val="•"/>
      <w:rPr>
        <w:color w:val="3370ff"/>
      </w:rPr>
    </w:lvl>
  </w:abstractNum>
  <w:abstractNum w:abstractNumId="980869">
    <w:lvl>
      <w:numFmt w:val="bullet"/>
      <w:suff w:val="tab"/>
      <w:lvlText w:val="￮"/>
      <w:rPr>
        <w:color w:val="3370ff"/>
      </w:rPr>
    </w:lvl>
  </w:abstractNum>
  <w:abstractNum w:abstractNumId="980870">
    <w:lvl>
      <w:numFmt w:val="bullet"/>
      <w:suff w:val="tab"/>
      <w:lvlText w:val="▪"/>
      <w:rPr>
        <w:color w:val="3370ff"/>
        <w:sz w:val="11"/>
      </w:rPr>
    </w:lvl>
  </w:abstractNum>
  <w:abstractNum w:abstractNumId="980871">
    <w:lvl>
      <w:numFmt w:val="bullet"/>
      <w:suff w:val="tab"/>
      <w:lvlText w:val="▪"/>
      <w:rPr>
        <w:color w:val="3370ff"/>
        <w:sz w:val="11"/>
      </w:rPr>
    </w:lvl>
  </w:abstractNum>
  <w:abstractNum w:abstractNumId="980872">
    <w:lvl>
      <w:numFmt w:val="bullet"/>
      <w:suff w:val="tab"/>
      <w:lvlText w:val="￮"/>
      <w:rPr>
        <w:color w:val="3370ff"/>
      </w:rPr>
    </w:lvl>
  </w:abstractNum>
  <w:abstractNum w:abstractNumId="980873">
    <w:lvl>
      <w:numFmt w:val="bullet"/>
      <w:suff w:val="tab"/>
      <w:lvlText w:val="▪"/>
      <w:rPr>
        <w:color w:val="3370ff"/>
        <w:sz w:val="11"/>
      </w:rPr>
    </w:lvl>
  </w:abstractNum>
  <w:abstractNum w:abstractNumId="980874">
    <w:lvl>
      <w:numFmt w:val="bullet"/>
      <w:suff w:val="tab"/>
      <w:lvlText w:val="▪"/>
      <w:rPr>
        <w:color w:val="3370ff"/>
        <w:sz w:val="11"/>
      </w:rPr>
    </w:lvl>
  </w:abstractNum>
  <w:abstractNum w:abstractNumId="980875">
    <w:lvl>
      <w:numFmt w:val="bullet"/>
      <w:suff w:val="tab"/>
      <w:lvlText w:val="•"/>
      <w:rPr>
        <w:color w:val="3370ff"/>
      </w:rPr>
    </w:lvl>
  </w:abstractNum>
  <w:abstractNum w:abstractNumId="980876">
    <w:lvl>
      <w:numFmt w:val="bullet"/>
      <w:suff w:val="tab"/>
      <w:lvlText w:val="•"/>
      <w:rPr>
        <w:color w:val="3370ff"/>
      </w:rPr>
    </w:lvl>
  </w:abstractNum>
  <w:abstractNum w:abstractNumId="980877">
    <w:lvl>
      <w:numFmt w:val="bullet"/>
      <w:suff w:val="tab"/>
      <w:lvlText w:val="•"/>
      <w:rPr>
        <w:color w:val="3370ff"/>
      </w:rPr>
    </w:lvl>
  </w:abstractNum>
  <w:abstractNum w:abstractNumId="980878">
    <w:lvl>
      <w:numFmt w:val="bullet"/>
      <w:suff w:val="tab"/>
      <w:lvlText w:val="•"/>
      <w:rPr>
        <w:color w:val="3370ff"/>
      </w:rPr>
    </w:lvl>
  </w:abstractNum>
  <w:abstractNum w:abstractNumId="980879">
    <w:lvl>
      <w:numFmt w:val="bullet"/>
      <w:suff w:val="tab"/>
      <w:lvlText w:val="•"/>
      <w:rPr>
        <w:color w:val="3370ff"/>
      </w:rPr>
    </w:lvl>
  </w:abstractNum>
  <w:abstractNum w:abstractNumId="980880">
    <w:lvl>
      <w:numFmt w:val="bullet"/>
      <w:suff w:val="tab"/>
      <w:lvlText w:val="•"/>
      <w:rPr>
        <w:color w:val="3370ff"/>
      </w:rPr>
    </w:lvl>
  </w:abstractNum>
  <w:abstractNum w:abstractNumId="980881">
    <w:lvl>
      <w:numFmt w:val="bullet"/>
      <w:suff w:val="tab"/>
      <w:lvlText w:val="•"/>
      <w:rPr>
        <w:color w:val="3370ff"/>
      </w:rPr>
    </w:lvl>
  </w:abstractNum>
  <w:abstractNum w:abstractNumId="980882">
    <w:lvl>
      <w:numFmt w:val="bullet"/>
      <w:suff w:val="tab"/>
      <w:lvlText w:val="￮"/>
      <w:rPr>
        <w:color w:val="3370ff"/>
      </w:rPr>
    </w:lvl>
  </w:abstractNum>
  <w:num w:numId="1">
    <w:abstractNumId w:val="980863"/>
  </w:num>
  <w:num w:numId="2">
    <w:abstractNumId w:val="980864"/>
  </w:num>
  <w:num w:numId="3">
    <w:abstractNumId w:val="980865"/>
  </w:num>
  <w:num w:numId="4">
    <w:abstractNumId w:val="980866"/>
  </w:num>
  <w:num w:numId="5">
    <w:abstractNumId w:val="980867"/>
  </w:num>
  <w:num w:numId="6">
    <w:abstractNumId w:val="980868"/>
  </w:num>
  <w:num w:numId="7">
    <w:abstractNumId w:val="980869"/>
  </w:num>
  <w:num w:numId="8">
    <w:abstractNumId w:val="980870"/>
  </w:num>
  <w:num w:numId="9">
    <w:abstractNumId w:val="980871"/>
  </w:num>
  <w:num w:numId="10">
    <w:abstractNumId w:val="980872"/>
  </w:num>
  <w:num w:numId="11">
    <w:abstractNumId w:val="980873"/>
  </w:num>
  <w:num w:numId="12">
    <w:abstractNumId w:val="980874"/>
  </w:num>
  <w:num w:numId="13">
    <w:abstractNumId w:val="980875"/>
  </w:num>
  <w:num w:numId="14">
    <w:abstractNumId w:val="980876"/>
  </w:num>
  <w:num w:numId="15">
    <w:abstractNumId w:val="980877"/>
  </w:num>
  <w:num w:numId="16">
    <w:abstractNumId w:val="980878"/>
  </w:num>
  <w:num w:numId="17">
    <w:abstractNumId w:val="980879"/>
  </w:num>
  <w:num w:numId="18">
    <w:abstractNumId w:val="980880"/>
  </w:num>
  <w:num w:numId="19">
    <w:abstractNumId w:val="980881"/>
  </w:num>
  <w:num w:numId="20">
    <w:abstractNumId w:val="98088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n751n3z19v365nz3z97?t=245000" TargetMode="External" Type="http://schemas.openxmlformats.org/officeDocument/2006/relationships/hyperlink"/><Relationship Id="rId11" Target="https://hcnytq72r1ge.feishu.cn/minutes/obcnfn751n3z19v365nz3z97?t=364000" TargetMode="External" Type="http://schemas.openxmlformats.org/officeDocument/2006/relationships/hyperlink"/><Relationship Id="rId12" Target="https://hcnytq72r1ge.feishu.cn/minutes/obcnfn751n3z19v365nz3z97?from=ai_minutes" TargetMode="External" Type="http://schemas.openxmlformats.org/officeDocument/2006/relationships/hyperlink"/><Relationship Id="rId13" Target="https://hcnytq72r1ge.feishu.cn/docx/DDgkd9CFNonTmCx1hK0ctRZ9ncc"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n751n3z19v365nz3z97?t=5000" TargetMode="External" Type="http://schemas.openxmlformats.org/officeDocument/2006/relationships/hyperlink"/><Relationship Id="rId9" Target="https://hcnytq72r1ge.feishu.cn/minutes/obcnfn751n3z19v365nz3z97?t=123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2026-01-26T04:07:03Z</dcterms:created>
  <dc:creator>Apache POI</dc:creator>
</cp:coreProperties>
</file>