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智能纪要：17.如何读懂多元智能5项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会议主题：17.如何读懂多元智能5项</w:t>
            </w:r>
          </w:p>
          <w:p>
            <w:pPr>
              <w:spacing w:before="120" w:after="120" w:line="288" w:lineRule="auto"/>
              <w:ind w:left="0"/>
              <w:jc w:val="left"/>
            </w:pPr>
            <w:r>
              <w:rPr>
                <w:rFonts w:eastAsia="等线" w:ascii="Arial" w:cs="Arial" w:hAnsi="Arial"/>
                <w:color w:val="646a73"/>
                <w:sz w:val="22"/>
              </w:rPr>
              <w:t>上传时间：1月22号（周四） 21:59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000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000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本次会议主要围绕大道全能学业规划师初级课程中多元智能五项报告的解读展开，介绍了评估内容、方式、智力类型及课程学习建议等，内容如下：</w:t>
      </w:r>
    </w:p>
    <w:p>
      <w:pPr>
        <w:numPr>
          <w:numId w:val="1"/>
        </w:numPr>
        <w:spacing w:before="120" w:after="120" w:line="288" w:lineRule="auto"/>
        <w:ind w:left="0"/>
        <w:jc w:val="left"/>
      </w:pPr>
      <w:r>
        <w:rPr>
          <w:rFonts w:eastAsia="等线" w:ascii="Arial" w:cs="Arial" w:hAnsi="Arial"/>
          <w:b w:val="true"/>
          <w:sz w:val="22"/>
        </w:rPr>
        <w:t>多元智能五项评估介绍</w:t>
      </w:r>
    </w:p>
    <w:p>
      <w:pPr>
        <w:numPr>
          <w:numId w:val="2"/>
        </w:numPr>
        <w:spacing w:before="120" w:after="120" w:line="288" w:lineRule="auto"/>
        <w:ind w:left="453"/>
        <w:jc w:val="left"/>
      </w:pPr>
      <w:r>
        <w:rPr>
          <w:rFonts w:eastAsia="等线" w:ascii="Arial" w:cs="Arial" w:hAnsi="Arial"/>
          <w:b w:val="true"/>
          <w:sz w:val="22"/>
        </w:rPr>
        <w:t>评估内容与形式</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5878"/>
        <w:gridCol w:w="2401"/>
      </w:tblGrid>
      <w:tr>
        <w:tc>
          <w:tcPr>
            <w:tcW w:w="5878"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能力涵盖：评估涵盖演绎推理、细节感知、数字计算、词义理解和空间定向五项能力。</w:t>
            </w:r>
          </w:p>
          <w:p>
            <w:pPr>
              <w:numPr>
                <w:numId w:val="4"/>
              </w:numPr>
              <w:spacing w:before="120" w:after="120" w:line="288" w:lineRule="auto"/>
              <w:ind w:left="0"/>
              <w:jc w:val="left"/>
            </w:pPr>
            <w:r>
              <w:rPr>
                <w:rFonts w:eastAsia="等线" w:ascii="Arial" w:cs="Arial" w:hAnsi="Arial"/>
                <w:sz w:val="22"/>
              </w:rPr>
              <w:t>报告发送方式：可单独发送报告给客户，也可组合发送，若要得到综合报告，需选择系统中的官方组合。</w:t>
            </w:r>
          </w:p>
          <w:p>
            <w:pPr>
              <w:numPr>
                <w:numId w:val="5"/>
              </w:numPr>
              <w:spacing w:before="120" w:after="120" w:line="288" w:lineRule="auto"/>
              <w:ind w:left="0"/>
              <w:jc w:val="left"/>
            </w:pPr>
            <w:r>
              <w:rPr>
                <w:rFonts w:eastAsia="等线" w:ascii="Arial" w:cs="Arial" w:hAnsi="Arial"/>
                <w:sz w:val="22"/>
              </w:rPr>
              <w:t>评估方式：通过答题训练形式进行，相对客观，与市面上量表类评估相比更具优势。</w:t>
            </w:r>
          </w:p>
        </w:tc>
        <w:tc>
          <w:tcPr>
            <w:tcW w:w="2401" w:type="dxa"/>
            <w:tcMar>
              <w:top w:type="dxa" w:w="60"/>
              <w:left w:type="dxa" w:w="120"/>
              <w:bottom w:type="dxa" w:w="30"/>
              <w:right w:type="dxa" w:w="120"/>
            </w:tcMar>
          </w:tcPr>
          <w:p>
            <w:pPr>
              <w:spacing w:before="120" w:after="120" w:line="288" w:lineRule="auto"/>
              <w:ind w:left="0"/>
              <w:jc w:val="center"/>
            </w:pPr>
            <w:r>
              <w:drawing>
                <wp:inline distT="0" distR="0" distB="0" distL="0">
                  <wp:extent cx="1371600" cy="914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371600" cy="914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多元智能报告发送方式流程图</w:t>
              <w:br/>
            </w:r>
          </w:p>
        </w:tc>
      </w:tr>
    </w:tbl>
    <w:p>
      <w:pPr>
        <w:numPr>
          <w:numId w:val="6"/>
        </w:numPr>
        <w:spacing w:before="120" w:after="120" w:line="288" w:lineRule="auto"/>
        <w:ind w:left="453"/>
        <w:jc w:val="left"/>
      </w:pPr>
      <w:r>
        <w:rPr>
          <w:rFonts w:eastAsia="等线" w:ascii="Arial" w:cs="Arial" w:hAnsi="Arial"/>
          <w:b w:val="true"/>
          <w:sz w:val="22"/>
        </w:rPr>
        <w:t>评估工具背景</w:t>
      </w:r>
      <w:r>
        <w:rPr>
          <w:rFonts w:eastAsia="等线" w:ascii="Arial" w:cs="Arial" w:hAnsi="Arial"/>
          <w:sz w:val="22"/>
        </w:rPr>
        <w:t>：该工具最早用于英国军队招募士兵，用于衡量士兵的认知能力和可训练性，是全球公认的工具。</w:t>
      </w:r>
    </w:p>
    <w:p>
      <w:pPr>
        <w:numPr>
          <w:numId w:val="7"/>
        </w:numPr>
        <w:spacing w:before="120" w:after="120" w:line="288" w:lineRule="auto"/>
        <w:ind w:left="0"/>
        <w:jc w:val="left"/>
      </w:pPr>
      <w:r>
        <w:rPr>
          <w:rFonts w:eastAsia="等线" w:ascii="Arial" w:cs="Arial" w:hAnsi="Arial"/>
          <w:b w:val="true"/>
          <w:sz w:val="22"/>
        </w:rPr>
        <w:t>智力类型及特点</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630"/>
        <w:gridCol w:w="579"/>
        <w:gridCol w:w="1490"/>
        <w:gridCol w:w="579"/>
      </w:tblGrid>
      <w:tr>
        <w:tc>
          <w:tcPr>
            <w:tcW w:w="563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b w:val="true"/>
                <w:sz w:val="22"/>
              </w:rPr>
              <w:t>晶体智力与流体智力</w:t>
            </w:r>
          </w:p>
          <w:p>
            <w:pPr>
              <w:numPr>
                <w:numId w:val="9"/>
              </w:numPr>
              <w:spacing w:before="120" w:after="120" w:line="288" w:lineRule="auto"/>
              <w:ind w:left="453"/>
              <w:jc w:val="left"/>
            </w:pPr>
            <w:r>
              <w:rPr>
                <w:rFonts w:eastAsia="等线" w:ascii="Arial" w:cs="Arial" w:hAnsi="Arial"/>
                <w:sz w:val="22"/>
              </w:rPr>
              <w:t>定义：晶体智力可通过后天训练习得，流体智力相对更偏先天。</w:t>
            </w:r>
          </w:p>
          <w:p>
            <w:pPr>
              <w:numPr>
                <w:numId w:val="10"/>
              </w:numPr>
              <w:spacing w:before="120" w:after="120" w:line="288" w:lineRule="auto"/>
              <w:ind w:left="453"/>
              <w:jc w:val="left"/>
            </w:pPr>
            <w:r>
              <w:rPr>
                <w:rFonts w:eastAsia="等线" w:ascii="Arial" w:cs="Arial" w:hAnsi="Arial"/>
                <w:sz w:val="22"/>
              </w:rPr>
              <w:t>能力分类：演绎推理和语义理解偏向流体智力，与逻辑和抽象概括能力相关；其他三项偏晶体智力，可通过大量刻意练习和后天训练得到提升，但演绎推理和语义理解的提升时间相对较长。</w:t>
            </w:r>
          </w:p>
        </w:tc>
        <w:tc>
          <w:tcPr>
            <w:tcW w:w="579" w:type="dxa"/>
            <w:tcMar>
              <w:top w:type="dxa" w:w="60"/>
              <w:left w:type="dxa" w:w="120"/>
              <w:bottom w:type="dxa" w:w="30"/>
              <w:right w:type="dxa" w:w="120"/>
            </w:tcMar>
          </w:tcPr>
          <w:p>
            <w:pPr>
              <w:spacing w:before="120" w:after="120" w:line="288" w:lineRule="auto"/>
              <w:ind w:left="0"/>
              <w:jc w:val="left"/>
            </w:pPr>
          </w:p>
        </w:tc>
        <w:tc>
          <w:tcPr>
            <w:tcW w:w="1490" w:type="dxa"/>
            <w:tcMar>
              <w:top w:type="dxa" w:w="60"/>
              <w:left w:type="dxa" w:w="120"/>
              <w:bottom w:type="dxa" w:w="30"/>
              <w:right w:type="dxa" w:w="120"/>
            </w:tcMar>
          </w:tcPr>
          <w:p>
            <w:pPr>
              <w:spacing w:before="120" w:after="120" w:line="288" w:lineRule="auto"/>
              <w:ind w:left="0"/>
              <w:jc w:val="center"/>
            </w:pPr>
            <w:r>
              <w:drawing>
                <wp:inline distT="0" distR="0" distB="0" distL="0">
                  <wp:extent cx="790575" cy="914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790575" cy="914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多元智能五项能力与智力类型对应表</w:t>
              <w:br/>
            </w:r>
          </w:p>
        </w:tc>
        <w:tc>
          <w:tcPr>
            <w:tcW w:w="579" w:type="dxa"/>
            <w:tcMar>
              <w:top w:type="dxa" w:w="60"/>
              <w:left w:type="dxa" w:w="120"/>
              <w:bottom w:type="dxa" w:w="30"/>
              <w:right w:type="dxa" w:w="120"/>
            </w:tcMar>
          </w:tcPr>
          <w:p>
            <w:pPr>
              <w:spacing w:before="120" w:after="120" w:line="288" w:lineRule="auto"/>
              <w:ind w:left="0"/>
              <w:jc w:val="left"/>
            </w:pPr>
          </w:p>
        </w:tc>
      </w:tr>
    </w:tbl>
    <w:p>
      <w:pPr>
        <w:numPr>
          <w:numId w:val="11"/>
        </w:numPr>
        <w:spacing w:before="120" w:after="120" w:line="288" w:lineRule="auto"/>
        <w:ind w:left="453"/>
        <w:jc w:val="left"/>
      </w:pPr>
      <w:r>
        <w:rPr>
          <w:rFonts w:eastAsia="等线" w:ascii="Arial" w:cs="Arial" w:hAnsi="Arial"/>
          <w:b w:val="true"/>
          <w:sz w:val="22"/>
        </w:rPr>
        <w:t>测评建议</w:t>
      </w:r>
    </w:p>
    <w:p>
      <w:pPr>
        <w:numPr>
          <w:numId w:val="12"/>
        </w:numPr>
        <w:spacing w:before="120" w:after="120" w:line="288" w:lineRule="auto"/>
        <w:ind w:left="907"/>
        <w:jc w:val="left"/>
      </w:pPr>
      <w:r>
        <w:rPr>
          <w:rFonts w:eastAsia="等线" w:ascii="Arial" w:cs="Arial" w:hAnsi="Arial"/>
          <w:sz w:val="22"/>
        </w:rPr>
        <w:t>频率：建议每 4 - 6 个月进行一次测评，不建议将其作为频繁测评或训练工具。</w:t>
      </w:r>
    </w:p>
    <w:p>
      <w:pPr>
        <w:numPr>
          <w:numId w:val="13"/>
        </w:numPr>
        <w:spacing w:before="120" w:after="120" w:line="288" w:lineRule="auto"/>
        <w:ind w:left="907"/>
        <w:jc w:val="left"/>
      </w:pPr>
      <w:r>
        <w:rPr>
          <w:rFonts w:eastAsia="等线" w:ascii="Arial" w:cs="Arial" w:hAnsi="Arial"/>
          <w:sz w:val="22"/>
        </w:rPr>
        <w:t>评估重点：主要评估答题速度、正确性以及短时间内理解题目的能力。</w:t>
      </w:r>
    </w:p>
    <w:p>
      <w:pPr>
        <w:numPr>
          <w:numId w:val="14"/>
        </w:numPr>
        <w:spacing w:before="120" w:after="120" w:line="288" w:lineRule="auto"/>
        <w:ind w:left="0"/>
        <w:jc w:val="left"/>
      </w:pPr>
      <w:r>
        <w:rPr>
          <w:rFonts w:eastAsia="等线" w:ascii="Arial" w:cs="Arial" w:hAnsi="Arial"/>
          <w:b w:val="true"/>
          <w:sz w:val="22"/>
        </w:rPr>
        <w:t>报告解读及课程建议</w:t>
      </w:r>
    </w:p>
    <w:p>
      <w:pPr>
        <w:numPr>
          <w:numId w:val="15"/>
        </w:numPr>
        <w:spacing w:before="120" w:after="120" w:line="288" w:lineRule="auto"/>
        <w:ind w:left="453"/>
        <w:jc w:val="left"/>
      </w:pPr>
      <w:r>
        <w:rPr>
          <w:rFonts w:eastAsia="等线" w:ascii="Arial" w:cs="Arial" w:hAnsi="Arial"/>
          <w:b w:val="true"/>
          <w:sz w:val="22"/>
        </w:rPr>
        <w:t>报告解读</w:t>
      </w:r>
    </w:p>
    <w:p>
      <w:pPr>
        <w:numPr>
          <w:numId w:val="16"/>
        </w:numPr>
        <w:spacing w:before="120" w:after="120" w:line="288" w:lineRule="auto"/>
        <w:ind w:left="907"/>
        <w:jc w:val="left"/>
      </w:pPr>
      <w:r>
        <w:rPr>
          <w:rFonts w:eastAsia="等线" w:ascii="Arial" w:cs="Arial" w:hAnsi="Arial"/>
          <w:sz w:val="22"/>
        </w:rPr>
        <w:t>整体结构：综合报告包含五项能力的情况及综合水平数值，每个单项有仪表盘、数值、诊断结果、学习建议等内容。</w:t>
      </w:r>
    </w:p>
    <w:p>
      <w:pPr>
        <w:numPr>
          <w:numId w:val="17"/>
        </w:numPr>
        <w:spacing w:before="120" w:after="120" w:line="288" w:lineRule="auto"/>
        <w:ind w:left="907"/>
        <w:jc w:val="left"/>
      </w:pPr>
      <w:r>
        <w:rPr>
          <w:rFonts w:eastAsia="等线" w:ascii="Arial" w:cs="Arial" w:hAnsi="Arial"/>
          <w:sz w:val="22"/>
        </w:rPr>
        <w:t>单项分析：以演绎推理为例，报告给出数值、细心指数、特征、评估结果、学习建议、学科情况、职业建议和成长建议等。其他单项结构类似。</w:t>
      </w:r>
    </w:p>
    <w:p>
      <w:pPr>
        <w:numPr>
          <w:numId w:val="18"/>
        </w:numPr>
        <w:spacing w:before="120" w:after="120" w:line="288" w:lineRule="auto"/>
        <w:ind w:left="453"/>
        <w:jc w:val="left"/>
      </w:pPr>
      <w:r>
        <w:rPr>
          <w:rFonts w:eastAsia="等线" w:ascii="Arial" w:cs="Arial" w:hAnsi="Arial"/>
          <w:b w:val="true"/>
          <w:sz w:val="22"/>
        </w:rPr>
        <w:t>课程建议</w:t>
      </w:r>
    </w:p>
    <w:p>
      <w:pPr>
        <w:numPr>
          <w:numId w:val="19"/>
        </w:numPr>
        <w:spacing w:before="120" w:after="120" w:line="288" w:lineRule="auto"/>
        <w:ind w:left="907"/>
        <w:jc w:val="left"/>
      </w:pPr>
      <w:r>
        <w:rPr>
          <w:rFonts w:eastAsia="等线" w:ascii="Arial" w:cs="Arial" w:hAnsi="Arial"/>
          <w:sz w:val="22"/>
        </w:rPr>
        <w:t>初级课程：初级课程老师只需读懂报告意思，掌握报告内容。</w:t>
      </w:r>
    </w:p>
    <w:p>
      <w:pPr>
        <w:numPr>
          <w:numId w:val="20"/>
        </w:numPr>
        <w:spacing w:before="120" w:after="120" w:line="288" w:lineRule="auto"/>
        <w:ind w:left="907"/>
        <w:jc w:val="left"/>
      </w:pPr>
      <w:r>
        <w:rPr>
          <w:rFonts w:eastAsia="等线" w:ascii="Arial" w:cs="Arial" w:hAnsi="Arial"/>
          <w:sz w:val="22"/>
        </w:rPr>
        <w:t>中高级课程：中高级课程会涉及学科知识点分类、不同能力对学习的影响等内容，如物理学科中不同知识点的表现差异等。</w:t>
      </w:r>
    </w:p>
    <w:p>
      <w:pPr>
        <w:numPr>
          <w:numId w:val="21"/>
        </w:numPr>
        <w:spacing w:before="120" w:after="120" w:line="288" w:lineRule="auto"/>
        <w:ind w:left="0"/>
        <w:jc w:val="left"/>
      </w:pPr>
      <w:r>
        <w:rPr>
          <w:rFonts w:eastAsia="等线" w:ascii="Arial" w:cs="Arial" w:hAnsi="Arial"/>
          <w:b w:val="true"/>
          <w:sz w:val="22"/>
        </w:rPr>
        <w:t>空间定向能力</w:t>
      </w:r>
    </w:p>
    <w:p>
      <w:pPr>
        <w:numPr>
          <w:numId w:val="22"/>
        </w:numPr>
        <w:spacing w:before="120" w:after="120" w:line="288" w:lineRule="auto"/>
        <w:ind w:left="453"/>
        <w:jc w:val="left"/>
      </w:pPr>
      <w:r>
        <w:rPr>
          <w:rFonts w:eastAsia="等线" w:ascii="Arial" w:cs="Arial" w:hAnsi="Arial"/>
          <w:b w:val="true"/>
          <w:sz w:val="22"/>
        </w:rPr>
        <w:t>能力特点</w:t>
      </w:r>
      <w:r>
        <w:rPr>
          <w:rFonts w:eastAsia="等线" w:ascii="Arial" w:cs="Arial" w:hAnsi="Arial"/>
          <w:sz w:val="22"/>
        </w:rPr>
        <w:t>：空间定向主要测心理旋转能力，4 岁小孩也可进行测评，但学习力测评中更多针对四年级以上孩子。</w:t>
      </w:r>
    </w:p>
    <w:p>
      <w:pPr>
        <w:numPr>
          <w:numId w:val="23"/>
        </w:numPr>
        <w:spacing w:before="120" w:after="120" w:line="288" w:lineRule="auto"/>
        <w:ind w:left="453"/>
        <w:jc w:val="left"/>
      </w:pPr>
      <w:r>
        <w:rPr>
          <w:rFonts w:eastAsia="等线" w:ascii="Arial" w:cs="Arial" w:hAnsi="Arial"/>
          <w:b w:val="true"/>
          <w:sz w:val="22"/>
        </w:rPr>
        <w:t>报告其他内容</w:t>
      </w:r>
      <w:r>
        <w:rPr>
          <w:rFonts w:eastAsia="等线" w:ascii="Arial" w:cs="Arial" w:hAnsi="Arial"/>
          <w:sz w:val="22"/>
        </w:rPr>
        <w:t>：报告最后还包含科学家团队介绍等内容。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00:05</w:t>
        </w:r>
      </w:hyperlink>
      <w:r>
        <w:rPr>
          <w:rFonts w:eastAsia="等线" w:ascii="Arial" w:cs="Arial" w:hAnsi="Arial"/>
          <w:b w:val="true"/>
          <w:sz w:val="22"/>
        </w:rPr>
        <w:t xml:space="preserve">  大道学业规划多元智能五项综合报告讲解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介绍了大道全能学业规划师初级课程，主要学习多元智能五项报告解读。多元智能五项评估演绎推理、细节感知等五项能力，报告可单独或组合发送给客户。若想得到综合报告，需在系统找官方组合发送。说话人将以综合报告为例讲解，因单个报告内容综合报告里有，还会用处理过名字的真实报告讲解。</w:t>
            </w:r>
          </w:p>
        </w:tc>
      </w:tr>
    </w:tbl>
    <w:p>
      <w:pPr>
        <w:spacing w:before="120" w:after="120" w:line="288" w:lineRule="auto"/>
        <w:ind w:left="0"/>
        <w:jc w:val="left"/>
      </w:pPr>
      <w:hyperlink r:id="rId9">
        <w:r>
          <w:rPr>
            <w:rFonts w:eastAsia="等线" w:ascii="Arial" w:cs="Arial" w:hAnsi="Arial"/>
            <w:color w:val="3370ff"/>
            <w:sz w:val="22"/>
          </w:rPr>
          <w:t>02:36</w:t>
        </w:r>
      </w:hyperlink>
      <w:r>
        <w:rPr>
          <w:rFonts w:eastAsia="等线" w:ascii="Arial" w:cs="Arial" w:hAnsi="Arial"/>
          <w:b w:val="true"/>
          <w:sz w:val="22"/>
        </w:rPr>
        <w:t xml:space="preserve">  多元智能五项评估工具介绍及应用情况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多元智能相关内容。多元智能理论由加德纳提出，完整有八项，此处选五项是因其在生活、工作、学习中常用。原理论未形成评估，后经发展有量表类评估但不准确。系统里的多元智能五项以答题训练形式进行，相对客观，最早用于英国军队招募士兵衡量认知与可训练性，是全球公认工具。</w:t>
            </w:r>
          </w:p>
        </w:tc>
      </w:tr>
    </w:tbl>
    <w:p>
      <w:pPr>
        <w:spacing w:before="120" w:after="120" w:line="288" w:lineRule="auto"/>
        <w:ind w:left="0"/>
        <w:jc w:val="left"/>
      </w:pPr>
      <w:hyperlink r:id="rId10">
        <w:r>
          <w:rPr>
            <w:rFonts w:eastAsia="等线" w:ascii="Arial" w:cs="Arial" w:hAnsi="Arial"/>
            <w:color w:val="3370ff"/>
            <w:sz w:val="22"/>
          </w:rPr>
          <w:t>06:06</w:t>
        </w:r>
      </w:hyperlink>
      <w:r>
        <w:rPr>
          <w:rFonts w:eastAsia="等线" w:ascii="Arial" w:cs="Arial" w:hAnsi="Arial"/>
          <w:b w:val="true"/>
          <w:sz w:val="22"/>
        </w:rPr>
        <w:t xml:space="preserve">  科普晶体与流体智力构成人的认知概念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本章节先说明前面是小科普，核心会测到的内容在第一个篇章，包括晶体智力和流体智力，二者构成人的认知，认知在心理学上有专门定义，不太好理解。为便于理解，指出晶体智力可通过后天训练获得。</w:t>
            </w:r>
          </w:p>
        </w:tc>
      </w:tr>
    </w:tbl>
    <w:p>
      <w:pPr>
        <w:spacing w:before="120" w:after="120" w:line="288" w:lineRule="auto"/>
        <w:ind w:left="0"/>
        <w:jc w:val="left"/>
      </w:pPr>
      <w:hyperlink r:id="rId11">
        <w:r>
          <w:rPr>
            <w:rFonts w:eastAsia="等线" w:ascii="Arial" w:cs="Arial" w:hAnsi="Arial"/>
            <w:color w:val="3370ff"/>
            <w:sz w:val="22"/>
          </w:rPr>
          <w:t>06:54</w:t>
        </w:r>
      </w:hyperlink>
      <w:r>
        <w:rPr>
          <w:rFonts w:eastAsia="等线" w:ascii="Arial" w:cs="Arial" w:hAnsi="Arial"/>
          <w:b w:val="true"/>
          <w:sz w:val="22"/>
        </w:rPr>
        <w:t xml:space="preserve">  智力测评能力分类、频率建议及指标含义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流体智力和晶体智力相关能力测评。演绎推理和语义理解偏流体智力，其他三项偏晶体智力，都可提升但时间有别。建议4到6个月测一次，不适合做训练。强调测评数值是超同龄人的比例，非考试得分，细心指数有丰富含义，后续课程会讲，还会给出整体结论与发展建议。</w:t>
            </w:r>
          </w:p>
        </w:tc>
      </w:tr>
    </w:tbl>
    <w:p>
      <w:pPr>
        <w:spacing w:before="120" w:after="120" w:line="288" w:lineRule="auto"/>
        <w:ind w:left="0"/>
        <w:jc w:val="left"/>
      </w:pPr>
      <w:hyperlink r:id="rId12">
        <w:r>
          <w:rPr>
            <w:rFonts w:eastAsia="等线" w:ascii="Arial" w:cs="Arial" w:hAnsi="Arial"/>
            <w:color w:val="3370ff"/>
            <w:sz w:val="22"/>
          </w:rPr>
          <w:t>10:10</w:t>
        </w:r>
      </w:hyperlink>
      <w:r>
        <w:rPr>
          <w:rFonts w:eastAsia="等线" w:ascii="Arial" w:cs="Arial" w:hAnsi="Arial"/>
          <w:b w:val="true"/>
          <w:sz w:val="22"/>
        </w:rPr>
        <w:t xml:space="preserve">  学习力报告内容介绍及初高级课程要求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了某报告相关内容。先提及演绎推理，包括数值、细心指数等，结果还会给出学习、职业等建议，但报告多概括学科非具体知识点，中级课会深入讲解。后续提到细节感知等模块结构类似，初级老师读懂报告即可。还讲了空间定向针对心理旋转能力，多面向四年级以上孩子。最后介绍了科学家团队。</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24"/>
        </w:numPr>
        <w:spacing w:before="120" w:after="120" w:line="288" w:lineRule="auto"/>
        <w:ind w:left="0"/>
        <w:jc w:val="left"/>
      </w:pPr>
      <w:r>
        <w:rPr>
          <w:rFonts w:eastAsia="等线" w:ascii="Arial" w:cs="Arial" w:hAnsi="Arial"/>
          <w:b w:val="true"/>
          <w:sz w:val="22"/>
        </w:rPr>
        <w:t>课程内容</w:t>
      </w:r>
      <w:r>
        <w:rPr>
          <w:rFonts w:eastAsia="等线" w:ascii="Arial" w:cs="Arial" w:hAnsi="Arial"/>
          <w:sz w:val="22"/>
        </w:rPr>
        <w:t>：本次初级课程学习多元智能五项报告解读，以综合报告为例讲解。</w:t>
      </w:r>
    </w:p>
    <w:p>
      <w:pPr>
        <w:numPr>
          <w:numId w:val="25"/>
        </w:numPr>
        <w:spacing w:before="120" w:after="120" w:line="288" w:lineRule="auto"/>
        <w:ind w:left="0"/>
        <w:jc w:val="left"/>
      </w:pPr>
      <w:r>
        <w:rPr>
          <w:rFonts w:eastAsia="等线" w:ascii="Arial" w:cs="Arial" w:hAnsi="Arial"/>
          <w:b w:val="true"/>
          <w:sz w:val="22"/>
        </w:rPr>
        <w:t>评估工具</w:t>
      </w:r>
      <w:r>
        <w:rPr>
          <w:rFonts w:eastAsia="等线" w:ascii="Arial" w:cs="Arial" w:hAnsi="Arial"/>
          <w:sz w:val="22"/>
        </w:rPr>
        <w:t>：多元智能五项评估可单独或组合发送给客户，官方组合可生成综合报告；系统内的评估工具通过答题训练形式，相对客观，最早用于英国军队招募士兵。</w:t>
      </w:r>
    </w:p>
    <w:p>
      <w:pPr>
        <w:numPr>
          <w:numId w:val="26"/>
        </w:numPr>
        <w:spacing w:before="120" w:after="120" w:line="288" w:lineRule="auto"/>
        <w:ind w:left="0"/>
        <w:jc w:val="left"/>
      </w:pPr>
      <w:r>
        <w:rPr>
          <w:rFonts w:eastAsia="等线" w:ascii="Arial" w:cs="Arial" w:hAnsi="Arial"/>
          <w:b w:val="true"/>
          <w:sz w:val="22"/>
        </w:rPr>
        <w:t>智力类型</w:t>
      </w:r>
      <w:r>
        <w:rPr>
          <w:rFonts w:eastAsia="等线" w:ascii="Arial" w:cs="Arial" w:hAnsi="Arial"/>
          <w:sz w:val="22"/>
        </w:rPr>
        <w:t>：评估核心涉及晶体智力和流体智力，演绎推理和语义理解偏向流体智力，其余三项偏向晶体智力。</w:t>
      </w:r>
    </w:p>
    <w:p>
      <w:pPr>
        <w:numPr>
          <w:numId w:val="27"/>
        </w:numPr>
        <w:spacing w:before="120" w:after="120" w:line="288" w:lineRule="auto"/>
        <w:ind w:left="0"/>
        <w:jc w:val="left"/>
      </w:pPr>
      <w:r>
        <w:rPr>
          <w:rFonts w:eastAsia="等线" w:ascii="Arial" w:cs="Arial" w:hAnsi="Arial"/>
          <w:b w:val="true"/>
          <w:sz w:val="22"/>
        </w:rPr>
        <w:t>测评建议</w:t>
      </w:r>
      <w:r>
        <w:rPr>
          <w:rFonts w:eastAsia="等线" w:ascii="Arial" w:cs="Arial" w:hAnsi="Arial"/>
          <w:sz w:val="22"/>
        </w:rPr>
        <w:t>：建议 4 - 6 个月进行一次测评，不建议将其作为训练工具。</w:t>
      </w:r>
    </w:p>
    <w:p>
      <w:pPr>
        <w:numPr>
          <w:numId w:val="28"/>
        </w:numPr>
        <w:spacing w:before="120" w:after="120" w:line="288" w:lineRule="auto"/>
        <w:ind w:left="0"/>
        <w:jc w:val="left"/>
      </w:pPr>
      <w:r>
        <w:rPr>
          <w:rFonts w:eastAsia="等线" w:ascii="Arial" w:cs="Arial" w:hAnsi="Arial"/>
          <w:b w:val="true"/>
          <w:sz w:val="22"/>
        </w:rPr>
        <w:t>报告解读</w:t>
      </w:r>
      <w:r>
        <w:rPr>
          <w:rFonts w:eastAsia="等线" w:ascii="Arial" w:cs="Arial" w:hAnsi="Arial"/>
          <w:sz w:val="22"/>
        </w:rPr>
        <w:t>：初级老师读懂报告意思即可，中高级课程会涉及更多内容。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「多元智能五项在生活、工作、学习当中使用最多，而音乐和体育相关的在学习和工作场景中相对用得少一点，除非有特定专业需要。」</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明确指出选择多元智能五项进行测评的原因，与会议主题紧密相关，能让读者快速理解选择的依据。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「如果要帮助人发现天赋并做规划，应使用相对客观的评估工具，而非市面上意义不大的量表类评估。」</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突出了使用客观评估工具的重要性，为会议讨论的评估工具提供了理论支持，具有独特洞察。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「演绎推理和语义理解偏向流体智力，与逻辑和抽象概括能力更相关；其他三项偏向晶体智力，可通过大量刻意练习和后天训练得到提升。」</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清晰阐述了不同能力与智力类型的关系，以及能力提升的方式，是会议的关键结论之一。</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9"/>
        </w:numPr>
        <w:spacing w:before="120" w:after="120" w:line="288" w:lineRule="auto"/>
        <w:ind w:left="0"/>
        <w:jc w:val="left"/>
      </w:pPr>
      <w:r>
        <w:rPr>
          <w:rFonts w:eastAsia="等线" w:ascii="Arial" w:cs="Arial" w:hAnsi="Arial"/>
          <w:sz w:val="22"/>
        </w:rPr>
        <w:t>妙记：</w:t>
      </w:r>
      <w:hyperlink r:id="rId13">
        <w:r>
          <w:rPr>
            <w:rFonts w:eastAsia="等线" w:ascii="Arial" w:cs="Arial" w:hAnsi="Arial"/>
            <w:color w:val="3370ff"/>
            <w:sz w:val="22"/>
          </w:rPr>
          <w:t>17.如何读懂多元智能5项</w:t>
        </w:r>
      </w:hyperlink>
    </w:p>
    <w:p>
      <w:pPr>
        <w:numPr>
          <w:numId w:val="30"/>
        </w:numPr>
        <w:spacing w:before="120" w:after="120" w:line="288" w:lineRule="auto"/>
        <w:ind w:left="0"/>
        <w:jc w:val="left"/>
      </w:pPr>
      <w:r>
        <w:rPr>
          <w:rFonts w:eastAsia="等线" w:ascii="Arial" w:cs="Arial" w:hAnsi="Arial"/>
          <w:sz w:val="22"/>
        </w:rPr>
        <w:t>文字记录</w:t>
      </w:r>
    </w:p>
    <w:p>
      <w:pPr>
        <w:numPr>
          <w:numId w:val="31"/>
        </w:numPr>
        <w:spacing w:before="120" w:after="120" w:line="288" w:lineRule="auto"/>
        <w:ind w:left="453"/>
        <w:jc w:val="left"/>
      </w:pPr>
      <w:hyperlink r:id="rId14">
        <w:r>
          <w:rPr>
            <w:rFonts w:eastAsia="等线" w:ascii="Arial" w:cs="Arial" w:hAnsi="Arial"/>
            <w:color w:val="3370ff"/>
            <w:sz w:val="22"/>
          </w:rPr>
          <w:t>17.如何读懂多元智能5项 2026年1月22日</w:t>
        </w:r>
      </w:hyperlink>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038753">
    <w:lvl>
      <w:numFmt w:val="bullet"/>
      <w:suff w:val="tab"/>
      <w:lvlText w:val="•"/>
      <w:rPr>
        <w:color w:val="3370ff"/>
      </w:rPr>
    </w:lvl>
  </w:abstractNum>
  <w:abstractNum w:abstractNumId="1038754">
    <w:lvl>
      <w:numFmt w:val="bullet"/>
      <w:suff w:val="tab"/>
      <w:lvlText w:val="￮"/>
      <w:rPr>
        <w:color w:val="3370ff"/>
      </w:rPr>
    </w:lvl>
  </w:abstractNum>
  <w:abstractNum w:abstractNumId="1038755">
    <w:lvl>
      <w:numFmt w:val="bullet"/>
      <w:suff w:val="tab"/>
      <w:lvlText w:val="•"/>
      <w:rPr>
        <w:color w:val="3370ff"/>
      </w:rPr>
    </w:lvl>
  </w:abstractNum>
  <w:abstractNum w:abstractNumId="1038756">
    <w:lvl>
      <w:numFmt w:val="bullet"/>
      <w:suff w:val="tab"/>
      <w:lvlText w:val="•"/>
      <w:rPr>
        <w:color w:val="3370ff"/>
      </w:rPr>
    </w:lvl>
  </w:abstractNum>
  <w:abstractNum w:abstractNumId="1038757">
    <w:lvl>
      <w:numFmt w:val="bullet"/>
      <w:suff w:val="tab"/>
      <w:lvlText w:val="•"/>
      <w:rPr>
        <w:color w:val="3370ff"/>
      </w:rPr>
    </w:lvl>
  </w:abstractNum>
  <w:abstractNum w:abstractNumId="1038758">
    <w:lvl>
      <w:numFmt w:val="bullet"/>
      <w:suff w:val="tab"/>
      <w:lvlText w:val="￮"/>
      <w:rPr>
        <w:color w:val="3370ff"/>
      </w:rPr>
    </w:lvl>
  </w:abstractNum>
  <w:abstractNum w:abstractNumId="1038759">
    <w:lvl>
      <w:numFmt w:val="bullet"/>
      <w:suff w:val="tab"/>
      <w:lvlText w:val="•"/>
      <w:rPr>
        <w:color w:val="3370ff"/>
      </w:rPr>
    </w:lvl>
  </w:abstractNum>
  <w:abstractNum w:abstractNumId="1038760">
    <w:lvl>
      <w:numFmt w:val="bullet"/>
      <w:suff w:val="tab"/>
      <w:lvlText w:val="•"/>
      <w:rPr>
        <w:color w:val="3370ff"/>
      </w:rPr>
    </w:lvl>
  </w:abstractNum>
  <w:abstractNum w:abstractNumId="1038761">
    <w:lvl>
      <w:numFmt w:val="bullet"/>
      <w:suff w:val="tab"/>
      <w:lvlText w:val="￮"/>
      <w:rPr>
        <w:color w:val="3370ff"/>
      </w:rPr>
    </w:lvl>
  </w:abstractNum>
  <w:abstractNum w:abstractNumId="1038762">
    <w:lvl>
      <w:numFmt w:val="bullet"/>
      <w:suff w:val="tab"/>
      <w:lvlText w:val="￮"/>
      <w:rPr>
        <w:color w:val="3370ff"/>
      </w:rPr>
    </w:lvl>
  </w:abstractNum>
  <w:abstractNum w:abstractNumId="1038763">
    <w:lvl>
      <w:numFmt w:val="bullet"/>
      <w:suff w:val="tab"/>
      <w:lvlText w:val="￮"/>
      <w:rPr>
        <w:color w:val="3370ff"/>
      </w:rPr>
    </w:lvl>
  </w:abstractNum>
  <w:abstractNum w:abstractNumId="1038764">
    <w:lvl>
      <w:numFmt w:val="bullet"/>
      <w:suff w:val="tab"/>
      <w:lvlText w:val="▪"/>
      <w:rPr>
        <w:color w:val="3370ff"/>
        <w:sz w:val="11"/>
      </w:rPr>
    </w:lvl>
  </w:abstractNum>
  <w:abstractNum w:abstractNumId="1038765">
    <w:lvl>
      <w:numFmt w:val="bullet"/>
      <w:suff w:val="tab"/>
      <w:lvlText w:val="▪"/>
      <w:rPr>
        <w:color w:val="3370ff"/>
        <w:sz w:val="11"/>
      </w:rPr>
    </w:lvl>
  </w:abstractNum>
  <w:abstractNum w:abstractNumId="1038766">
    <w:lvl>
      <w:numFmt w:val="bullet"/>
      <w:suff w:val="tab"/>
      <w:lvlText w:val="•"/>
      <w:rPr>
        <w:color w:val="3370ff"/>
      </w:rPr>
    </w:lvl>
  </w:abstractNum>
  <w:abstractNum w:abstractNumId="1038767">
    <w:lvl>
      <w:numFmt w:val="bullet"/>
      <w:suff w:val="tab"/>
      <w:lvlText w:val="￮"/>
      <w:rPr>
        <w:color w:val="3370ff"/>
      </w:rPr>
    </w:lvl>
  </w:abstractNum>
  <w:abstractNum w:abstractNumId="1038768">
    <w:lvl>
      <w:numFmt w:val="bullet"/>
      <w:suff w:val="tab"/>
      <w:lvlText w:val="▪"/>
      <w:rPr>
        <w:color w:val="3370ff"/>
        <w:sz w:val="11"/>
      </w:rPr>
    </w:lvl>
  </w:abstractNum>
  <w:abstractNum w:abstractNumId="1038769">
    <w:lvl>
      <w:numFmt w:val="bullet"/>
      <w:suff w:val="tab"/>
      <w:lvlText w:val="▪"/>
      <w:rPr>
        <w:color w:val="3370ff"/>
        <w:sz w:val="11"/>
      </w:rPr>
    </w:lvl>
  </w:abstractNum>
  <w:abstractNum w:abstractNumId="1038770">
    <w:lvl>
      <w:numFmt w:val="bullet"/>
      <w:suff w:val="tab"/>
      <w:lvlText w:val="￮"/>
      <w:rPr>
        <w:color w:val="3370ff"/>
      </w:rPr>
    </w:lvl>
  </w:abstractNum>
  <w:abstractNum w:abstractNumId="1038771">
    <w:lvl>
      <w:numFmt w:val="bullet"/>
      <w:suff w:val="tab"/>
      <w:lvlText w:val="▪"/>
      <w:rPr>
        <w:color w:val="3370ff"/>
        <w:sz w:val="11"/>
      </w:rPr>
    </w:lvl>
  </w:abstractNum>
  <w:abstractNum w:abstractNumId="1038772">
    <w:lvl>
      <w:numFmt w:val="bullet"/>
      <w:suff w:val="tab"/>
      <w:lvlText w:val="▪"/>
      <w:rPr>
        <w:color w:val="3370ff"/>
        <w:sz w:val="11"/>
      </w:rPr>
    </w:lvl>
  </w:abstractNum>
  <w:abstractNum w:abstractNumId="1038773">
    <w:lvl>
      <w:numFmt w:val="bullet"/>
      <w:suff w:val="tab"/>
      <w:lvlText w:val="•"/>
      <w:rPr>
        <w:color w:val="3370ff"/>
      </w:rPr>
    </w:lvl>
  </w:abstractNum>
  <w:abstractNum w:abstractNumId="1038774">
    <w:lvl>
      <w:numFmt w:val="bullet"/>
      <w:suff w:val="tab"/>
      <w:lvlText w:val="￮"/>
      <w:rPr>
        <w:color w:val="3370ff"/>
      </w:rPr>
    </w:lvl>
  </w:abstractNum>
  <w:abstractNum w:abstractNumId="1038775">
    <w:lvl>
      <w:numFmt w:val="bullet"/>
      <w:suff w:val="tab"/>
      <w:lvlText w:val="￮"/>
      <w:rPr>
        <w:color w:val="3370ff"/>
      </w:rPr>
    </w:lvl>
  </w:abstractNum>
  <w:abstractNum w:abstractNumId="1038776">
    <w:lvl>
      <w:numFmt w:val="bullet"/>
      <w:suff w:val="tab"/>
      <w:lvlText w:val="•"/>
      <w:rPr>
        <w:color w:val="3370ff"/>
      </w:rPr>
    </w:lvl>
  </w:abstractNum>
  <w:abstractNum w:abstractNumId="1038777">
    <w:lvl>
      <w:numFmt w:val="bullet"/>
      <w:suff w:val="tab"/>
      <w:lvlText w:val="•"/>
      <w:rPr>
        <w:color w:val="3370ff"/>
      </w:rPr>
    </w:lvl>
  </w:abstractNum>
  <w:abstractNum w:abstractNumId="1038778">
    <w:lvl>
      <w:numFmt w:val="bullet"/>
      <w:suff w:val="tab"/>
      <w:lvlText w:val="•"/>
      <w:rPr>
        <w:color w:val="3370ff"/>
      </w:rPr>
    </w:lvl>
  </w:abstractNum>
  <w:abstractNum w:abstractNumId="1038779">
    <w:lvl>
      <w:numFmt w:val="bullet"/>
      <w:suff w:val="tab"/>
      <w:lvlText w:val="•"/>
      <w:rPr>
        <w:color w:val="3370ff"/>
      </w:rPr>
    </w:lvl>
  </w:abstractNum>
  <w:abstractNum w:abstractNumId="1038780">
    <w:lvl>
      <w:numFmt w:val="bullet"/>
      <w:suff w:val="tab"/>
      <w:lvlText w:val="•"/>
      <w:rPr>
        <w:color w:val="3370ff"/>
      </w:rPr>
    </w:lvl>
  </w:abstractNum>
  <w:abstractNum w:abstractNumId="1038781">
    <w:lvl>
      <w:numFmt w:val="bullet"/>
      <w:suff w:val="tab"/>
      <w:lvlText w:val="•"/>
      <w:rPr>
        <w:color w:val="3370ff"/>
      </w:rPr>
    </w:lvl>
  </w:abstractNum>
  <w:abstractNum w:abstractNumId="1038782">
    <w:lvl>
      <w:numFmt w:val="bullet"/>
      <w:suff w:val="tab"/>
      <w:lvlText w:val="•"/>
      <w:rPr>
        <w:color w:val="3370ff"/>
      </w:rPr>
    </w:lvl>
  </w:abstractNum>
  <w:abstractNum w:abstractNumId="1038783">
    <w:lvl>
      <w:numFmt w:val="bullet"/>
      <w:suff w:val="tab"/>
      <w:lvlText w:val="￮"/>
      <w:rPr>
        <w:color w:val="3370ff"/>
      </w:rPr>
    </w:lvl>
  </w:abstractNum>
  <w:num w:numId="1">
    <w:abstractNumId w:val="1038753"/>
  </w:num>
  <w:num w:numId="2">
    <w:abstractNumId w:val="1038754"/>
  </w:num>
  <w:num w:numId="3">
    <w:abstractNumId w:val="1038755"/>
  </w:num>
  <w:num w:numId="4">
    <w:abstractNumId w:val="1038756"/>
  </w:num>
  <w:num w:numId="5">
    <w:abstractNumId w:val="1038757"/>
  </w:num>
  <w:num w:numId="6">
    <w:abstractNumId w:val="1038758"/>
  </w:num>
  <w:num w:numId="7">
    <w:abstractNumId w:val="1038759"/>
  </w:num>
  <w:num w:numId="8">
    <w:abstractNumId w:val="1038760"/>
  </w:num>
  <w:num w:numId="9">
    <w:abstractNumId w:val="1038761"/>
  </w:num>
  <w:num w:numId="10">
    <w:abstractNumId w:val="1038762"/>
  </w:num>
  <w:num w:numId="11">
    <w:abstractNumId w:val="1038763"/>
  </w:num>
  <w:num w:numId="12">
    <w:abstractNumId w:val="1038764"/>
  </w:num>
  <w:num w:numId="13">
    <w:abstractNumId w:val="1038765"/>
  </w:num>
  <w:num w:numId="14">
    <w:abstractNumId w:val="1038766"/>
  </w:num>
  <w:num w:numId="15">
    <w:abstractNumId w:val="1038767"/>
  </w:num>
  <w:num w:numId="16">
    <w:abstractNumId w:val="1038768"/>
  </w:num>
  <w:num w:numId="17">
    <w:abstractNumId w:val="1038769"/>
  </w:num>
  <w:num w:numId="18">
    <w:abstractNumId w:val="1038770"/>
  </w:num>
  <w:num w:numId="19">
    <w:abstractNumId w:val="1038771"/>
  </w:num>
  <w:num w:numId="20">
    <w:abstractNumId w:val="1038772"/>
  </w:num>
  <w:num w:numId="21">
    <w:abstractNumId w:val="1038773"/>
  </w:num>
  <w:num w:numId="22">
    <w:abstractNumId w:val="1038774"/>
  </w:num>
  <w:num w:numId="23">
    <w:abstractNumId w:val="1038775"/>
  </w:num>
  <w:num w:numId="24">
    <w:abstractNumId w:val="1038776"/>
  </w:num>
  <w:num w:numId="25">
    <w:abstractNumId w:val="1038777"/>
  </w:num>
  <w:num w:numId="26">
    <w:abstractNumId w:val="1038778"/>
  </w:num>
  <w:num w:numId="27">
    <w:abstractNumId w:val="1038779"/>
  </w:num>
  <w:num w:numId="28">
    <w:abstractNumId w:val="1038780"/>
  </w:num>
  <w:num w:numId="29">
    <w:abstractNumId w:val="1038781"/>
  </w:num>
  <w:num w:numId="30">
    <w:abstractNumId w:val="1038782"/>
  </w:num>
  <w:num w:numId="31">
    <w:abstractNumId w:val="103878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4p9i6ncipofb5u9612?t=366000" TargetMode="External" Type="http://schemas.openxmlformats.org/officeDocument/2006/relationships/hyperlink"/><Relationship Id="rId11" Target="https://hcnytq72r1ge.feishu.cn/minutes/obcnfn4p9i6ncipofb5u9612?t=414000" TargetMode="External" Type="http://schemas.openxmlformats.org/officeDocument/2006/relationships/hyperlink"/><Relationship Id="rId12" Target="https://hcnytq72r1ge.feishu.cn/minutes/obcnfn4p9i6ncipofb5u9612?t=610000" TargetMode="External" Type="http://schemas.openxmlformats.org/officeDocument/2006/relationships/hyperlink"/><Relationship Id="rId13" Target="https://hcnytq72r1ge.feishu.cn/minutes/obcnfn4p9i6ncipofb5u9612?from=ai_minutes" TargetMode="External" Type="http://schemas.openxmlformats.org/officeDocument/2006/relationships/hyperlink"/><Relationship Id="rId14" Target="https://hcnytq72r1ge.feishu.cn/docx/U4Kjd0EjAoT8sdxY9CfcyA01nEc"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n4p9i6ncipofb5u9612?t=5000" TargetMode="External" Type="http://schemas.openxmlformats.org/officeDocument/2006/relationships/hyperlink"/><Relationship Id="rId9" Target="https://hcnytq72r1ge.feishu.cn/minutes/obcnfn4p9i6ncipofb5u9612?t=156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2026-01-26T04:20:44Z</dcterms:created>
  <dc:creator>Apache POI</dc:creator>
</cp:coreProperties>
</file>