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智能纪要：18.如何读懂学习方式偏好报告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会议主题：18.如何读懂学习方式偏好报告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21:59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81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本次会议主要围绕学习方式偏好报告的解读展开，介绍了其应用场景、测评理论背景、学习风格类型、评估的价值与局限等内容，内容如下：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学习方式偏好评估的应用场景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引流与方案推荐</w:t>
      </w:r>
      <w:r>
        <w:rPr>
          <w:rFonts w:eastAsia="等线" w:ascii="Arial" w:cs="Arial" w:hAnsi="Arial"/>
          <w:sz w:val="22"/>
        </w:rPr>
        <w:t>：说话人 1 表示，学习方式偏好评估在实际应用中，更多用于前期引流，或在后期服务孩子做方案推荐时加测，如判断孩子是视觉型、听觉型等，为推荐书籍或视频提供指导建议。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避免增加评估时间</w:t>
      </w:r>
      <w:r>
        <w:rPr>
          <w:rFonts w:eastAsia="等线" w:ascii="Arial" w:cs="Arial" w:hAnsi="Arial"/>
          <w:sz w:val="22"/>
        </w:rPr>
        <w:t>：平常学习力综合评估时，不会将此评估工具纳入，因为完成该评估约需 10 分钟，会增加整体评估时间。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测评的理论背景与学习风格类型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216"/>
        <w:gridCol w:w="248"/>
        <w:gridCol w:w="2566"/>
        <w:gridCol w:w="248"/>
      </w:tblGrid>
      <w:tr>
        <w:tc>
          <w:tcPr>
            <w:tcW w:w="521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理论提出</w:t>
            </w:r>
            <w:r>
              <w:rPr>
                <w:rFonts w:eastAsia="等线" w:ascii="Arial" w:cs="Arial" w:hAnsi="Arial"/>
                <w:sz w:val="22"/>
              </w:rPr>
              <w:t>：该理论由新西兰人弗拉明在 20 世纪 90 年代初，根据观察和总结提出，将人的学习偏好分为视觉型（V）、听觉型（A）、读写型（R）和动觉型（K）四种。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各类型特点</w:t>
            </w:r>
            <w:r>
              <w:rPr>
                <w:rFonts w:eastAsia="等线" w:ascii="Arial" w:cs="Arial" w:hAnsi="Arial"/>
                <w:sz w:val="22"/>
              </w:rPr>
              <w:t>：视觉型喜欢通过看图片或视频学习；听觉型更愿意听老师讲或听音频；读写型喜欢看书或记笔记；动觉型需要在实践中学习，学习速度相对较慢。人的学习过程中各类型有比例且相辅相成，报告仅给出得分最高类型并提供学习方法建议。</w:t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76375" cy="12287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VARK学习风格类型及特点</w:t>
              <w:br/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评估的价值与局限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评估的局限性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授课方式难调整：说话人 1 认为，在学校学习中，班主任难以根据学生类型调整授课方式，学生更多需适应老师授课方式，评估仅能在学生自主学习时提供建议。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喜欢与有效不一致：孩子喜欢的学习风格不一定是最有效的，所以测评仅在特定场景使用，平常使用较少。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评估对老师的价值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课程与书籍推荐：了解孩子类型后，老师能在推荐服务课程和书籍时，选择更适合孩子的内容。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理解孩子学习方式：帮助老师理解孩子不同学习方式的表现，如读写型孩子上课可能不愿开口，视觉型孩子可能需要更多可视化学习资料，动觉型孩子动来动去可能是学习方式所需。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通用学习提升理论</w:t>
      </w:r>
      <w:r>
        <w:rPr>
          <w:rFonts w:eastAsia="等线" w:ascii="Arial" w:cs="Arial" w:hAnsi="Arial"/>
          <w:sz w:val="22"/>
        </w:rPr>
        <w:t>：学思学习金字塔理论模型适用于 VARK 各类型孩子提升学习效果，将在中级课程中讲解。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00:06</w:t>
        </w:r>
      </w:hyperlink>
      <w:r>
        <w:rPr>
          <w:rFonts w:eastAsia="等线" w:ascii="Arial" w:cs="Arial" w:hAnsi="Arial"/>
          <w:b w:val="true"/>
          <w:sz w:val="22"/>
        </w:rPr>
        <w:t xml:space="preserve">  道全能学业规划师解读学习方式偏好报告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学习方式偏好报告解读。该评估多用于前期引流或后期方案推荐，一般不放在学习力综合评估中。其理论背景是20世纪90年代初弗拉明提出的VARK学习风格，将学习偏好分为视觉、听觉、读写、动觉四型，且人在学习中各类型有比例，会相辅相成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04:01</w:t>
        </w:r>
      </w:hyperlink>
      <w:r>
        <w:rPr>
          <w:rFonts w:eastAsia="等线" w:ascii="Arial" w:cs="Arial" w:hAnsi="Arial"/>
          <w:b w:val="true"/>
          <w:sz w:val="22"/>
        </w:rPr>
        <w:t xml:space="preserve">  学习类型评估问题及学习方式建议探讨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报告中会给出学生得分最高的类型及学习方法建议，但该理论评估存在问题。一是学校学习中班主任不太会根据学生类型调整授课方式，更多需学生适应老师，建议可能用于后期自学；二是学生喜欢的学习风格不一定是最有效的，即学习效率未必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05:15</w:t>
        </w:r>
      </w:hyperlink>
      <w:r>
        <w:rPr>
          <w:rFonts w:eastAsia="等线" w:ascii="Arial" w:cs="Arial" w:hAnsi="Arial"/>
          <w:b w:val="true"/>
          <w:sz w:val="22"/>
        </w:rPr>
        <w:t xml:space="preserve">  测评适用场景、对老师价值及学习金字塔理论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测评仅在特定场景使用，平时用得不多，但对机构老师有价值。一是推荐服务课程和书籍时可更适配孩子类型；二是助老师理解不同类型孩子的学习表现，如读写型、视觉型、动觉型孩子的特点。还提及学思学习金字塔理论模型适用于各类型孩子，会在中级课程讲解，评估分享至此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评估应用场景</w:t>
      </w:r>
      <w:r>
        <w:rPr>
          <w:rFonts w:eastAsia="等线" w:ascii="Arial" w:cs="Arial" w:hAnsi="Arial"/>
          <w:sz w:val="22"/>
        </w:rPr>
        <w:t>：学习方式偏好评估主要用于前期引流或后期服务孩子做方案推荐，不常用于学习力综合评估，避免增加评估时间。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学习风格理论</w:t>
      </w:r>
      <w:r>
        <w:rPr>
          <w:rFonts w:eastAsia="等线" w:ascii="Arial" w:cs="Arial" w:hAnsi="Arial"/>
          <w:sz w:val="22"/>
        </w:rPr>
        <w:t>：20世纪90年代初，新西兰人弗拉明提出VARK学习风格，分为视觉型、听觉型、读写型、动觉型。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评估存在问题</w:t>
      </w:r>
      <w:r>
        <w:rPr>
          <w:rFonts w:eastAsia="等线" w:ascii="Arial" w:cs="Arial" w:hAnsi="Arial"/>
          <w:sz w:val="22"/>
        </w:rPr>
        <w:t>：学校授课难以根据学生学习风格调整，且喜欢的学习风格不一定最有效。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评估价值</w:t>
      </w:r>
      <w:r>
        <w:rPr>
          <w:rFonts w:eastAsia="等线" w:ascii="Arial" w:cs="Arial" w:hAnsi="Arial"/>
          <w:sz w:val="22"/>
        </w:rPr>
        <w:t>：帮助老师为孩子推荐合适的课程和书籍，理解孩子的行为表现。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有效学习方法</w:t>
      </w:r>
      <w:r>
        <w:rPr>
          <w:rFonts w:eastAsia="等线" w:ascii="Arial" w:cs="Arial" w:hAnsi="Arial"/>
          <w:sz w:val="22"/>
        </w:rPr>
        <w:t>：学思学习金字塔理论模型适用于不同类型的孩子，后续中级课程会讲解。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「学习方式偏好评估可用于前期引流或后期服务孩子做方案推荐，如通过评估了解孩子是视觉型、听觉型等，为其推荐更合适的书籍或视频。」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明确了学习方式偏好评估的应用场景和作用，对实际工作有指导意义。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「孩子喜欢的学习风格不一定是最有效的学习风格，测评应在特定场景下使用。」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指出了学习风格测评的局限性，引发对测评有效性的思考。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「了解孩子的学习类型，有助于为其推荐更适合的服务课程和书籍，也能帮助老师更好地理解孩子的学习行为。」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强调了了解孩子学习类型对老师和孩子的重要价值。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18.如何读懂学习方式偏好报告</w:t>
        </w:r>
      </w:hyperlink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18.如何读懂学习方式偏好报告 2026年1月22日</w:t>
        </w:r>
      </w:hyperlink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3328">
    <w:lvl>
      <w:numFmt w:val="bullet"/>
      <w:suff w:val="tab"/>
      <w:lvlText w:val="•"/>
      <w:rPr>
        <w:color w:val="3370ff"/>
      </w:rPr>
    </w:lvl>
  </w:abstractNum>
  <w:abstractNum w:abstractNumId="313329">
    <w:lvl>
      <w:numFmt w:val="bullet"/>
      <w:suff w:val="tab"/>
      <w:lvlText w:val="￮"/>
      <w:rPr>
        <w:color w:val="3370ff"/>
      </w:rPr>
    </w:lvl>
  </w:abstractNum>
  <w:abstractNum w:abstractNumId="313330">
    <w:lvl>
      <w:numFmt w:val="bullet"/>
      <w:suff w:val="tab"/>
      <w:lvlText w:val="￮"/>
      <w:rPr>
        <w:color w:val="3370ff"/>
      </w:rPr>
    </w:lvl>
  </w:abstractNum>
  <w:abstractNum w:abstractNumId="313331">
    <w:lvl>
      <w:numFmt w:val="bullet"/>
      <w:suff w:val="tab"/>
      <w:lvlText w:val="•"/>
      <w:rPr>
        <w:color w:val="3370ff"/>
      </w:rPr>
    </w:lvl>
  </w:abstractNum>
  <w:abstractNum w:abstractNumId="313332">
    <w:lvl>
      <w:numFmt w:val="bullet"/>
      <w:suff w:val="tab"/>
      <w:lvlText w:val="•"/>
      <w:rPr>
        <w:color w:val="3370ff"/>
      </w:rPr>
    </w:lvl>
  </w:abstractNum>
  <w:abstractNum w:abstractNumId="313333">
    <w:lvl>
      <w:numFmt w:val="bullet"/>
      <w:suff w:val="tab"/>
      <w:lvlText w:val="•"/>
      <w:rPr>
        <w:color w:val="3370ff"/>
      </w:rPr>
    </w:lvl>
  </w:abstractNum>
  <w:abstractNum w:abstractNumId="313334">
    <w:lvl>
      <w:numFmt w:val="bullet"/>
      <w:suff w:val="tab"/>
      <w:lvlText w:val="•"/>
      <w:rPr>
        <w:color w:val="3370ff"/>
      </w:rPr>
    </w:lvl>
  </w:abstractNum>
  <w:abstractNum w:abstractNumId="313335">
    <w:lvl>
      <w:numFmt w:val="bullet"/>
      <w:suff w:val="tab"/>
      <w:lvlText w:val="￮"/>
      <w:rPr>
        <w:color w:val="3370ff"/>
      </w:rPr>
    </w:lvl>
  </w:abstractNum>
  <w:abstractNum w:abstractNumId="313336">
    <w:lvl>
      <w:numFmt w:val="bullet"/>
      <w:suff w:val="tab"/>
      <w:lvlText w:val="▪"/>
      <w:rPr>
        <w:color w:val="3370ff"/>
        <w:sz w:val="11"/>
      </w:rPr>
    </w:lvl>
  </w:abstractNum>
  <w:abstractNum w:abstractNumId="313337">
    <w:lvl>
      <w:numFmt w:val="bullet"/>
      <w:suff w:val="tab"/>
      <w:lvlText w:val="▪"/>
      <w:rPr>
        <w:color w:val="3370ff"/>
        <w:sz w:val="11"/>
      </w:rPr>
    </w:lvl>
  </w:abstractNum>
  <w:abstractNum w:abstractNumId="313338">
    <w:lvl>
      <w:numFmt w:val="bullet"/>
      <w:suff w:val="tab"/>
      <w:lvlText w:val="￮"/>
      <w:rPr>
        <w:color w:val="3370ff"/>
      </w:rPr>
    </w:lvl>
  </w:abstractNum>
  <w:abstractNum w:abstractNumId="313339">
    <w:lvl>
      <w:numFmt w:val="bullet"/>
      <w:suff w:val="tab"/>
      <w:lvlText w:val="▪"/>
      <w:rPr>
        <w:color w:val="3370ff"/>
        <w:sz w:val="11"/>
      </w:rPr>
    </w:lvl>
  </w:abstractNum>
  <w:abstractNum w:abstractNumId="313340">
    <w:lvl>
      <w:numFmt w:val="bullet"/>
      <w:suff w:val="tab"/>
      <w:lvlText w:val="▪"/>
      <w:rPr>
        <w:color w:val="3370ff"/>
        <w:sz w:val="11"/>
      </w:rPr>
    </w:lvl>
  </w:abstractNum>
  <w:abstractNum w:abstractNumId="313341">
    <w:lvl>
      <w:numFmt w:val="bullet"/>
      <w:suff w:val="tab"/>
      <w:lvlText w:val="￮"/>
      <w:rPr>
        <w:color w:val="3370ff"/>
      </w:rPr>
    </w:lvl>
  </w:abstractNum>
  <w:abstractNum w:abstractNumId="313342">
    <w:lvl>
      <w:numFmt w:val="bullet"/>
      <w:suff w:val="tab"/>
      <w:lvlText w:val="•"/>
      <w:rPr>
        <w:color w:val="3370ff"/>
      </w:rPr>
    </w:lvl>
  </w:abstractNum>
  <w:abstractNum w:abstractNumId="313343">
    <w:lvl>
      <w:numFmt w:val="bullet"/>
      <w:suff w:val="tab"/>
      <w:lvlText w:val="•"/>
      <w:rPr>
        <w:color w:val="3370ff"/>
      </w:rPr>
    </w:lvl>
  </w:abstractNum>
  <w:abstractNum w:abstractNumId="313344">
    <w:lvl>
      <w:numFmt w:val="bullet"/>
      <w:suff w:val="tab"/>
      <w:lvlText w:val="•"/>
      <w:rPr>
        <w:color w:val="3370ff"/>
      </w:rPr>
    </w:lvl>
  </w:abstractNum>
  <w:abstractNum w:abstractNumId="313345">
    <w:lvl>
      <w:numFmt w:val="bullet"/>
      <w:suff w:val="tab"/>
      <w:lvlText w:val="•"/>
      <w:rPr>
        <w:color w:val="3370ff"/>
      </w:rPr>
    </w:lvl>
  </w:abstractNum>
  <w:abstractNum w:abstractNumId="313346">
    <w:lvl>
      <w:numFmt w:val="bullet"/>
      <w:suff w:val="tab"/>
      <w:lvlText w:val="•"/>
      <w:rPr>
        <w:color w:val="3370ff"/>
      </w:rPr>
    </w:lvl>
  </w:abstractNum>
  <w:abstractNum w:abstractNumId="313347">
    <w:lvl>
      <w:numFmt w:val="bullet"/>
      <w:suff w:val="tab"/>
      <w:lvlText w:val="•"/>
      <w:rPr>
        <w:color w:val="3370ff"/>
      </w:rPr>
    </w:lvl>
  </w:abstractNum>
  <w:abstractNum w:abstractNumId="313348">
    <w:lvl>
      <w:numFmt w:val="bullet"/>
      <w:suff w:val="tab"/>
      <w:lvlText w:val="•"/>
      <w:rPr>
        <w:color w:val="3370ff"/>
      </w:rPr>
    </w:lvl>
  </w:abstractNum>
  <w:abstractNum w:abstractNumId="313349">
    <w:lvl>
      <w:numFmt w:val="bullet"/>
      <w:suff w:val="tab"/>
      <w:lvlText w:val="￮"/>
      <w:rPr>
        <w:color w:val="3370ff"/>
      </w:rPr>
    </w:lvl>
  </w:abstractNum>
  <w:num w:numId="1">
    <w:abstractNumId w:val="313328"/>
  </w:num>
  <w:num w:numId="2">
    <w:abstractNumId w:val="313329"/>
  </w:num>
  <w:num w:numId="3">
    <w:abstractNumId w:val="313330"/>
  </w:num>
  <w:num w:numId="4">
    <w:abstractNumId w:val="313331"/>
  </w:num>
  <w:num w:numId="5">
    <w:abstractNumId w:val="313332"/>
  </w:num>
  <w:num w:numId="6">
    <w:abstractNumId w:val="313333"/>
  </w:num>
  <w:num w:numId="7">
    <w:abstractNumId w:val="313334"/>
  </w:num>
  <w:num w:numId="8">
    <w:abstractNumId w:val="313335"/>
  </w:num>
  <w:num w:numId="9">
    <w:abstractNumId w:val="313336"/>
  </w:num>
  <w:num w:numId="10">
    <w:abstractNumId w:val="313337"/>
  </w:num>
  <w:num w:numId="11">
    <w:abstractNumId w:val="313338"/>
  </w:num>
  <w:num w:numId="12">
    <w:abstractNumId w:val="313339"/>
  </w:num>
  <w:num w:numId="13">
    <w:abstractNumId w:val="313340"/>
  </w:num>
  <w:num w:numId="14">
    <w:abstractNumId w:val="313341"/>
  </w:num>
  <w:num w:numId="15">
    <w:abstractNumId w:val="313342"/>
  </w:num>
  <w:num w:numId="16">
    <w:abstractNumId w:val="313343"/>
  </w:num>
  <w:num w:numId="17">
    <w:abstractNumId w:val="313344"/>
  </w:num>
  <w:num w:numId="18">
    <w:abstractNumId w:val="313345"/>
  </w:num>
  <w:num w:numId="19">
    <w:abstractNumId w:val="313346"/>
  </w:num>
  <w:num w:numId="20">
    <w:abstractNumId w:val="313347"/>
  </w:num>
  <w:num w:numId="21">
    <w:abstractNumId w:val="313348"/>
  </w:num>
  <w:num w:numId="22">
    <w:abstractNumId w:val="3133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nur2nj1c28zog1jfcg5?from=ai_minutes" TargetMode="External" Type="http://schemas.openxmlformats.org/officeDocument/2006/relationships/hyperlink"/><Relationship Id="rId11" Target="https://hcnytq72r1ge.feishu.cn/docx/OggYdsXGAocFHoxwalTcB3qVnnh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nur2nj1c28zog1jfcg5?t=6000" TargetMode="External" Type="http://schemas.openxmlformats.org/officeDocument/2006/relationships/hyperlink"/><Relationship Id="rId8" Target="https://hcnytq72r1ge.feishu.cn/minutes/obcnfnur2nj1c28zog1jfcg5?t=241000" TargetMode="External" Type="http://schemas.openxmlformats.org/officeDocument/2006/relationships/hyperlink"/><Relationship Id="rId9" Target="https://hcnytq72r1ge.feishu.cn/minutes/obcnfnur2nj1c28zog1jfcg5?t=315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2026-01-26T04:21:35Z</dcterms:created>
  <dc:creator>Apache POI</dc:creator>
</cp:coreProperties>
</file>