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智能纪要：19.如何读懂心理健康报告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会议主题：19.如何读懂心理健康报告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21:59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243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本次会议主要围绕心理健康报告解读和职业锚解读展开，详细介绍了相关报告的使用方法、判断标准及适用人群等内容，内容如下：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心理健康报告解读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评估结合建议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DISC 结合评估：说话人 1 提出，一般不直接让学生做心理健康评估，建议与 DISC 结合。DISC 是专业、权威且通用的版本，使用中国人大数据计算得出，有别于免费或低价版本，大公司购买一份需三五百元，我们以低价普惠大众。若 DISC 出现特殊图形，建议加测心理健康评估。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医院二次评估：若评估结果显示有心理问题，建议学生去医院做二次评估，因为我们不具备心理咨询或治疗资质。</w:t>
      </w:r>
    </w:p>
    <w:p>
      <w:pPr>
        <w:spacing w:before="120" w:after="120" w:line="288" w:lineRule="auto"/>
        <w:ind w:left="907"/>
        <w:jc w:val="center"/>
      </w:pPr>
      <w:r>
        <w:drawing>
          <wp:inline distT="0" distR="0" distB="0" distL="0">
            <wp:extent cx="5257800" cy="13239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907"/>
        <w:jc w:val="center"/>
      </w:pPr>
      <w:r>
        <w:rPr>
          <w:rFonts w:eastAsia="等线" w:ascii="Arial" w:cs="Arial" w:hAnsi="Arial"/>
          <w:color w:val="8F959E"/>
          <w:sz w:val="22"/>
        </w:rPr>
        <w:t>心理健康评估实施流程</w:t>
        <w:br/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SCL - 90 量表使用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量表情况：使用 SCL - 90 量表，该量表医院也会使用。</w:t>
      </w:r>
    </w:p>
    <w:tbl>
      <w:tblPr>
        <w:tblW w:w="0" w:type="auto"/>
        <w:tblInd w:w="907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5133"/>
        <w:gridCol w:w="3146"/>
      </w:tblGrid>
      <w:tr>
        <w:tc>
          <w:tcPr>
            <w:tcW w:w="5133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判断标准：根据中国人常模结果，总分超过 160 分、阳性项目超过 43 项、任何一个因子超过 2 分这三种情形发生时，建议去医院进一步评估。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服务建议：若医院评估有症状，建议机构让学生先在医院治疗，再到机构接受服务。对于抑郁症患者，通常暂时不接收；对于抑郁情绪，可正常疏导。</w:t>
            </w:r>
          </w:p>
        </w:tc>
        <w:tc>
          <w:tcPr>
            <w:tcW w:w="314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838325" cy="88582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SCL-90量表就医建议判断标准</w:t>
              <w:br/>
            </w:r>
          </w:p>
        </w:tc>
      </w:tr>
    </w:tbl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报告指标分析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指标情况：测量结果有总分、阳性项目等，阳性项目 79 项表示 90 道题中有 79 项异常指标。十项指标中多项超过 2 分，基本为轻度，中度或重度有必要去医院。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指标并发：十项指标存在并发可能，2 - 8 项对躯体化有影响，抑郁和焦虑常同时出现。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报告内容讲解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指标解释：报告十项指标，每项第一段解释指标含义，第二段说明指标情况。如躯体化得分越高，躯体不适感越强，严重时可能影响身体健康；强迫等指标同理。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理解建议：老师多阅读报告，看每项开头第一段，就能理解报告内容。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职业锚解读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职业锚应用场景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应用范围：职业锚多用于职业生涯规划或专业方向选择。</w:t>
      </w:r>
    </w:p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适用人群：说话人 1 认为，建议有职场经验或实习经验的人使用，初高中孩子现在做可能有局限。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报告内容介绍</w:t>
      </w:r>
      <w:r>
        <w:rPr>
          <w:rFonts w:eastAsia="等线" w:ascii="Arial" w:cs="Arial" w:hAnsi="Arial"/>
          <w:sz w:val="22"/>
        </w:rPr>
        <w:t>：报告第一页会对职业锚做简单介绍。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00:05</w:t>
        </w:r>
      </w:hyperlink>
      <w:r>
        <w:rPr>
          <w:rFonts w:eastAsia="等线" w:ascii="Arial" w:cs="Arial" w:hAnsi="Arial"/>
          <w:b w:val="true"/>
          <w:sz w:val="22"/>
        </w:rPr>
        <w:t xml:space="preserve">  初级课讲心理健康报告解读及DISC相关提醒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本章节是道全能学业规划师初级课程，主要学习心理健康报告解读。提醒一般不直接给学生做评估，建议与专业、权威且基于中国大数据的 DISC 结合，其价格普惠。DISC 出现特殊图形时建议给学生加测心理健康评估，若有问题建议去医院二次评估，最后提及简单跳过积极心理健康作用部分。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02:27</w:t>
        </w:r>
      </w:hyperlink>
      <w:r>
        <w:rPr>
          <w:rFonts w:eastAsia="等线" w:ascii="Arial" w:cs="Arial" w:hAnsi="Arial"/>
          <w:b w:val="true"/>
          <w:sz w:val="22"/>
        </w:rPr>
        <w:t xml:space="preserve">  SCL 90量表评估及阳性症状处理建议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本章节主要介绍评估工具，使用的是医院也会用到的 SCL 90 量表，因该量表理论基础常见故无需多介绍。若测量得分高、阳性症状明显，要推荐去医院二次检查。此外，评估核心是测人十个方面的心理症状，后续会具体讲解是哪十个方面。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03:27</w:t>
        </w:r>
      </w:hyperlink>
      <w:r>
        <w:rPr>
          <w:rFonts w:eastAsia="等线" w:ascii="Arial" w:cs="Arial" w:hAnsi="Arial"/>
          <w:b w:val="true"/>
          <w:sz w:val="22"/>
        </w:rPr>
        <w:t xml:space="preserve">  项目评分制结果建议及抑郁客户接收准则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项目评分及处理建议。项目采用五级评分制，若总分超160分、阳性项目超43项、任一因子超2分，建议去医院评估。若确诊有症状，建议先在医院治疗再到机构服务。遇到抑郁症患者，通常暂不接收，抑郁情绪则可正常疏导，考虑现实压力，有问题较常见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06:22</w:t>
        </w:r>
      </w:hyperlink>
      <w:r>
        <w:rPr>
          <w:rFonts w:eastAsia="等线" w:ascii="Arial" w:cs="Arial" w:hAnsi="Arial"/>
          <w:b w:val="true"/>
          <w:sz w:val="22"/>
        </w:rPr>
        <w:t xml:space="preserve">  SCL - 90测量结果阳性项目79项的由来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本章节主要介绍测量结果相关内容，测量结果会给出总分和阳性项目。说话人解释阳性项目79的由来，此次测量题目采用SCL - 90，共90道题，其中有79项存在异常指标，即这79项为阳性项目。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06:58</w:t>
        </w:r>
      </w:hyperlink>
      <w:r>
        <w:rPr>
          <w:rFonts w:eastAsia="等线" w:ascii="Arial" w:cs="Arial" w:hAnsi="Arial"/>
          <w:b w:val="true"/>
          <w:sz w:val="22"/>
        </w:rPr>
        <w:t xml:space="preserve">  十项指标分数情况及就医程度参考说明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本章节提到查看十项指标分数，多项超过2分，有的达3分，但基本都处于轻度程度。一般到中度或重度就很有必要去医院，此处给出的程度划分方便大家快速了解情况。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07:31</w:t>
        </w:r>
      </w:hyperlink>
      <w:r>
        <w:rPr>
          <w:rFonts w:eastAsia="等线" w:ascii="Arial" w:cs="Arial" w:hAnsi="Arial"/>
          <w:b w:val="true"/>
          <w:sz w:val="22"/>
        </w:rPr>
        <w:t xml:space="preserve">  指标分数对比，含阳性线及中国人常模情况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介绍了指标分数相关内容。绿色部分代表得分，中间黄色的线是阳性线，意味着超过平均情况。里面的颜色代表中国人常模，还通过对比指出每一项指标均未超过中国人常模，最后说话人表示要继续往下看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08:12</w:t>
        </w:r>
      </w:hyperlink>
      <w:r>
        <w:rPr>
          <w:rFonts w:eastAsia="等线" w:ascii="Arial" w:cs="Arial" w:hAnsi="Arial"/>
          <w:b w:val="true"/>
          <w:sz w:val="22"/>
        </w:rPr>
        <w:t xml:space="preserve">  10项指标并发可能及抑郁焦虑共现情况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本章节提到10项内容存在并发可能，其中2 - 8项按顺序对“躯体化”会有或多或少的影响。同时指出在心理健康方面，抑郁和焦虑这两者基本上会同时出现。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>08:42</w:t>
        </w:r>
      </w:hyperlink>
      <w:r>
        <w:rPr>
          <w:rFonts w:eastAsia="等线" w:ascii="Arial" w:cs="Arial" w:hAnsi="Arial"/>
          <w:b w:val="true"/>
          <w:sz w:val="22"/>
        </w:rPr>
        <w:t xml:space="preserve">  报告十项内容介绍及躯体化、强迫指标说明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报告中的十项内容，说话人表示报告易懂，不会一一讲解。以躯体化为例，第一段解释概念，第二段说明指标情况及影响，得分越高躯体不适感越强，重度躯体化可能引发抽动、胃病、疼痛等身体问题；强迫等后续各项也按先解释概念、再说明指标情况的方式呈现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10:39</w:t>
        </w:r>
      </w:hyperlink>
      <w:r>
        <w:rPr>
          <w:rFonts w:eastAsia="等线" w:ascii="Arial" w:cs="Arial" w:hAnsi="Arial"/>
          <w:b w:val="true"/>
          <w:sz w:val="22"/>
        </w:rPr>
        <w:t xml:space="preserve">  抑郁情绪与抑郁症区别及报告解读说明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了抑郁相关内容，指出抑郁情绪和抑郁症不同，抑郁症是心理疾病，抑郁情绪是暂时性低落，并非持续持久。还提到一份有十项内容的报告，说话人表示老师多看看报告，尤其每项开头第一段就能理解其含义，故不再赘述报告解读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7">
        <w:r>
          <w:rPr>
            <w:rFonts w:eastAsia="等线" w:ascii="Arial" w:cs="Arial" w:hAnsi="Arial"/>
            <w:color w:val="3370ff"/>
            <w:sz w:val="22"/>
          </w:rPr>
          <w:t>11:59</w:t>
        </w:r>
      </w:hyperlink>
      <w:r>
        <w:rPr>
          <w:rFonts w:eastAsia="等线" w:ascii="Arial" w:cs="Arial" w:hAnsi="Arial"/>
          <w:b w:val="true"/>
          <w:sz w:val="22"/>
        </w:rPr>
        <w:t xml:space="preserve">  职业锚解读介绍及适用人群说明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介绍了本次学习内容为职业锚解读。报告第一页会对职业锚作简单介绍，职业锚多用于职业生涯规划或专业方向选择，通常建议有一定职场经验包括有实习经验的人来做，对于初高中孩子来说，现在做可能存在一些情况，但未明确说明后续情况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：在进行心理健康评估时，建议将其与 DISC 结合使用，并根据评估结果给出相应建议。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：如何有效进行心理健康评估以及对评估结果进行处理。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说话人1提出将心理健康评估与 DISC 结合，避免学生抵触心理。</w:t>
      </w:r>
    </w:p>
    <w:p>
      <w:pPr>
        <w:numPr>
          <w:numId w:val="2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若 DISC 出现特殊图形，建议加测心理健康评估。</w:t>
      </w:r>
    </w:p>
    <w:p>
      <w:pPr>
        <w:numPr>
          <w:numId w:val="2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当 SCL - 90 量表评估出现总分超过 160 分、阳性项目超过 43 项、因子超过 2 分三种情形之一时，建议去医院进一步评估。</w:t>
      </w:r>
    </w:p>
    <w:p>
      <w:pPr>
        <w:numPr>
          <w:numId w:val="2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若医院评估有症状，建议先在医院基本治疗，再到机构服务。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：确保评估准确性，保障服务效果与质量，且机构无心理治疗相关认证。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其他决策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职业锚报告适用于有一定职场经验（含实习经验）的人，初高中孩子做可能不合适。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「进行心理健康评估时，建议与 DISC 结合，避免学生出现抵触心理。」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明确提出心理健康评估的有效方式，突出结合 DISC 的重要性，对实际操作有指导意义。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「当 SCL - 90 量表总分超过 160 分、阳性项目超过 43 项、因子超过 2 分时，需建议受测者去医院进一步评估。」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清晰给出了判断受测者需去医院评估的具体标准，是心理健康评估中的关键结论。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「若受测者在医院评估出有症状，建议先在医院做好基本治疗，再到机构进行后续服务，以保障服务效果和质量。」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针对评估有症状的情况，提出合理的处理建议，对服务流程有明确的指导。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8">
        <w:r>
          <w:rPr>
            <w:rFonts w:eastAsia="等线" w:ascii="Arial" w:cs="Arial" w:hAnsi="Arial"/>
            <w:color w:val="3370ff"/>
            <w:sz w:val="22"/>
          </w:rPr>
          <w:t>19.如何读懂心理健康报告</w:t>
        </w:r>
      </w:hyperlink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hyperlink r:id="rId19">
        <w:r>
          <w:rPr>
            <w:rFonts w:eastAsia="等线" w:ascii="Arial" w:cs="Arial" w:hAnsi="Arial"/>
            <w:color w:val="3370ff"/>
            <w:sz w:val="22"/>
          </w:rPr>
          <w:t>19.如何读懂心理健康报告 2026年1月22日</w:t>
        </w:r>
      </w:hyperlink>
    </w:p>
    <w:sectPr>
      <w:footerReference w:type="default" r:id="rId3"/>
      <w:headerReference w:type="default" r:id="rId2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49527">
    <w:lvl>
      <w:numFmt w:val="bullet"/>
      <w:suff w:val="tab"/>
      <w:lvlText w:val="•"/>
      <w:rPr>
        <w:color w:val="3370ff"/>
      </w:rPr>
    </w:lvl>
  </w:abstractNum>
  <w:abstractNum w:abstractNumId="349528">
    <w:lvl>
      <w:numFmt w:val="bullet"/>
      <w:suff w:val="tab"/>
      <w:lvlText w:val="￮"/>
      <w:rPr>
        <w:color w:val="3370ff"/>
      </w:rPr>
    </w:lvl>
  </w:abstractNum>
  <w:abstractNum w:abstractNumId="349529">
    <w:lvl>
      <w:numFmt w:val="bullet"/>
      <w:suff w:val="tab"/>
      <w:lvlText w:val="▪"/>
      <w:rPr>
        <w:color w:val="3370ff"/>
        <w:sz w:val="11"/>
      </w:rPr>
    </w:lvl>
  </w:abstractNum>
  <w:abstractNum w:abstractNumId="349530">
    <w:lvl>
      <w:numFmt w:val="bullet"/>
      <w:suff w:val="tab"/>
      <w:lvlText w:val="▪"/>
      <w:rPr>
        <w:color w:val="3370ff"/>
        <w:sz w:val="11"/>
      </w:rPr>
    </w:lvl>
  </w:abstractNum>
  <w:abstractNum w:abstractNumId="349531">
    <w:lvl>
      <w:numFmt w:val="bullet"/>
      <w:suff w:val="tab"/>
      <w:lvlText w:val="￮"/>
      <w:rPr>
        <w:color w:val="3370ff"/>
      </w:rPr>
    </w:lvl>
  </w:abstractNum>
  <w:abstractNum w:abstractNumId="349532">
    <w:lvl>
      <w:numFmt w:val="bullet"/>
      <w:suff w:val="tab"/>
      <w:lvlText w:val="▪"/>
      <w:rPr>
        <w:color w:val="3370ff"/>
        <w:sz w:val="11"/>
      </w:rPr>
    </w:lvl>
  </w:abstractNum>
  <w:abstractNum w:abstractNumId="349533">
    <w:lvl>
      <w:numFmt w:val="bullet"/>
      <w:suff w:val="tab"/>
      <w:lvlText w:val="•"/>
      <w:rPr>
        <w:color w:val="3370ff"/>
      </w:rPr>
    </w:lvl>
  </w:abstractNum>
  <w:abstractNum w:abstractNumId="349534">
    <w:lvl>
      <w:numFmt w:val="bullet"/>
      <w:suff w:val="tab"/>
      <w:lvlText w:val="•"/>
      <w:rPr>
        <w:color w:val="3370ff"/>
      </w:rPr>
    </w:lvl>
  </w:abstractNum>
  <w:abstractNum w:abstractNumId="349535">
    <w:lvl>
      <w:numFmt w:val="bullet"/>
      <w:suff w:val="tab"/>
      <w:lvlText w:val="￮"/>
      <w:rPr>
        <w:color w:val="3370ff"/>
      </w:rPr>
    </w:lvl>
  </w:abstractNum>
  <w:abstractNum w:abstractNumId="349536">
    <w:lvl>
      <w:numFmt w:val="bullet"/>
      <w:suff w:val="tab"/>
      <w:lvlText w:val="▪"/>
      <w:rPr>
        <w:color w:val="3370ff"/>
        <w:sz w:val="11"/>
      </w:rPr>
    </w:lvl>
  </w:abstractNum>
  <w:abstractNum w:abstractNumId="349537">
    <w:lvl>
      <w:numFmt w:val="bullet"/>
      <w:suff w:val="tab"/>
      <w:lvlText w:val="▪"/>
      <w:rPr>
        <w:color w:val="3370ff"/>
        <w:sz w:val="11"/>
      </w:rPr>
    </w:lvl>
  </w:abstractNum>
  <w:abstractNum w:abstractNumId="349538">
    <w:lvl>
      <w:numFmt w:val="bullet"/>
      <w:suff w:val="tab"/>
      <w:lvlText w:val="￮"/>
      <w:rPr>
        <w:color w:val="3370ff"/>
      </w:rPr>
    </w:lvl>
  </w:abstractNum>
  <w:abstractNum w:abstractNumId="349539">
    <w:lvl>
      <w:numFmt w:val="bullet"/>
      <w:suff w:val="tab"/>
      <w:lvlText w:val="▪"/>
      <w:rPr>
        <w:color w:val="3370ff"/>
        <w:sz w:val="11"/>
      </w:rPr>
    </w:lvl>
  </w:abstractNum>
  <w:abstractNum w:abstractNumId="349540">
    <w:lvl>
      <w:numFmt w:val="bullet"/>
      <w:suff w:val="tab"/>
      <w:lvlText w:val="▪"/>
      <w:rPr>
        <w:color w:val="3370ff"/>
        <w:sz w:val="11"/>
      </w:rPr>
    </w:lvl>
  </w:abstractNum>
  <w:abstractNum w:abstractNumId="349541">
    <w:lvl>
      <w:numFmt w:val="bullet"/>
      <w:suff w:val="tab"/>
      <w:lvlText w:val="•"/>
      <w:rPr>
        <w:color w:val="3370ff"/>
      </w:rPr>
    </w:lvl>
  </w:abstractNum>
  <w:abstractNum w:abstractNumId="349542">
    <w:lvl>
      <w:numFmt w:val="bullet"/>
      <w:suff w:val="tab"/>
      <w:lvlText w:val="￮"/>
      <w:rPr>
        <w:color w:val="3370ff"/>
      </w:rPr>
    </w:lvl>
  </w:abstractNum>
  <w:abstractNum w:abstractNumId="349543">
    <w:lvl>
      <w:numFmt w:val="bullet"/>
      <w:suff w:val="tab"/>
      <w:lvlText w:val="▪"/>
      <w:rPr>
        <w:color w:val="3370ff"/>
        <w:sz w:val="11"/>
      </w:rPr>
    </w:lvl>
  </w:abstractNum>
  <w:abstractNum w:abstractNumId="349544">
    <w:lvl>
      <w:numFmt w:val="bullet"/>
      <w:suff w:val="tab"/>
      <w:lvlText w:val="▪"/>
      <w:rPr>
        <w:color w:val="3370ff"/>
        <w:sz w:val="11"/>
      </w:rPr>
    </w:lvl>
  </w:abstractNum>
  <w:abstractNum w:abstractNumId="349545">
    <w:lvl>
      <w:numFmt w:val="bullet"/>
      <w:suff w:val="tab"/>
      <w:lvlText w:val="￮"/>
      <w:rPr>
        <w:color w:val="3370ff"/>
      </w:rPr>
    </w:lvl>
  </w:abstractNum>
  <w:abstractNum w:abstractNumId="349546">
    <w:lvl>
      <w:numFmt w:val="bullet"/>
      <w:suff w:val="tab"/>
      <w:lvlText w:val="•"/>
      <w:rPr>
        <w:color w:val="3370ff"/>
      </w:rPr>
    </w:lvl>
  </w:abstractNum>
  <w:abstractNum w:abstractNumId="349547">
    <w:lvl>
      <w:numFmt w:val="bullet"/>
      <w:suff w:val="tab"/>
      <w:lvlText w:val="￮"/>
      <w:rPr>
        <w:color w:val="3370ff"/>
      </w:rPr>
    </w:lvl>
  </w:abstractNum>
  <w:abstractNum w:abstractNumId="349548">
    <w:lvl>
      <w:numFmt w:val="bullet"/>
      <w:suff w:val="tab"/>
      <w:lvlText w:val="￮"/>
      <w:rPr>
        <w:color w:val="3370ff"/>
      </w:rPr>
    </w:lvl>
  </w:abstractNum>
  <w:abstractNum w:abstractNumId="349549">
    <w:lvl>
      <w:numFmt w:val="bullet"/>
      <w:suff w:val="tab"/>
      <w:lvlText w:val="▪"/>
      <w:rPr>
        <w:color w:val="3370ff"/>
        <w:sz w:val="11"/>
      </w:rPr>
    </w:lvl>
  </w:abstractNum>
  <w:abstractNum w:abstractNumId="349550">
    <w:lvl>
      <w:numFmt w:val="bullet"/>
      <w:suff w:val="tab"/>
      <w:lvlText w:val="▪"/>
      <w:rPr>
        <w:color w:val="3370ff"/>
        <w:sz w:val="11"/>
      </w:rPr>
    </w:lvl>
  </w:abstractNum>
  <w:abstractNum w:abstractNumId="349551">
    <w:lvl>
      <w:numFmt w:val="bullet"/>
      <w:suff w:val="tab"/>
      <w:lvlText w:val="▪"/>
      <w:rPr>
        <w:color w:val="3370ff"/>
        <w:sz w:val="11"/>
      </w:rPr>
    </w:lvl>
  </w:abstractNum>
  <w:abstractNum w:abstractNumId="349552">
    <w:lvl>
      <w:numFmt w:val="bullet"/>
      <w:suff w:val="tab"/>
      <w:lvlText w:val="▪"/>
      <w:rPr>
        <w:color w:val="3370ff"/>
        <w:sz w:val="11"/>
      </w:rPr>
    </w:lvl>
  </w:abstractNum>
  <w:abstractNum w:abstractNumId="349553">
    <w:lvl>
      <w:numFmt w:val="bullet"/>
      <w:suff w:val="tab"/>
      <w:lvlText w:val="￮"/>
      <w:rPr>
        <w:color w:val="3370ff"/>
      </w:rPr>
    </w:lvl>
  </w:abstractNum>
  <w:abstractNum w:abstractNumId="349554">
    <w:lvl>
      <w:numFmt w:val="bullet"/>
      <w:suff w:val="tab"/>
      <w:lvlText w:val="•"/>
      <w:rPr>
        <w:color w:val="3370ff"/>
      </w:rPr>
    </w:lvl>
  </w:abstractNum>
  <w:abstractNum w:abstractNumId="349555">
    <w:lvl>
      <w:start w:val="1"/>
      <w:numFmt w:val="lowerLetter"/>
      <w:suff w:val="tab"/>
      <w:lvlText w:val="%1."/>
      <w:rPr>
        <w:color w:val="3370ff"/>
      </w:rPr>
    </w:lvl>
  </w:abstractNum>
  <w:abstractNum w:abstractNumId="349556">
    <w:lvl>
      <w:numFmt w:val="bullet"/>
      <w:suff w:val="tab"/>
      <w:lvlText w:val="•"/>
      <w:rPr>
        <w:color w:val="3370ff"/>
      </w:rPr>
    </w:lvl>
  </w:abstractNum>
  <w:abstractNum w:abstractNumId="349557">
    <w:lvl>
      <w:numFmt w:val="bullet"/>
      <w:suff w:val="tab"/>
      <w:lvlText w:val="•"/>
      <w:rPr>
        <w:color w:val="3370ff"/>
      </w:rPr>
    </w:lvl>
  </w:abstractNum>
  <w:abstractNum w:abstractNumId="349558">
    <w:lvl>
      <w:numFmt w:val="bullet"/>
      <w:suff w:val="tab"/>
      <w:lvlText w:val="￮"/>
      <w:rPr>
        <w:color w:val="3370ff"/>
      </w:rPr>
    </w:lvl>
  </w:abstractNum>
  <w:num w:numId="1">
    <w:abstractNumId w:val="349527"/>
  </w:num>
  <w:num w:numId="2">
    <w:abstractNumId w:val="349528"/>
  </w:num>
  <w:num w:numId="3">
    <w:abstractNumId w:val="349529"/>
  </w:num>
  <w:num w:numId="4">
    <w:abstractNumId w:val="349530"/>
  </w:num>
  <w:num w:numId="5">
    <w:abstractNumId w:val="349531"/>
  </w:num>
  <w:num w:numId="6">
    <w:abstractNumId w:val="349532"/>
  </w:num>
  <w:num w:numId="7">
    <w:abstractNumId w:val="349533"/>
  </w:num>
  <w:num w:numId="8">
    <w:abstractNumId w:val="349534"/>
  </w:num>
  <w:num w:numId="9">
    <w:abstractNumId w:val="349535"/>
  </w:num>
  <w:num w:numId="10">
    <w:abstractNumId w:val="349536"/>
  </w:num>
  <w:num w:numId="11">
    <w:abstractNumId w:val="349537"/>
  </w:num>
  <w:num w:numId="12">
    <w:abstractNumId w:val="349538"/>
  </w:num>
  <w:num w:numId="13">
    <w:abstractNumId w:val="349539"/>
  </w:num>
  <w:num w:numId="14">
    <w:abstractNumId w:val="349540"/>
  </w:num>
  <w:num w:numId="15">
    <w:abstractNumId w:val="349541"/>
  </w:num>
  <w:num w:numId="16">
    <w:abstractNumId w:val="349542"/>
  </w:num>
  <w:num w:numId="17">
    <w:abstractNumId w:val="349543"/>
  </w:num>
  <w:num w:numId="18">
    <w:abstractNumId w:val="349544"/>
  </w:num>
  <w:num w:numId="19">
    <w:abstractNumId w:val="349545"/>
  </w:num>
  <w:num w:numId="20">
    <w:abstractNumId w:val="349546"/>
  </w:num>
  <w:num w:numId="21">
    <w:abstractNumId w:val="349547"/>
  </w:num>
  <w:num w:numId="22">
    <w:abstractNumId w:val="349548"/>
  </w:num>
  <w:num w:numId="23">
    <w:abstractNumId w:val="349549"/>
  </w:num>
  <w:num w:numId="24">
    <w:abstractNumId w:val="349550"/>
  </w:num>
  <w:num w:numId="25">
    <w:abstractNumId w:val="349551"/>
  </w:num>
  <w:num w:numId="26">
    <w:abstractNumId w:val="349552"/>
  </w:num>
  <w:num w:numId="27">
    <w:abstractNumId w:val="349553"/>
  </w:num>
  <w:num w:numId="28">
    <w:abstractNumId w:val="349554"/>
  </w:num>
  <w:num w:numId="29">
    <w:abstractNumId w:val="349555"/>
  </w:num>
  <w:num w:numId="30">
    <w:abstractNumId w:val="349556"/>
  </w:num>
  <w:num w:numId="31">
    <w:abstractNumId w:val="349557"/>
  </w:num>
  <w:num w:numId="32">
    <w:abstractNumId w:val="34955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n1n96zqjc7xh152xyfk?t=207000" TargetMode="External" Type="http://schemas.openxmlformats.org/officeDocument/2006/relationships/hyperlink"/><Relationship Id="rId11" Target="https://hcnytq72r1ge.feishu.cn/minutes/obcnfn1n96zqjc7xh152xyfk?t=382000" TargetMode="External" Type="http://schemas.openxmlformats.org/officeDocument/2006/relationships/hyperlink"/><Relationship Id="rId12" Target="https://hcnytq72r1ge.feishu.cn/minutes/obcnfn1n96zqjc7xh152xyfk?t=418000" TargetMode="External" Type="http://schemas.openxmlformats.org/officeDocument/2006/relationships/hyperlink"/><Relationship Id="rId13" Target="https://hcnytq72r1ge.feishu.cn/minutes/obcnfn1n96zqjc7xh152xyfk?t=451000" TargetMode="External" Type="http://schemas.openxmlformats.org/officeDocument/2006/relationships/hyperlink"/><Relationship Id="rId14" Target="https://hcnytq72r1ge.feishu.cn/minutes/obcnfn1n96zqjc7xh152xyfk?t=492000" TargetMode="External" Type="http://schemas.openxmlformats.org/officeDocument/2006/relationships/hyperlink"/><Relationship Id="rId15" Target="https://hcnytq72r1ge.feishu.cn/minutes/obcnfn1n96zqjc7xh152xyfk?t=522000" TargetMode="External" Type="http://schemas.openxmlformats.org/officeDocument/2006/relationships/hyperlink"/><Relationship Id="rId16" Target="https://hcnytq72r1ge.feishu.cn/minutes/obcnfn1n96zqjc7xh152xyfk?t=639000" TargetMode="External" Type="http://schemas.openxmlformats.org/officeDocument/2006/relationships/hyperlink"/><Relationship Id="rId17" Target="https://hcnytq72r1ge.feishu.cn/minutes/obcnfn1n96zqjc7xh152xyfk?t=719000" TargetMode="External" Type="http://schemas.openxmlformats.org/officeDocument/2006/relationships/hyperlink"/><Relationship Id="rId18" Target="https://hcnytq72r1ge.feishu.cn/minutes/obcnfn1n96zqjc7xh152xyfk?from=ai_minutes" TargetMode="External" Type="http://schemas.openxmlformats.org/officeDocument/2006/relationships/hyperlink"/><Relationship Id="rId19" Target="https://hcnytq72r1ge.feishu.cn/docx/HLz6dzjMuoOxyCx4NHNc06I5nnf" TargetMode="External" Type="http://schemas.openxmlformats.org/officeDocument/2006/relationships/hyperlink"/><Relationship Id="rId2" Target="styles.xml" Type="http://schemas.openxmlformats.org/officeDocument/2006/relationships/styles"/><Relationship Id="rId20" Target="header1.xml" Type="http://schemas.openxmlformats.org/officeDocument/2006/relationships/header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https://hcnytq72r1ge.feishu.cn/minutes/obcnfn1n96zqjc7xh152xyfk?t=5000" TargetMode="External" Type="http://schemas.openxmlformats.org/officeDocument/2006/relationships/hyperlink"/><Relationship Id="rId9" Target="https://hcnytq72r1ge.feishu.cn/minutes/obcnfn1n96zqjc7xh152xyfk?t=147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2026-01-26T04:22:53Z</dcterms:created>
  <dc:creator>Apache POI</dc:creator>
</cp:coreProperties>
</file>