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智能纪要：7.如何读懂学习能力之推理智力报告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会议主题：7.如何读懂学习能力之推理智力报告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本次会议围绕推理智力评估展开，介绍了推理智力评估的特点、评估结果分析方法及测试频率建议等内容，具体内容如下：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496"/>
        <w:gridCol w:w="2235"/>
        <w:gridCol w:w="496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推理智力评估特点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评估工具性质</w:t>
            </w:r>
            <w:r>
              <w:rPr>
                <w:rFonts w:eastAsia="等线" w:ascii="Arial" w:cs="Arial" w:hAnsi="Arial"/>
                <w:sz w:val="22"/>
              </w:rPr>
              <w:t>：说话人 1 提出推理智力是国际通用的智商评估工具，因其全部采用图形测试，无需文字，也被称为无语言智力评估，全球通用。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测试能力范围</w:t>
            </w:r>
            <w:r>
              <w:rPr>
                <w:rFonts w:eastAsia="等线" w:ascii="Arial" w:cs="Arial" w:hAnsi="Arial"/>
                <w:sz w:val="22"/>
              </w:rPr>
              <w:t>：该评估能全面测试一个人的观察能力、思维能力、解决问题能力，以及利用现有信息解决问题的能力。</w:t>
            </w:r>
          </w:p>
        </w:tc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1066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推理智力评估特点</w:t>
              <w:br/>
            </w:r>
          </w:p>
        </w:tc>
        <w:tc>
          <w:tcPr>
            <w:tcW w:w="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评估结果分析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3643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关注用时情况</w:t>
            </w:r>
            <w:r>
              <w:rPr>
                <w:rFonts w:eastAsia="等线" w:ascii="Arial" w:cs="Arial" w:hAnsi="Arial"/>
                <w:sz w:val="22"/>
              </w:rPr>
              <w:t>：完整评估时间为 40 分钟，约 70 多道题。若孩子用时过短（如 8 分钟答对 45 道题），可能未认真思考，因题目越往后越难。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综合评估建议</w:t>
            </w:r>
            <w:r>
              <w:rPr>
                <w:rFonts w:eastAsia="等线" w:ascii="Arial" w:cs="Arial" w:hAnsi="Arial"/>
                <w:sz w:val="22"/>
              </w:rPr>
              <w:t>：说话人 1 认为遇到这种情况，应结合多元情况，对比先天与后天因素。若评估指标应更高，需进行心理疏导，讲解评估重要性和价值，并建议重新测试。</w:t>
            </w:r>
          </w:p>
        </w:tc>
        <w:tc>
          <w:tcPr>
            <w:tcW w:w="364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7810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推理智力评估结果分析对比</w:t>
              <w:br/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测试频率建议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避免频繁测试</w:t>
      </w:r>
      <w:r>
        <w:rPr>
          <w:rFonts w:eastAsia="等线" w:ascii="Arial" w:cs="Arial" w:hAnsi="Arial"/>
          <w:sz w:val="22"/>
        </w:rPr>
        <w:t>：说话人 1 表示推理智力测试不建议频繁进行，也不宜作为日常训练工具，因为记忆力好的孩子可能会背题。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合理测试周期</w:t>
      </w:r>
      <w:r>
        <w:rPr>
          <w:rFonts w:eastAsia="等线" w:ascii="Arial" w:cs="Arial" w:hAnsi="Arial"/>
          <w:sz w:val="22"/>
        </w:rPr>
        <w:t>：建议半年左右重新测试一次，以查看经过一段时间辅导后是否有提升。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推理智力：无语言通用智力评估及测试能力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推理智力，它是国际通用的评估智商的工具，因测试全用图形、无文字，也被称为无语言的智力评估，全球通用无需认识文字。其测试能力较广泛，涵盖观察、思维、解决问题的能力，以及能否利用已有信息解决问题，对人的评估较为全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01:11</w:t>
        </w:r>
      </w:hyperlink>
      <w:r>
        <w:rPr>
          <w:rFonts w:eastAsia="等线" w:ascii="Arial" w:cs="Arial" w:hAnsi="Arial"/>
          <w:b w:val="true"/>
          <w:sz w:val="22"/>
        </w:rPr>
        <w:t xml:space="preserve">  儿童推理智力评估结果分析与复测建议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不同年龄同龄人对比情况不同，评估报告需关注用时等核心数字。以某孩子为例，用时短但未用满时间，可能未认真思考。遇此类情况，可结合多元情况对比先天后天，若得分应更高，可做心理疏导并建议重做。推理智力评估建议半年左右测一次，不建议频繁测试或当训练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03:31</w:t>
        </w:r>
      </w:hyperlink>
      <w:r>
        <w:rPr>
          <w:rFonts w:eastAsia="等线" w:ascii="Arial" w:cs="Arial" w:hAnsi="Arial"/>
          <w:b w:val="true"/>
          <w:sz w:val="22"/>
        </w:rPr>
        <w:t xml:space="preserve">  推理智力对生活工作的影响及提升建议分享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本章节说话人1表示接下来会讲述推理智力对生活和工作的影响，还会给出提升建议，不过这些建议更多要结合后续服务的产品体系来提供，最后说话人1宣布关于此部分的分享暂告一段落。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：推理智力评估建议半年左右进行一次，不建议频繁测试或作为日常训练工具。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：如何合理安排推理智力评估的频率。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提出不建议频繁测题，也不建议将其作为训练工具天天练习。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：若孩子记忆力好，可能会背下题目，影响评估结果的准确性，半年左右测试一次可查看辅导后的提升情况。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评估报告需重点关注用时等核心数字。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若孩子答题速度快但未用满时间，建议结合多元情况对比先天与后天情况，若指标应更高，需进行心理疏导并建议重新测试。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后续关于推理智力对生活和工作的影响及提升建议，要结合服务产品体系给出。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「推理智力测试全部采用图形，无文字表述，是全球通用的无语言智力评估方式，可测试人的观察、思维、解决问题等能力。」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清晰阐述了推理智力测试的特点和可评估的能力范围，突出了会议主题中推理智力测试的重要信息。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「答题速度快但未用满规定时间，可能是孩子未认真、仔细思考，存在不耐烦、不愿深度思考的情况，因为测试越往后越难。」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对孩子答题时间短这一现象进行了深入分析，为后续决策提供了依据，具有独特的洞察。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「推理智力测试不建议频繁进行，也不宜作为日常训练工具，建议半年左右重新测试一次，查看辅导后的提升情况。」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明确给出了推理智力测试的合理频率建议，是会议中的关键结论。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7.如何读懂学习能力之推理智力报告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7.如何读懂学习能力之推理智力报告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8375">
    <w:lvl>
      <w:numFmt w:val="bullet"/>
      <w:suff w:val="tab"/>
      <w:lvlText w:val="•"/>
      <w:rPr>
        <w:color w:val="3370ff"/>
      </w:rPr>
    </w:lvl>
  </w:abstractNum>
  <w:abstractNum w:abstractNumId="318376">
    <w:lvl>
      <w:numFmt w:val="bullet"/>
      <w:suff w:val="tab"/>
      <w:lvlText w:val="￮"/>
      <w:rPr>
        <w:color w:val="3370ff"/>
      </w:rPr>
    </w:lvl>
  </w:abstractNum>
  <w:abstractNum w:abstractNumId="318377">
    <w:lvl>
      <w:numFmt w:val="bullet"/>
      <w:suff w:val="tab"/>
      <w:lvlText w:val="￮"/>
      <w:rPr>
        <w:color w:val="3370ff"/>
      </w:rPr>
    </w:lvl>
  </w:abstractNum>
  <w:abstractNum w:abstractNumId="318378">
    <w:lvl>
      <w:numFmt w:val="bullet"/>
      <w:suff w:val="tab"/>
      <w:lvlText w:val="•"/>
      <w:rPr>
        <w:color w:val="3370ff"/>
      </w:rPr>
    </w:lvl>
  </w:abstractNum>
  <w:abstractNum w:abstractNumId="318379">
    <w:lvl>
      <w:numFmt w:val="bullet"/>
      <w:suff w:val="tab"/>
      <w:lvlText w:val="•"/>
      <w:rPr>
        <w:color w:val="3370ff"/>
      </w:rPr>
    </w:lvl>
  </w:abstractNum>
  <w:abstractNum w:abstractNumId="318380">
    <w:lvl>
      <w:numFmt w:val="bullet"/>
      <w:suff w:val="tab"/>
      <w:lvlText w:val="•"/>
      <w:rPr>
        <w:color w:val="3370ff"/>
      </w:rPr>
    </w:lvl>
  </w:abstractNum>
  <w:abstractNum w:abstractNumId="318381">
    <w:lvl>
      <w:numFmt w:val="bullet"/>
      <w:suff w:val="tab"/>
      <w:lvlText w:val="•"/>
      <w:rPr>
        <w:color w:val="3370ff"/>
      </w:rPr>
    </w:lvl>
  </w:abstractNum>
  <w:abstractNum w:abstractNumId="318382">
    <w:lvl>
      <w:numFmt w:val="bullet"/>
      <w:suff w:val="tab"/>
      <w:lvlText w:val="￮"/>
      <w:rPr>
        <w:color w:val="3370ff"/>
      </w:rPr>
    </w:lvl>
  </w:abstractNum>
  <w:abstractNum w:abstractNumId="318383">
    <w:lvl>
      <w:numFmt w:val="bullet"/>
      <w:suff w:val="tab"/>
      <w:lvlText w:val="￮"/>
      <w:rPr>
        <w:color w:val="3370ff"/>
      </w:rPr>
    </w:lvl>
  </w:abstractNum>
  <w:abstractNum w:abstractNumId="318384">
    <w:lvl>
      <w:numFmt w:val="bullet"/>
      <w:suff w:val="tab"/>
      <w:lvlText w:val="•"/>
      <w:rPr>
        <w:color w:val="3370ff"/>
      </w:rPr>
    </w:lvl>
  </w:abstractNum>
  <w:abstractNum w:abstractNumId="318385">
    <w:lvl>
      <w:numFmt w:val="bullet"/>
      <w:suff w:val="tab"/>
      <w:lvlText w:val="￮"/>
      <w:rPr>
        <w:color w:val="3370ff"/>
      </w:rPr>
    </w:lvl>
  </w:abstractNum>
  <w:abstractNum w:abstractNumId="318386">
    <w:lvl>
      <w:numFmt w:val="bullet"/>
      <w:suff w:val="tab"/>
      <w:lvlText w:val="￮"/>
      <w:rPr>
        <w:color w:val="3370ff"/>
      </w:rPr>
    </w:lvl>
  </w:abstractNum>
  <w:abstractNum w:abstractNumId="318387">
    <w:lvl>
      <w:numFmt w:val="bullet"/>
      <w:suff w:val="tab"/>
      <w:lvlText w:val="￮"/>
      <w:rPr>
        <w:color w:val="3370ff"/>
      </w:rPr>
    </w:lvl>
  </w:abstractNum>
  <w:abstractNum w:abstractNumId="318388">
    <w:lvl>
      <w:numFmt w:val="bullet"/>
      <w:suff w:val="tab"/>
      <w:lvlText w:val="•"/>
      <w:rPr>
        <w:color w:val="3370ff"/>
      </w:rPr>
    </w:lvl>
  </w:abstractNum>
  <w:abstractNum w:abstractNumId="318389">
    <w:lvl>
      <w:start w:val="1"/>
      <w:numFmt w:val="lowerLetter"/>
      <w:suff w:val="tab"/>
      <w:lvlText w:val="%1."/>
      <w:rPr>
        <w:color w:val="3370ff"/>
      </w:rPr>
    </w:lvl>
  </w:abstractNum>
  <w:abstractNum w:abstractNumId="318390">
    <w:lvl>
      <w:start w:val="2"/>
      <w:numFmt w:val="lowerLetter"/>
      <w:suff w:val="tab"/>
      <w:lvlText w:val="%1."/>
      <w:rPr>
        <w:color w:val="3370ff"/>
      </w:rPr>
    </w:lvl>
  </w:abstractNum>
  <w:abstractNum w:abstractNumId="318391">
    <w:lvl>
      <w:start w:val="3"/>
      <w:numFmt w:val="lowerLetter"/>
      <w:suff w:val="tab"/>
      <w:lvlText w:val="%1."/>
      <w:rPr>
        <w:color w:val="3370ff"/>
      </w:rPr>
    </w:lvl>
  </w:abstractNum>
  <w:abstractNum w:abstractNumId="318392">
    <w:lvl>
      <w:numFmt w:val="bullet"/>
      <w:suff w:val="tab"/>
      <w:lvlText w:val="•"/>
      <w:rPr>
        <w:color w:val="3370ff"/>
      </w:rPr>
    </w:lvl>
  </w:abstractNum>
  <w:abstractNum w:abstractNumId="318393">
    <w:lvl>
      <w:numFmt w:val="bullet"/>
      <w:suff w:val="tab"/>
      <w:lvlText w:val="•"/>
      <w:rPr>
        <w:color w:val="3370ff"/>
      </w:rPr>
    </w:lvl>
  </w:abstractNum>
  <w:abstractNum w:abstractNumId="318394">
    <w:lvl>
      <w:numFmt w:val="bullet"/>
      <w:suff w:val="tab"/>
      <w:lvlText w:val="￮"/>
      <w:rPr>
        <w:color w:val="3370ff"/>
      </w:rPr>
    </w:lvl>
  </w:abstractNum>
  <w:num w:numId="1">
    <w:abstractNumId w:val="318375"/>
  </w:num>
  <w:num w:numId="2">
    <w:abstractNumId w:val="318376"/>
  </w:num>
  <w:num w:numId="3">
    <w:abstractNumId w:val="318377"/>
  </w:num>
  <w:num w:numId="4">
    <w:abstractNumId w:val="318378"/>
  </w:num>
  <w:num w:numId="5">
    <w:abstractNumId w:val="318379"/>
  </w:num>
  <w:num w:numId="6">
    <w:abstractNumId w:val="318380"/>
  </w:num>
  <w:num w:numId="7">
    <w:abstractNumId w:val="318381"/>
  </w:num>
  <w:num w:numId="8">
    <w:abstractNumId w:val="318382"/>
  </w:num>
  <w:num w:numId="9">
    <w:abstractNumId w:val="318383"/>
  </w:num>
  <w:num w:numId="10">
    <w:abstractNumId w:val="318384"/>
  </w:num>
  <w:num w:numId="11">
    <w:abstractNumId w:val="318385"/>
  </w:num>
  <w:num w:numId="12">
    <w:abstractNumId w:val="318386"/>
  </w:num>
  <w:num w:numId="13">
    <w:abstractNumId w:val="318387"/>
  </w:num>
  <w:num w:numId="14">
    <w:abstractNumId w:val="318388"/>
  </w:num>
  <w:num w:numId="15">
    <w:abstractNumId w:val="318389"/>
  </w:num>
  <w:num w:numId="16">
    <w:abstractNumId w:val="318390"/>
  </w:num>
  <w:num w:numId="17">
    <w:abstractNumId w:val="318391"/>
  </w:num>
  <w:num w:numId="18">
    <w:abstractNumId w:val="318392"/>
  </w:num>
  <w:num w:numId="19">
    <w:abstractNumId w:val="318393"/>
  </w:num>
  <w:num w:numId="20">
    <w:abstractNumId w:val="3183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j3fky5tpx1847lo41e?t=211000" TargetMode="External" Type="http://schemas.openxmlformats.org/officeDocument/2006/relationships/hyperlink"/><Relationship Id="rId11" Target="https://hcnytq72r1ge.feishu.cn/minutes/obcnfnj3fky5tpx1847lo41e?from=ai_minutes" TargetMode="External" Type="http://schemas.openxmlformats.org/officeDocument/2006/relationships/hyperlink"/><Relationship Id="rId12" Target="https://hcnytq72r1ge.feishu.cn/docx/WJkKd0W7AoH18kxz8GEcUhXCnId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nj3fky5tpx1847lo41e?t=5000" TargetMode="External" Type="http://schemas.openxmlformats.org/officeDocument/2006/relationships/hyperlink"/><Relationship Id="rId9" Target="https://hcnytq72r1ge.feishu.cn/minutes/obcnfnj3fky5tpx1847lo41e?t=7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2026-01-26T03:10:27Z</dcterms:created>
  <dc:creator>Apache POI</dc:creator>
</cp:coreProperties>
</file>