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智能纪要：8.如何读懂学习能力之数学&amp;语言应用能力、逻辑思维能力诊断（中学）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会议主题：8.如何读懂学习能力之数学&amp;语言应用能力、逻辑思维能力诊断（中学）</w:t>
            </w:r>
          </w:p>
          <w:p>
            <w:pPr>
              <w:spacing w:before="120" w:after="120" w:line="288" w:lineRule="auto"/>
              <w:ind w:left="0"/>
              <w:jc w:val="left"/>
            </w:pPr>
            <w:r>
              <w:rPr>
                <w:rFonts w:eastAsia="等线" w:ascii="Arial" w:cs="Arial" w:hAnsi="Arial"/>
                <w:color w:val="646a73"/>
                <w:sz w:val="22"/>
              </w:rPr>
              <w:t>上传时间：1月22号（周四） 21:57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2085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085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本次会议说话人1围绕道全能学业规划师初级课程中语言、数学及逻辑思维能力报告解读展开，阐述各能力特点、优势及与推理智力的区别，内容如下：</w:t>
      </w:r>
    </w:p>
    <w:p>
      <w:pPr>
        <w:numPr>
          <w:numId w:val="1"/>
        </w:numPr>
        <w:spacing w:before="120" w:after="120" w:line="288" w:lineRule="auto"/>
        <w:ind w:left="0"/>
        <w:jc w:val="left"/>
      </w:pPr>
      <w:r>
        <w:rPr>
          <w:rFonts w:eastAsia="等线" w:ascii="Arial" w:cs="Arial" w:hAnsi="Arial"/>
          <w:b w:val="true"/>
          <w:sz w:val="22"/>
        </w:rPr>
        <w:t>能力概述</w:t>
      </w:r>
    </w:p>
    <w:p>
      <w:pPr>
        <w:numPr>
          <w:numId w:val="2"/>
        </w:numPr>
        <w:spacing w:before="120" w:after="120" w:line="288" w:lineRule="auto"/>
        <w:ind w:left="453"/>
        <w:jc w:val="left"/>
      </w:pPr>
      <w:r>
        <w:rPr>
          <w:rFonts w:eastAsia="等线" w:ascii="Arial" w:cs="Arial" w:hAnsi="Arial"/>
          <w:b w:val="true"/>
          <w:sz w:val="22"/>
        </w:rPr>
        <w:t>能力定义</w:t>
      </w:r>
      <w:r>
        <w:rPr>
          <w:rFonts w:eastAsia="等线" w:ascii="Arial" w:cs="Arial" w:hAnsi="Arial"/>
          <w:sz w:val="22"/>
        </w:rPr>
        <w:t>：说话人1表示语言应用、数学应用和逻辑思维能力属于高级认知能力，是个体认知、理解客观事物并运用知识经验解决问题的能力，在学习和工作中应用广泛。</w:t>
      </w:r>
    </w:p>
    <w:p>
      <w:pPr>
        <w:numPr>
          <w:numId w:val="3"/>
        </w:numPr>
        <w:spacing w:before="120" w:after="120" w:line="288" w:lineRule="auto"/>
        <w:ind w:left="453"/>
        <w:jc w:val="left"/>
      </w:pPr>
      <w:r>
        <w:rPr>
          <w:rFonts w:eastAsia="等线" w:ascii="Arial" w:cs="Arial" w:hAnsi="Arial"/>
          <w:b w:val="true"/>
          <w:sz w:val="22"/>
        </w:rPr>
        <w:t>学习差异</w:t>
      </w:r>
      <w:r>
        <w:rPr>
          <w:rFonts w:eastAsia="等线" w:ascii="Arial" w:cs="Arial" w:hAnsi="Arial"/>
          <w:sz w:val="22"/>
        </w:rPr>
        <w:t>：这三项能力水平不同的人学习知识点所需时间不同，能力高者可能只需 10 分钟，而能力弱的人可能需要 30 分钟甚至 60 分钟，但最终都能学会。</w:t>
      </w:r>
    </w:p>
    <w:p>
      <w:pPr>
        <w:numPr>
          <w:numId w:val="4"/>
        </w:numPr>
        <w:spacing w:before="120" w:after="120" w:line="288" w:lineRule="auto"/>
        <w:ind w:left="453"/>
        <w:jc w:val="left"/>
      </w:pPr>
      <w:r>
        <w:rPr>
          <w:rFonts w:eastAsia="等线" w:ascii="Arial" w:cs="Arial" w:hAnsi="Arial"/>
          <w:b w:val="true"/>
          <w:sz w:val="22"/>
        </w:rPr>
        <w:t>后天可提升</w:t>
      </w:r>
      <w:r>
        <w:rPr>
          <w:rFonts w:eastAsia="等线" w:ascii="Arial" w:cs="Arial" w:hAnsi="Arial"/>
          <w:sz w:val="22"/>
        </w:rPr>
        <w:t>：这三项能力可通过后天学习知识点或技能得到提升，报告评估要求孩子又快又准回答问题，能考验信息处理能力。</w:t>
      </w:r>
    </w:p>
    <w:p>
      <w:pPr>
        <w:numPr>
          <w:numId w:val="5"/>
        </w:numPr>
        <w:spacing w:before="120" w:after="120" w:line="288" w:lineRule="auto"/>
        <w:ind w:left="0"/>
        <w:jc w:val="left"/>
      </w:pPr>
      <w:r>
        <w:rPr>
          <w:rFonts w:eastAsia="等线" w:ascii="Arial" w:cs="Arial" w:hAnsi="Arial"/>
          <w:b w:val="true"/>
          <w:sz w:val="22"/>
        </w:rPr>
        <w:t>各项能力分析</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554"/>
        <w:gridCol w:w="3726"/>
      </w:tblGrid>
      <w:tr>
        <w:tc>
          <w:tcPr>
            <w:tcW w:w="4554" w:type="dxa"/>
            <w:tcMar>
              <w:top w:type="dxa" w:w="60"/>
              <w:left w:type="dxa" w:w="120"/>
              <w:bottom w:type="dxa" w:w="30"/>
              <w:right w:type="dxa" w:w="120"/>
            </w:tcMar>
          </w:tcPr>
          <w:p>
            <w:pPr>
              <w:numPr>
                <w:numId w:val="6"/>
              </w:numPr>
              <w:spacing w:before="120" w:after="120" w:line="288" w:lineRule="auto"/>
              <w:ind w:left="0"/>
              <w:jc w:val="left"/>
            </w:pPr>
            <w:r>
              <w:rPr>
                <w:rFonts w:eastAsia="等线" w:ascii="Arial" w:cs="Arial" w:hAnsi="Arial"/>
                <w:b w:val="true"/>
                <w:sz w:val="22"/>
              </w:rPr>
              <w:t>语言应用能力</w:t>
            </w:r>
          </w:p>
          <w:p>
            <w:pPr>
              <w:numPr>
                <w:numId w:val="7"/>
              </w:numPr>
              <w:spacing w:before="120" w:after="120" w:line="288" w:lineRule="auto"/>
              <w:ind w:left="453"/>
              <w:jc w:val="left"/>
            </w:pPr>
            <w:r>
              <w:rPr>
                <w:rFonts w:eastAsia="等线" w:ascii="Arial" w:cs="Arial" w:hAnsi="Arial"/>
                <w:sz w:val="22"/>
              </w:rPr>
              <w:t>能力阐述：报告对语言能力进行阐述，语言应用能力强的孩子在文科学习上有优势。</w:t>
            </w:r>
          </w:p>
          <w:p>
            <w:pPr>
              <w:numPr>
                <w:numId w:val="8"/>
              </w:numPr>
              <w:spacing w:before="120" w:after="120" w:line="288" w:lineRule="auto"/>
              <w:ind w:left="453"/>
              <w:jc w:val="left"/>
            </w:pPr>
            <w:r>
              <w:rPr>
                <w:rFonts w:eastAsia="等线" w:ascii="Arial" w:cs="Arial" w:hAnsi="Arial"/>
                <w:sz w:val="22"/>
              </w:rPr>
              <w:t>职业方向：适合从事与商务谈判、教育等需要综合运用书面或口语语言的职业。</w:t>
            </w:r>
          </w:p>
        </w:tc>
        <w:tc>
          <w:tcPr>
            <w:tcW w:w="3726" w:type="dxa"/>
            <w:tcMar>
              <w:top w:type="dxa" w:w="60"/>
              <w:left w:type="dxa" w:w="120"/>
              <w:bottom w:type="dxa" w:w="30"/>
              <w:right w:type="dxa" w:w="120"/>
            </w:tcMar>
          </w:tcPr>
          <w:p>
            <w:pPr>
              <w:spacing w:before="120" w:after="120" w:line="288" w:lineRule="auto"/>
              <w:ind w:left="0"/>
              <w:jc w:val="center"/>
            </w:pPr>
            <w:r>
              <w:drawing>
                <wp:inline distT="0" distR="0" distB="0" distL="0">
                  <wp:extent cx="2209800" cy="6858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209800" cy="6858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三项高级认知能力对比分析</w:t>
              <w:br/>
            </w:r>
          </w:p>
        </w:tc>
      </w:tr>
    </w:tbl>
    <w:p>
      <w:pPr>
        <w:numPr>
          <w:numId w:val="9"/>
        </w:numPr>
        <w:spacing w:before="120" w:after="120" w:line="288" w:lineRule="auto"/>
        <w:ind w:left="453"/>
        <w:jc w:val="left"/>
      </w:pPr>
      <w:r>
        <w:rPr>
          <w:rFonts w:eastAsia="等线" w:ascii="Arial" w:cs="Arial" w:hAnsi="Arial"/>
          <w:b w:val="true"/>
          <w:sz w:val="22"/>
        </w:rPr>
        <w:t>数学应用能力</w:t>
      </w:r>
    </w:p>
    <w:p>
      <w:pPr>
        <w:numPr>
          <w:numId w:val="10"/>
        </w:numPr>
        <w:spacing w:before="120" w:after="120" w:line="288" w:lineRule="auto"/>
        <w:ind w:left="907"/>
        <w:jc w:val="left"/>
      </w:pPr>
      <w:r>
        <w:rPr>
          <w:rFonts w:eastAsia="等线" w:ascii="Arial" w:cs="Arial" w:hAnsi="Arial"/>
          <w:sz w:val="22"/>
        </w:rPr>
        <w:t>能力解释：检测的是基础数学能力，考验孩子将问题简单化和抽象的能力，如老师讲课深入浅出体现的抽象能力。</w:t>
      </w:r>
    </w:p>
    <w:p>
      <w:pPr>
        <w:numPr>
          <w:numId w:val="11"/>
        </w:numPr>
        <w:spacing w:before="120" w:after="120" w:line="288" w:lineRule="auto"/>
        <w:ind w:left="907"/>
        <w:jc w:val="left"/>
      </w:pPr>
      <w:r>
        <w:rPr>
          <w:rFonts w:eastAsia="等线" w:ascii="Arial" w:cs="Arial" w:hAnsi="Arial"/>
          <w:sz w:val="22"/>
        </w:rPr>
        <w:t>学科与专业优势：能力强的孩子在数理类学科学习有优势，适合选择对数字敏感、量化信息多的数理专业，如金融、物理统计等。</w:t>
      </w:r>
    </w:p>
    <w:p>
      <w:pPr>
        <w:numPr>
          <w:numId w:val="12"/>
        </w:numPr>
        <w:spacing w:before="120" w:after="120" w:line="288" w:lineRule="auto"/>
        <w:ind w:left="453"/>
        <w:jc w:val="left"/>
      </w:pPr>
      <w:r>
        <w:rPr>
          <w:rFonts w:eastAsia="等线" w:ascii="Arial" w:cs="Arial" w:hAnsi="Arial"/>
          <w:b w:val="true"/>
          <w:sz w:val="22"/>
        </w:rPr>
        <w:t>逻辑思维能力</w:t>
      </w:r>
    </w:p>
    <w:p>
      <w:pPr>
        <w:numPr>
          <w:numId w:val="13"/>
        </w:numPr>
        <w:spacing w:before="120" w:after="120" w:line="288" w:lineRule="auto"/>
        <w:ind w:left="907"/>
        <w:jc w:val="left"/>
      </w:pPr>
      <w:r>
        <w:rPr>
          <w:rFonts w:eastAsia="等线" w:ascii="Arial" w:cs="Arial" w:hAnsi="Arial"/>
          <w:sz w:val="22"/>
        </w:rPr>
        <w:t>能力解释：更多指演绎逻辑，考验对事物进行观察、比较、分析、抽象、概括、判断推理及有条理表达思维过程的能力。</w:t>
      </w:r>
    </w:p>
    <w:p>
      <w:pPr>
        <w:numPr>
          <w:numId w:val="14"/>
        </w:numPr>
        <w:spacing w:before="120" w:after="120" w:line="288" w:lineRule="auto"/>
        <w:ind w:left="907"/>
        <w:jc w:val="left"/>
      </w:pPr>
      <w:r>
        <w:rPr>
          <w:rFonts w:eastAsia="等线" w:ascii="Arial" w:cs="Arial" w:hAnsi="Arial"/>
          <w:sz w:val="22"/>
        </w:rPr>
        <w:t>学科与专业需求：该能力强的孩子无论学文科还是理科都需要，适合建筑、物理、工程等对逻辑要求高的专业。</w:t>
      </w:r>
    </w:p>
    <w:p>
      <w:pPr>
        <w:numPr>
          <w:numId w:val="15"/>
        </w:numPr>
        <w:spacing w:before="120" w:after="120" w:line="288" w:lineRule="auto"/>
        <w:ind w:left="907"/>
        <w:jc w:val="left"/>
      </w:pPr>
      <w:r>
        <w:rPr>
          <w:rFonts w:eastAsia="等线" w:ascii="Arial" w:cs="Arial" w:hAnsi="Arial"/>
          <w:sz w:val="22"/>
        </w:rPr>
        <w:t>与推理智力区别：逻辑思维能力依赖文字，受后天教育影响大；推理智力用图形检测，不依赖文字，全球通用，更能检验观察和思维能力。</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7">
        <w:r>
          <w:rPr>
            <w:rFonts w:eastAsia="等线" w:ascii="Arial" w:cs="Arial" w:hAnsi="Arial"/>
            <w:color w:val="3370ff"/>
            <w:sz w:val="22"/>
          </w:rPr>
          <w:t>00:05</w:t>
        </w:r>
      </w:hyperlink>
      <w:r>
        <w:rPr>
          <w:rFonts w:eastAsia="等线" w:ascii="Arial" w:cs="Arial" w:hAnsi="Arial"/>
          <w:b w:val="true"/>
          <w:sz w:val="22"/>
        </w:rPr>
        <w:t xml:space="preserve">  学业规划初级课程：三项能力报告解读及作用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欢迎老师加入道全能学业规划师，介绍初级课程是关于语言、数学和逻辑思维能力报告的解读，该报告不在常规学习力套餐内，适用于特殊场景或引流活动。阐述三项能力属高级认知能力，即解决问题能力，可后天提升，报告评估有时间要求，能考验信息处理能力。</w:t>
            </w:r>
          </w:p>
        </w:tc>
      </w:tr>
    </w:tbl>
    <w:p>
      <w:pPr>
        <w:spacing w:before="120" w:after="120" w:line="288" w:lineRule="auto"/>
        <w:ind w:left="0"/>
        <w:jc w:val="left"/>
      </w:pPr>
      <w:hyperlink r:id="rId8">
        <w:r>
          <w:rPr>
            <w:rFonts w:eastAsia="等线" w:ascii="Arial" w:cs="Arial" w:hAnsi="Arial"/>
            <w:color w:val="3370ff"/>
            <w:sz w:val="22"/>
          </w:rPr>
          <w:t>03:15</w:t>
        </w:r>
      </w:hyperlink>
      <w:r>
        <w:rPr>
          <w:rFonts w:eastAsia="等线" w:ascii="Arial" w:cs="Arial" w:hAnsi="Arial"/>
          <w:b w:val="true"/>
          <w:sz w:val="22"/>
        </w:rPr>
        <w:t xml:space="preserve">  语言能力报告解读及职业方向建议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语言相关报告，其中包含超过一定比例同龄孩子的情况、诊断结果和提升建议。通常语言应用能力强的孩子在文科学习上有优势，在未来职业选择上，综合运用书面或口语语言的方向较适合他们，如商务谈判、教育等领域，且报告内容较为简单。</w:t>
            </w:r>
          </w:p>
        </w:tc>
      </w:tr>
    </w:tbl>
    <w:p>
      <w:pPr>
        <w:spacing w:before="120" w:after="120" w:line="288" w:lineRule="auto"/>
        <w:ind w:left="0"/>
        <w:jc w:val="left"/>
      </w:pPr>
      <w:hyperlink r:id="rId9">
        <w:r>
          <w:rPr>
            <w:rFonts w:eastAsia="等线" w:ascii="Arial" w:cs="Arial" w:hAnsi="Arial"/>
            <w:color w:val="3370ff"/>
            <w:sz w:val="22"/>
          </w:rPr>
          <w:t>04:12</w:t>
        </w:r>
      </w:hyperlink>
      <w:r>
        <w:rPr>
          <w:rFonts w:eastAsia="等线" w:ascii="Arial" w:cs="Arial" w:hAnsi="Arial"/>
          <w:b w:val="true"/>
          <w:sz w:val="22"/>
        </w:rPr>
        <w:t xml:space="preserve">  数学应用能力内涵、优势及专业选择建议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数学应用能力，这里测试的是基础数学能力，考验孩子将问题简单化和抽象的能力，如老师讲课深入浅出体现抽象能力强。数学应用能力强的孩子学数理类学科有优势，未来专业选择上适合对数字敏感、量化信息多的数理专业，像金融、物理统计等。</w:t>
            </w:r>
          </w:p>
        </w:tc>
      </w:tr>
    </w:tbl>
    <w:p>
      <w:pPr>
        <w:spacing w:before="120" w:after="120" w:line="288" w:lineRule="auto"/>
        <w:ind w:left="0"/>
        <w:jc w:val="left"/>
      </w:pPr>
      <w:hyperlink r:id="rId10">
        <w:r>
          <w:rPr>
            <w:rFonts w:eastAsia="等线" w:ascii="Arial" w:cs="Arial" w:hAnsi="Arial"/>
            <w:color w:val="3370ff"/>
            <w:sz w:val="22"/>
          </w:rPr>
          <w:t>05:23</w:t>
        </w:r>
      </w:hyperlink>
      <w:r>
        <w:rPr>
          <w:rFonts w:eastAsia="等线" w:ascii="Arial" w:cs="Arial" w:hAnsi="Arial"/>
          <w:b w:val="true"/>
          <w:sz w:val="22"/>
        </w:rPr>
        <w:t xml:space="preserve">  逻辑思维能力内涵、作用及相关专业应用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逻辑思维能力，指出日常所说的逻辑多为演绎逻辑，它是对事物进行观察、比较、分析、抽象、概括、判断推理，并能有条理表达思维过程的综合能力。逻辑思维能力强的孩子，学文理科及一些与逻辑相关专业如建筑、物理、工程等都会用到该能力。</w:t>
            </w:r>
          </w:p>
        </w:tc>
      </w:tr>
    </w:tbl>
    <w:p>
      <w:pPr>
        <w:spacing w:before="120" w:after="120" w:line="288" w:lineRule="auto"/>
        <w:ind w:left="0"/>
        <w:jc w:val="left"/>
      </w:pPr>
      <w:hyperlink r:id="rId11">
        <w:r>
          <w:rPr>
            <w:rFonts w:eastAsia="等线" w:ascii="Arial" w:cs="Arial" w:hAnsi="Arial"/>
            <w:color w:val="3370ff"/>
            <w:sz w:val="22"/>
          </w:rPr>
          <w:t>06:47</w:t>
        </w:r>
      </w:hyperlink>
      <w:r>
        <w:rPr>
          <w:rFonts w:eastAsia="等线" w:ascii="Arial" w:cs="Arial" w:hAnsi="Arial"/>
          <w:b w:val="true"/>
          <w:sz w:val="22"/>
        </w:rPr>
        <w:t xml:space="preserve">  逻辑思维与推理智力的区别及特点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逻辑思维和推理智力的区别。逻辑思维侧重于中文文字测试，对语言依赖性大，受后天教育影响也大；推理智力用图形检测，不依赖文字，是全球通用的非文字智力检测，更能检验观察和思维能力，不同职业、国家和文化背景的人都适用。最后说话人结束了关于这三个能力的分享。</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16"/>
        </w:numPr>
        <w:spacing w:before="120" w:after="120" w:line="288" w:lineRule="auto"/>
        <w:ind w:left="0"/>
        <w:jc w:val="left"/>
      </w:pPr>
      <w:r>
        <w:rPr>
          <w:rFonts w:eastAsia="等线" w:ascii="Arial" w:cs="Arial" w:hAnsi="Arial"/>
          <w:b w:val="true"/>
          <w:sz w:val="22"/>
        </w:rPr>
        <w:t>课程介绍</w:t>
      </w:r>
      <w:r>
        <w:rPr>
          <w:rFonts w:eastAsia="等线" w:ascii="Arial" w:cs="Arial" w:hAnsi="Arial"/>
          <w:sz w:val="22"/>
        </w:rPr>
        <w:t>：介绍初级课程，关于语言、数学和逻辑思维能力报告解读，该报告不在常规学习力套餐内，适用于深入了解孩子或引流活动。</w:t>
      </w:r>
    </w:p>
    <w:p>
      <w:pPr>
        <w:numPr>
          <w:numId w:val="17"/>
        </w:numPr>
        <w:spacing w:before="120" w:after="120" w:line="288" w:lineRule="auto"/>
        <w:ind w:left="0"/>
        <w:jc w:val="left"/>
      </w:pPr>
      <w:r>
        <w:rPr>
          <w:rFonts w:eastAsia="等线" w:ascii="Arial" w:cs="Arial" w:hAnsi="Arial"/>
          <w:b w:val="true"/>
          <w:sz w:val="22"/>
        </w:rPr>
        <w:t>能力解读</w:t>
      </w:r>
      <w:r>
        <w:rPr>
          <w:rFonts w:eastAsia="等线" w:ascii="Arial" w:cs="Arial" w:hAnsi="Arial"/>
          <w:sz w:val="22"/>
        </w:rPr>
        <w:t>：</w:t>
      </w:r>
    </w:p>
    <w:p>
      <w:pPr>
        <w:numPr>
          <w:numId w:val="18"/>
        </w:numPr>
        <w:spacing w:before="120" w:after="120" w:line="288" w:lineRule="auto"/>
        <w:ind w:left="453"/>
        <w:jc w:val="left"/>
      </w:pPr>
      <w:r>
        <w:rPr>
          <w:rFonts w:eastAsia="等线" w:ascii="Arial" w:cs="Arial" w:hAnsi="Arial"/>
          <w:b w:val="true"/>
          <w:sz w:val="22"/>
        </w:rPr>
        <w:t>语言应用能力</w:t>
      </w:r>
      <w:r>
        <w:rPr>
          <w:rFonts w:eastAsia="等线" w:ascii="Arial" w:cs="Arial" w:hAnsi="Arial"/>
          <w:sz w:val="22"/>
        </w:rPr>
        <w:t>：属于高级认知能力，可后天提升，能力强的孩子在文科学习和相关职业选择有优势。</w:t>
      </w:r>
    </w:p>
    <w:p>
      <w:pPr>
        <w:numPr>
          <w:numId w:val="19"/>
        </w:numPr>
        <w:spacing w:before="120" w:after="120" w:line="288" w:lineRule="auto"/>
        <w:ind w:left="453"/>
        <w:jc w:val="left"/>
      </w:pPr>
      <w:r>
        <w:rPr>
          <w:rFonts w:eastAsia="等线" w:ascii="Arial" w:cs="Arial" w:hAnsi="Arial"/>
          <w:b w:val="true"/>
          <w:sz w:val="22"/>
        </w:rPr>
        <w:t>数学应用能力</w:t>
      </w:r>
      <w:r>
        <w:rPr>
          <w:rFonts w:eastAsia="等线" w:ascii="Arial" w:cs="Arial" w:hAnsi="Arial"/>
          <w:sz w:val="22"/>
        </w:rPr>
        <w:t>：考验将问题简单化和抽象的能力，能力强的孩子在数理学科和相关专业选择有优势。</w:t>
      </w:r>
    </w:p>
    <w:p>
      <w:pPr>
        <w:numPr>
          <w:numId w:val="20"/>
        </w:numPr>
        <w:spacing w:before="120" w:after="120" w:line="288" w:lineRule="auto"/>
        <w:ind w:left="453"/>
        <w:jc w:val="left"/>
      </w:pPr>
      <w:r>
        <w:rPr>
          <w:rFonts w:eastAsia="等线" w:ascii="Arial" w:cs="Arial" w:hAnsi="Arial"/>
          <w:b w:val="true"/>
          <w:sz w:val="22"/>
        </w:rPr>
        <w:t>逻辑思维能力</w:t>
      </w:r>
      <w:r>
        <w:rPr>
          <w:rFonts w:eastAsia="等线" w:ascii="Arial" w:cs="Arial" w:hAnsi="Arial"/>
          <w:sz w:val="22"/>
        </w:rPr>
        <w:t>：是综合逻辑能力，与推理智力有区别，能力强的孩子在文理科和相关专业都有需求。</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「语言应用、数学应用和逻辑思维能力属于高级认知能力，是对个体认知、理解客观事物，并运用知识和经验解决问题的能力，简单来说就是解决问题的能力。」</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清晰定义了本次会议所讨论的三种能力，突出了会议主题核心观点，让读者能快速理解这三种能力的本质。</w:t>
      </w:r>
    </w:p>
    <w:p>
      <w:pPr>
        <w:spacing w:before="120" w:after="120" w:line="288" w:lineRule="auto"/>
        <w:ind w:left="0"/>
        <w:jc w:val="left"/>
      </w:pPr>
    </w:p>
    <w:p>
      <w:pPr>
        <w:spacing w:before="120" w:after="120" w:line="288" w:lineRule="auto"/>
        <w:ind w:left="0"/>
        <w:jc w:val="left"/>
      </w:pPr>
      <w:r>
        <w:rPr>
          <w:rFonts w:eastAsia="等线" w:ascii="Arial" w:cs="Arial" w:hAnsi="Arial"/>
          <w:sz w:val="22"/>
        </w:rPr>
        <w:t>「语言应用、数学应用和逻辑思维这三项能力都可以通过结合后天学习的知识点或技能来提升。」</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给出了提升三种能力的方法，具有建设性，能引发思考，对于关注孩子能力提升的人有重要启示。</w:t>
      </w:r>
    </w:p>
    <w:p>
      <w:pPr>
        <w:spacing w:before="120" w:after="120" w:line="288" w:lineRule="auto"/>
        <w:ind w:left="0"/>
        <w:jc w:val="left"/>
      </w:pPr>
    </w:p>
    <w:p>
      <w:pPr>
        <w:spacing w:before="120" w:after="120" w:line="288" w:lineRule="auto"/>
        <w:ind w:left="0"/>
        <w:jc w:val="left"/>
      </w:pPr>
      <w:r>
        <w:rPr>
          <w:rFonts w:eastAsia="等线" w:ascii="Arial" w:cs="Arial" w:hAnsi="Arial"/>
          <w:sz w:val="22"/>
        </w:rPr>
        <w:t>「逻辑思维能力与文字相关，对语言依赖性较大，受后天教育影响也较大；而推理智力用图形检测，不依赖文字，更加全球通用，能检验人的观察和思维能力，这是它们的核心区别。」</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明确区分了容易混淆的逻辑思维能力和推理智力，包含独特洞察，能帮助读者清晰理解二者的差异。</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21"/>
        </w:numPr>
        <w:spacing w:before="120" w:after="120" w:line="288" w:lineRule="auto"/>
        <w:ind w:left="0"/>
        <w:jc w:val="left"/>
      </w:pPr>
      <w:r>
        <w:rPr>
          <w:rFonts w:eastAsia="等线" w:ascii="Arial" w:cs="Arial" w:hAnsi="Arial"/>
          <w:sz w:val="22"/>
        </w:rPr>
        <w:t>妙记：</w:t>
      </w:r>
      <w:hyperlink r:id="rId12">
        <w:r>
          <w:rPr>
            <w:rFonts w:eastAsia="等线" w:ascii="Arial" w:cs="Arial" w:hAnsi="Arial"/>
            <w:color w:val="3370ff"/>
            <w:sz w:val="22"/>
          </w:rPr>
          <w:t>8.如何读懂学习能力之数学&amp;语言应用能力、逻辑思维能力诊断（中学）</w:t>
        </w:r>
      </w:hyperlink>
    </w:p>
    <w:p>
      <w:pPr>
        <w:numPr>
          <w:numId w:val="22"/>
        </w:numPr>
        <w:spacing w:before="120" w:after="120" w:line="288" w:lineRule="auto"/>
        <w:ind w:left="0"/>
        <w:jc w:val="left"/>
      </w:pPr>
      <w:r>
        <w:rPr>
          <w:rFonts w:eastAsia="等线" w:ascii="Arial" w:cs="Arial" w:hAnsi="Arial"/>
          <w:sz w:val="22"/>
        </w:rPr>
        <w:t>文字记录</w:t>
      </w:r>
    </w:p>
    <w:p>
      <w:pPr>
        <w:numPr>
          <w:numId w:val="23"/>
        </w:numPr>
        <w:spacing w:before="120" w:after="120" w:line="288" w:lineRule="auto"/>
        <w:ind w:left="453"/>
        <w:jc w:val="left"/>
      </w:pPr>
      <w:hyperlink r:id="rId13">
        <w:r>
          <w:rPr>
            <w:rFonts w:eastAsia="等线" w:ascii="Arial" w:cs="Arial" w:hAnsi="Arial"/>
            <w:color w:val="3370ff"/>
            <w:sz w:val="22"/>
          </w:rPr>
          <w:t>8.如何读懂学习能力之数学&amp;语言应用能力、逻辑思维能力诊断（中学） 2026年1月22日</w:t>
        </w:r>
      </w:hyperlink>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16485">
    <w:lvl>
      <w:numFmt w:val="bullet"/>
      <w:suff w:val="tab"/>
      <w:lvlText w:val="•"/>
      <w:rPr>
        <w:color w:val="3370ff"/>
      </w:rPr>
    </w:lvl>
  </w:abstractNum>
  <w:abstractNum w:abstractNumId="1116486">
    <w:lvl>
      <w:numFmt w:val="bullet"/>
      <w:suff w:val="tab"/>
      <w:lvlText w:val="￮"/>
      <w:rPr>
        <w:color w:val="3370ff"/>
      </w:rPr>
    </w:lvl>
  </w:abstractNum>
  <w:abstractNum w:abstractNumId="1116487">
    <w:lvl>
      <w:numFmt w:val="bullet"/>
      <w:suff w:val="tab"/>
      <w:lvlText w:val="￮"/>
      <w:rPr>
        <w:color w:val="3370ff"/>
      </w:rPr>
    </w:lvl>
  </w:abstractNum>
  <w:abstractNum w:abstractNumId="1116488">
    <w:lvl>
      <w:numFmt w:val="bullet"/>
      <w:suff w:val="tab"/>
      <w:lvlText w:val="￮"/>
      <w:rPr>
        <w:color w:val="3370ff"/>
      </w:rPr>
    </w:lvl>
  </w:abstractNum>
  <w:abstractNum w:abstractNumId="1116489">
    <w:lvl>
      <w:numFmt w:val="bullet"/>
      <w:suff w:val="tab"/>
      <w:lvlText w:val="•"/>
      <w:rPr>
        <w:color w:val="3370ff"/>
      </w:rPr>
    </w:lvl>
  </w:abstractNum>
  <w:abstractNum w:abstractNumId="1116490">
    <w:lvl>
      <w:numFmt w:val="bullet"/>
      <w:suff w:val="tab"/>
      <w:lvlText w:val="•"/>
      <w:rPr>
        <w:color w:val="3370ff"/>
      </w:rPr>
    </w:lvl>
  </w:abstractNum>
  <w:abstractNum w:abstractNumId="1116491">
    <w:lvl>
      <w:numFmt w:val="bullet"/>
      <w:suff w:val="tab"/>
      <w:lvlText w:val="￮"/>
      <w:rPr>
        <w:color w:val="3370ff"/>
      </w:rPr>
    </w:lvl>
  </w:abstractNum>
  <w:abstractNum w:abstractNumId="1116492">
    <w:lvl>
      <w:numFmt w:val="bullet"/>
      <w:suff w:val="tab"/>
      <w:lvlText w:val="￮"/>
      <w:rPr>
        <w:color w:val="3370ff"/>
      </w:rPr>
    </w:lvl>
  </w:abstractNum>
  <w:abstractNum w:abstractNumId="1116493">
    <w:lvl>
      <w:numFmt w:val="bullet"/>
      <w:suff w:val="tab"/>
      <w:lvlText w:val="￮"/>
      <w:rPr>
        <w:color w:val="3370ff"/>
      </w:rPr>
    </w:lvl>
  </w:abstractNum>
  <w:abstractNum w:abstractNumId="1116494">
    <w:lvl>
      <w:numFmt w:val="bullet"/>
      <w:suff w:val="tab"/>
      <w:lvlText w:val="▪"/>
      <w:rPr>
        <w:color w:val="3370ff"/>
        <w:sz w:val="11"/>
      </w:rPr>
    </w:lvl>
  </w:abstractNum>
  <w:abstractNum w:abstractNumId="1116495">
    <w:lvl>
      <w:numFmt w:val="bullet"/>
      <w:suff w:val="tab"/>
      <w:lvlText w:val="▪"/>
      <w:rPr>
        <w:color w:val="3370ff"/>
        <w:sz w:val="11"/>
      </w:rPr>
    </w:lvl>
  </w:abstractNum>
  <w:abstractNum w:abstractNumId="1116496">
    <w:lvl>
      <w:numFmt w:val="bullet"/>
      <w:suff w:val="tab"/>
      <w:lvlText w:val="￮"/>
      <w:rPr>
        <w:color w:val="3370ff"/>
      </w:rPr>
    </w:lvl>
  </w:abstractNum>
  <w:abstractNum w:abstractNumId="1116497">
    <w:lvl>
      <w:numFmt w:val="bullet"/>
      <w:suff w:val="tab"/>
      <w:lvlText w:val="▪"/>
      <w:rPr>
        <w:color w:val="3370ff"/>
        <w:sz w:val="11"/>
      </w:rPr>
    </w:lvl>
  </w:abstractNum>
  <w:abstractNum w:abstractNumId="1116498">
    <w:lvl>
      <w:numFmt w:val="bullet"/>
      <w:suff w:val="tab"/>
      <w:lvlText w:val="▪"/>
      <w:rPr>
        <w:color w:val="3370ff"/>
        <w:sz w:val="11"/>
      </w:rPr>
    </w:lvl>
  </w:abstractNum>
  <w:abstractNum w:abstractNumId="1116499">
    <w:lvl>
      <w:numFmt w:val="bullet"/>
      <w:suff w:val="tab"/>
      <w:lvlText w:val="▪"/>
      <w:rPr>
        <w:color w:val="3370ff"/>
        <w:sz w:val="11"/>
      </w:rPr>
    </w:lvl>
  </w:abstractNum>
  <w:abstractNum w:abstractNumId="1116500">
    <w:lvl>
      <w:numFmt w:val="bullet"/>
      <w:suff w:val="tab"/>
      <w:lvlText w:val="•"/>
      <w:rPr>
        <w:color w:val="3370ff"/>
      </w:rPr>
    </w:lvl>
  </w:abstractNum>
  <w:abstractNum w:abstractNumId="1116501">
    <w:lvl>
      <w:numFmt w:val="bullet"/>
      <w:suff w:val="tab"/>
      <w:lvlText w:val="•"/>
      <w:rPr>
        <w:color w:val="3370ff"/>
      </w:rPr>
    </w:lvl>
  </w:abstractNum>
  <w:abstractNum w:abstractNumId="1116502">
    <w:lvl>
      <w:numFmt w:val="bullet"/>
      <w:suff w:val="tab"/>
      <w:lvlText w:val="￮"/>
      <w:rPr>
        <w:color w:val="3370ff"/>
      </w:rPr>
    </w:lvl>
  </w:abstractNum>
  <w:abstractNum w:abstractNumId="1116503">
    <w:lvl>
      <w:numFmt w:val="bullet"/>
      <w:suff w:val="tab"/>
      <w:lvlText w:val="￮"/>
      <w:rPr>
        <w:color w:val="3370ff"/>
      </w:rPr>
    </w:lvl>
  </w:abstractNum>
  <w:abstractNum w:abstractNumId="1116504">
    <w:lvl>
      <w:numFmt w:val="bullet"/>
      <w:suff w:val="tab"/>
      <w:lvlText w:val="￮"/>
      <w:rPr>
        <w:color w:val="3370ff"/>
      </w:rPr>
    </w:lvl>
  </w:abstractNum>
  <w:abstractNum w:abstractNumId="1116505">
    <w:lvl>
      <w:numFmt w:val="bullet"/>
      <w:suff w:val="tab"/>
      <w:lvlText w:val="•"/>
      <w:rPr>
        <w:color w:val="3370ff"/>
      </w:rPr>
    </w:lvl>
  </w:abstractNum>
  <w:abstractNum w:abstractNumId="1116506">
    <w:lvl>
      <w:numFmt w:val="bullet"/>
      <w:suff w:val="tab"/>
      <w:lvlText w:val="•"/>
      <w:rPr>
        <w:color w:val="3370ff"/>
      </w:rPr>
    </w:lvl>
  </w:abstractNum>
  <w:abstractNum w:abstractNumId="1116507">
    <w:lvl>
      <w:numFmt w:val="bullet"/>
      <w:suff w:val="tab"/>
      <w:lvlText w:val="￮"/>
      <w:rPr>
        <w:color w:val="3370ff"/>
      </w:rPr>
    </w:lvl>
  </w:abstractNum>
  <w:num w:numId="1">
    <w:abstractNumId w:val="1116485"/>
  </w:num>
  <w:num w:numId="2">
    <w:abstractNumId w:val="1116486"/>
  </w:num>
  <w:num w:numId="3">
    <w:abstractNumId w:val="1116487"/>
  </w:num>
  <w:num w:numId="4">
    <w:abstractNumId w:val="1116488"/>
  </w:num>
  <w:num w:numId="5">
    <w:abstractNumId w:val="1116489"/>
  </w:num>
  <w:num w:numId="6">
    <w:abstractNumId w:val="1116490"/>
  </w:num>
  <w:num w:numId="7">
    <w:abstractNumId w:val="1116491"/>
  </w:num>
  <w:num w:numId="8">
    <w:abstractNumId w:val="1116492"/>
  </w:num>
  <w:num w:numId="9">
    <w:abstractNumId w:val="1116493"/>
  </w:num>
  <w:num w:numId="10">
    <w:abstractNumId w:val="1116494"/>
  </w:num>
  <w:num w:numId="11">
    <w:abstractNumId w:val="1116495"/>
  </w:num>
  <w:num w:numId="12">
    <w:abstractNumId w:val="1116496"/>
  </w:num>
  <w:num w:numId="13">
    <w:abstractNumId w:val="1116497"/>
  </w:num>
  <w:num w:numId="14">
    <w:abstractNumId w:val="1116498"/>
  </w:num>
  <w:num w:numId="15">
    <w:abstractNumId w:val="1116499"/>
  </w:num>
  <w:num w:numId="16">
    <w:abstractNumId w:val="1116500"/>
  </w:num>
  <w:num w:numId="17">
    <w:abstractNumId w:val="1116501"/>
  </w:num>
  <w:num w:numId="18">
    <w:abstractNumId w:val="1116502"/>
  </w:num>
  <w:num w:numId="19">
    <w:abstractNumId w:val="1116503"/>
  </w:num>
  <w:num w:numId="20">
    <w:abstractNumId w:val="1116504"/>
  </w:num>
  <w:num w:numId="21">
    <w:abstractNumId w:val="1116505"/>
  </w:num>
  <w:num w:numId="22">
    <w:abstractNumId w:val="1116506"/>
  </w:num>
  <w:num w:numId="23">
    <w:abstractNumId w:val="111650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nn37hew7553924443r9?t=323000" TargetMode="External" Type="http://schemas.openxmlformats.org/officeDocument/2006/relationships/hyperlink"/><Relationship Id="rId11" Target="https://hcnytq72r1ge.feishu.cn/minutes/obcnfnn37hew7553924443r9?t=407000" TargetMode="External" Type="http://schemas.openxmlformats.org/officeDocument/2006/relationships/hyperlink"/><Relationship Id="rId12" Target="https://hcnytq72r1ge.feishu.cn/minutes/obcnfnn37hew7553924443r9?from=ai_minutes" TargetMode="External" Type="http://schemas.openxmlformats.org/officeDocument/2006/relationships/hyperlink"/><Relationship Id="rId13" Target="https://hcnytq72r1ge.feishu.cn/docx/LT6mdUC02oFRWAxtRoScNMxEnRb"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hcnytq72r1ge.feishu.cn/minutes/obcnfnn37hew7553924443r9?t=5000" TargetMode="External" Type="http://schemas.openxmlformats.org/officeDocument/2006/relationships/hyperlink"/><Relationship Id="rId8" Target="https://hcnytq72r1ge.feishu.cn/minutes/obcnfnn37hew7553924443r9?t=195000" TargetMode="External" Type="http://schemas.openxmlformats.org/officeDocument/2006/relationships/hyperlink"/><Relationship Id="rId9" Target="https://hcnytq72r1ge.feishu.cn/minutes/obcnfnn37hew7553924443r9?t=252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2026-01-26T03:11:12Z</dcterms:created>
  <dc:creator>Apache POI</dc:creator>
</cp:coreProperties>
</file>