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智能纪要：11、百万年薪or顶尖学者，怎么选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会议主题：11、百万年薪or顶尖学者，怎么选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本次会议说话人1通过分享李蔚20多年前在宝洁 offer 和中科院读博机会间的选择案例，探讨职业选择的原则和考量因素，以及时代变迁对职业选择观念的影响，内容如下：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李蔚的职业选择案例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选择背景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校招竞争：1999 年宝洁校招竞争激烈，说话人所在学校 5000 人报名仅招几人，月薪 5000 元起，加上福利年薪可达 20 万，远高于当时说话人所在光电系同学的毕业薪资。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个人情况：李蔚是南京大学物理系学生，从几千人中脱颖而出拿到宝洁 offer，同时也通过中科院读博复试，面临两个选择。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社会舆论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一面倒支持读博：媒体曝光后，社会舆论一面倒认为李蔚应去读博，认为他作为高科技人才应为祖国发展做贡献，甚至有董事长公开表态愿出钱让他读博。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时代背景影响：当时国家科技实力弱，博士稀有，社会更看重高知人才投身学术，如今国家不那么缺高端人才，若重来社会声音可能不同。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李蔚的现状与想法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学术成就：李蔚最终选择去中科院读博，博士研究基因检测，毕业后先去华大基因工作，后去哈佛大学读博后，现在美国一所医学院做教授，有独立实验室，两年前发表过 nature 文章。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心想法：李蔚表示不后悔当年选择，若重来仍会选读博，但原因保密。他内心喜欢从商，实习后更确定，虽不喜欢读博但不后悔，认为这只是人生中间点，他正将科研成果转化为知识产权，并已成立臻医医疗公司进行产业化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28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李蔚职业发展路径（1999年至今）</w:t>
        <w:br/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职业选择的思考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选择原则因人而异</w:t>
      </w:r>
      <w:r>
        <w:rPr>
          <w:rFonts w:eastAsia="等线" w:ascii="Arial" w:cs="Arial" w:hAnsi="Arial"/>
          <w:sz w:val="22"/>
        </w:rPr>
        <w:t>：说话人1提出做选择没有绝对对错，每个人的考量因子不同。李蔚认为从商能点燃他的激情，这是他对就业好的定义。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金钱与成就感</w:t>
      </w:r>
      <w:r>
        <w:rPr>
          <w:rFonts w:eastAsia="等线" w:ascii="Arial" w:cs="Arial" w:hAnsi="Arial"/>
          <w:sz w:val="22"/>
        </w:rPr>
        <w:t>：社会上有人对金钱有占有欲但无消费欲，用钱促成事业成就感，而有人购物能带来快乐，体现了不同人对金钱和幸福的理解。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1999 年李蔚求职抉择引发社会声音变迁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1999年校招时知道的李蔚的故事。当时宝洁校招薪资高，竞争激烈，李蔚脱颖而出拿到offer，同时他也通过中科院读博复试。面临选择时，他与父母想法冲突，此事被媒体报道。当时社会一面倒认为他应去读博，如今国家不那么缺高端人才，若重来声音会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03:31</w:t>
        </w:r>
      </w:hyperlink>
      <w:r>
        <w:rPr>
          <w:rFonts w:eastAsia="等线" w:ascii="Arial" w:cs="Arial" w:hAnsi="Arial"/>
          <w:b w:val="true"/>
          <w:sz w:val="22"/>
        </w:rPr>
        <w:t xml:space="preserve">  24年后重联旧人，聊当年选择与商业梦想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述说话人1在2年前联系到24年前事件相关的她。当时她已成为美国医学院教授、顶尖科学家，二人加微信聊了一个多小时。她表示不后悔当年去中科院读博的选择，虽当时被迫且内心想走商业路，但认为这只是人生中间点，现在在科研同时也将成果转化，还成立臻医医疗公司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07:12</w:t>
        </w:r>
      </w:hyperlink>
      <w:r>
        <w:rPr>
          <w:rFonts w:eastAsia="等线" w:ascii="Arial" w:cs="Arial" w:hAnsi="Arial"/>
          <w:b w:val="true"/>
          <w:sz w:val="22"/>
        </w:rPr>
        <w:t xml:space="preserve">  就业选择考量因子及个人职业密码差异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某首席科学家创业为例，引出在金钱和社会责任面前如何选择的话题，探讨做选择的原则。还提到就业目的及对就业好的定义，有人从商是激情使然，对金钱的态度也因人而异，有人用其体现事业成就感，有人为购物开心。强调每个人选择职业时考量因子不同，黄金密码也不一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分享故事</w:t>
      </w:r>
      <w:r>
        <w:rPr>
          <w:rFonts w:eastAsia="等线" w:ascii="Arial" w:cs="Arial" w:hAnsi="Arial"/>
          <w:sz w:val="22"/>
        </w:rPr>
        <w:t>：说话人 1 分享了 1999 年李蔚面临进入宝洁工作和去中科院读博两个选择的故事，当时社会舆论一面倒支持读博。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后续情况</w:t>
      </w:r>
      <w:r>
        <w:rPr>
          <w:rFonts w:eastAsia="等线" w:ascii="Arial" w:cs="Arial" w:hAnsi="Arial"/>
          <w:sz w:val="22"/>
        </w:rPr>
        <w:t>：20 多年后说话人 1 联系上李蔚，李蔚表示不后悔当年读博的选择，虽不喜欢但这只是人生中间点，他仍在向商业梦想靠近，还成立了公司。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引发思考</w:t>
      </w:r>
      <w:r>
        <w:rPr>
          <w:rFonts w:eastAsia="等线" w:ascii="Arial" w:cs="Arial" w:hAnsi="Arial"/>
          <w:sz w:val="22"/>
        </w:rPr>
        <w:t>：说话人 1 由此引发关于选择原则、就业目的，以及不同人职业选择考量因子不同的思考。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「如果人生可以重来一次，我还是会选择去中科院读博，但选择读博的原因并非他人所想，而是另有隐情。」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体现了李蔚对于过去选择的坚定，引发对人生选择背后复杂原因的思考。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「虽然当年我并不喜欢做这个选择，是被迫的，但这个选择只是我人生众多选择的一个中间点，并不是终点，我还有无数的机会向我的商业梦想靠近。」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传达出积极的人生态度，告诉人们不应被一次选择束缚，要积极追求梦想。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「从商能够让他的激情被点燃，这对于就业而言很重要。」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强调了就业中激情的重要性，为人们思考职业选择提供了关键观点。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11、百万年薪or顶尖学者，怎么选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11、百万年薪or顶尖学者，怎么选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2354">
    <w:lvl>
      <w:numFmt w:val="bullet"/>
      <w:suff w:val="tab"/>
      <w:lvlText w:val="•"/>
      <w:rPr>
        <w:color w:val="3370ff"/>
      </w:rPr>
    </w:lvl>
  </w:abstractNum>
  <w:abstractNum w:abstractNumId="352355">
    <w:lvl>
      <w:numFmt w:val="bullet"/>
      <w:suff w:val="tab"/>
      <w:lvlText w:val="￮"/>
      <w:rPr>
        <w:color w:val="3370ff"/>
      </w:rPr>
    </w:lvl>
  </w:abstractNum>
  <w:abstractNum w:abstractNumId="352356">
    <w:lvl>
      <w:numFmt w:val="bullet"/>
      <w:suff w:val="tab"/>
      <w:lvlText w:val="▪"/>
      <w:rPr>
        <w:color w:val="3370ff"/>
        <w:sz w:val="11"/>
      </w:rPr>
    </w:lvl>
  </w:abstractNum>
  <w:abstractNum w:abstractNumId="352357">
    <w:lvl>
      <w:numFmt w:val="bullet"/>
      <w:suff w:val="tab"/>
      <w:lvlText w:val="▪"/>
      <w:rPr>
        <w:color w:val="3370ff"/>
        <w:sz w:val="11"/>
      </w:rPr>
    </w:lvl>
  </w:abstractNum>
  <w:abstractNum w:abstractNumId="352358">
    <w:lvl>
      <w:numFmt w:val="bullet"/>
      <w:suff w:val="tab"/>
      <w:lvlText w:val="￮"/>
      <w:rPr>
        <w:color w:val="3370ff"/>
      </w:rPr>
    </w:lvl>
  </w:abstractNum>
  <w:abstractNum w:abstractNumId="352359">
    <w:lvl>
      <w:numFmt w:val="bullet"/>
      <w:suff w:val="tab"/>
      <w:lvlText w:val="▪"/>
      <w:rPr>
        <w:color w:val="3370ff"/>
        <w:sz w:val="11"/>
      </w:rPr>
    </w:lvl>
  </w:abstractNum>
  <w:abstractNum w:abstractNumId="352360">
    <w:lvl>
      <w:numFmt w:val="bullet"/>
      <w:suff w:val="tab"/>
      <w:lvlText w:val="▪"/>
      <w:rPr>
        <w:color w:val="3370ff"/>
        <w:sz w:val="11"/>
      </w:rPr>
    </w:lvl>
  </w:abstractNum>
  <w:abstractNum w:abstractNumId="352361">
    <w:lvl>
      <w:numFmt w:val="bullet"/>
      <w:suff w:val="tab"/>
      <w:lvlText w:val="￮"/>
      <w:rPr>
        <w:color w:val="3370ff"/>
      </w:rPr>
    </w:lvl>
  </w:abstractNum>
  <w:abstractNum w:abstractNumId="352362">
    <w:lvl>
      <w:numFmt w:val="bullet"/>
      <w:suff w:val="tab"/>
      <w:lvlText w:val="▪"/>
      <w:rPr>
        <w:color w:val="3370ff"/>
        <w:sz w:val="11"/>
      </w:rPr>
    </w:lvl>
  </w:abstractNum>
  <w:abstractNum w:abstractNumId="352363">
    <w:lvl>
      <w:numFmt w:val="bullet"/>
      <w:suff w:val="tab"/>
      <w:lvlText w:val="▪"/>
      <w:rPr>
        <w:color w:val="3370ff"/>
        <w:sz w:val="11"/>
      </w:rPr>
    </w:lvl>
  </w:abstractNum>
  <w:abstractNum w:abstractNumId="352364">
    <w:lvl>
      <w:numFmt w:val="bullet"/>
      <w:suff w:val="tab"/>
      <w:lvlText w:val="•"/>
      <w:rPr>
        <w:color w:val="3370ff"/>
      </w:rPr>
    </w:lvl>
  </w:abstractNum>
  <w:abstractNum w:abstractNumId="352365">
    <w:lvl>
      <w:numFmt w:val="bullet"/>
      <w:suff w:val="tab"/>
      <w:lvlText w:val="￮"/>
      <w:rPr>
        <w:color w:val="3370ff"/>
      </w:rPr>
    </w:lvl>
  </w:abstractNum>
  <w:abstractNum w:abstractNumId="352366">
    <w:lvl>
      <w:numFmt w:val="bullet"/>
      <w:suff w:val="tab"/>
      <w:lvlText w:val="￮"/>
      <w:rPr>
        <w:color w:val="3370ff"/>
      </w:rPr>
    </w:lvl>
  </w:abstractNum>
  <w:abstractNum w:abstractNumId="352367">
    <w:lvl>
      <w:numFmt w:val="bullet"/>
      <w:suff w:val="tab"/>
      <w:lvlText w:val="•"/>
      <w:rPr>
        <w:color w:val="3370ff"/>
      </w:rPr>
    </w:lvl>
  </w:abstractNum>
  <w:abstractNum w:abstractNumId="352368">
    <w:lvl>
      <w:numFmt w:val="bullet"/>
      <w:suff w:val="tab"/>
      <w:lvlText w:val="•"/>
      <w:rPr>
        <w:color w:val="3370ff"/>
      </w:rPr>
    </w:lvl>
  </w:abstractNum>
  <w:abstractNum w:abstractNumId="352369">
    <w:lvl>
      <w:numFmt w:val="bullet"/>
      <w:suff w:val="tab"/>
      <w:lvlText w:val="•"/>
      <w:rPr>
        <w:color w:val="3370ff"/>
      </w:rPr>
    </w:lvl>
  </w:abstractNum>
  <w:abstractNum w:abstractNumId="352370">
    <w:lvl>
      <w:numFmt w:val="bullet"/>
      <w:suff w:val="tab"/>
      <w:lvlText w:val="•"/>
      <w:rPr>
        <w:color w:val="3370ff"/>
      </w:rPr>
    </w:lvl>
  </w:abstractNum>
  <w:abstractNum w:abstractNumId="352371">
    <w:lvl>
      <w:numFmt w:val="bullet"/>
      <w:suff w:val="tab"/>
      <w:lvlText w:val="•"/>
      <w:rPr>
        <w:color w:val="3370ff"/>
      </w:rPr>
    </w:lvl>
  </w:abstractNum>
  <w:abstractNum w:abstractNumId="352372">
    <w:lvl>
      <w:numFmt w:val="bullet"/>
      <w:suff w:val="tab"/>
      <w:lvlText w:val="￮"/>
      <w:rPr>
        <w:color w:val="3370ff"/>
      </w:rPr>
    </w:lvl>
  </w:abstractNum>
  <w:num w:numId="1">
    <w:abstractNumId w:val="352354"/>
  </w:num>
  <w:num w:numId="2">
    <w:abstractNumId w:val="352355"/>
  </w:num>
  <w:num w:numId="3">
    <w:abstractNumId w:val="352356"/>
  </w:num>
  <w:num w:numId="4">
    <w:abstractNumId w:val="352357"/>
  </w:num>
  <w:num w:numId="5">
    <w:abstractNumId w:val="352358"/>
  </w:num>
  <w:num w:numId="6">
    <w:abstractNumId w:val="352359"/>
  </w:num>
  <w:num w:numId="7">
    <w:abstractNumId w:val="352360"/>
  </w:num>
  <w:num w:numId="8">
    <w:abstractNumId w:val="352361"/>
  </w:num>
  <w:num w:numId="9">
    <w:abstractNumId w:val="352362"/>
  </w:num>
  <w:num w:numId="10">
    <w:abstractNumId w:val="352363"/>
  </w:num>
  <w:num w:numId="11">
    <w:abstractNumId w:val="352364"/>
  </w:num>
  <w:num w:numId="12">
    <w:abstractNumId w:val="352365"/>
  </w:num>
  <w:num w:numId="13">
    <w:abstractNumId w:val="352366"/>
  </w:num>
  <w:num w:numId="14">
    <w:abstractNumId w:val="352367"/>
  </w:num>
  <w:num w:numId="15">
    <w:abstractNumId w:val="352368"/>
  </w:num>
  <w:num w:numId="16">
    <w:abstractNumId w:val="352369"/>
  </w:num>
  <w:num w:numId="17">
    <w:abstractNumId w:val="352370"/>
  </w:num>
  <w:num w:numId="18">
    <w:abstractNumId w:val="352371"/>
  </w:num>
  <w:num w:numId="19">
    <w:abstractNumId w:val="352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49l2km9l4fzblkl8ev?from=ai_minutes" TargetMode="External" Type="http://schemas.openxmlformats.org/officeDocument/2006/relationships/hyperlink"/><Relationship Id="rId11" Target="https://hcnytq72r1ge.feishu.cn/docx/V4DSdUYFnoD2Q9xfda8chYghntc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49l2km9l4fzblkl8ev?t=2000" TargetMode="External" Type="http://schemas.openxmlformats.org/officeDocument/2006/relationships/hyperlink"/><Relationship Id="rId8" Target="https://hcnytq72r1ge.feishu.cn/minutes/obcnfo49l2km9l4fzblkl8ev?t=211000" TargetMode="External" Type="http://schemas.openxmlformats.org/officeDocument/2006/relationships/hyperlink"/><Relationship Id="rId9" Target="https://hcnytq72r1ge.feishu.cn/minutes/obcnfo49l2km9l4fzblkl8ev?t=43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2026-01-26T08:23:17Z</dcterms:created>
  <dc:creator>Apache POI</dc:creator>
</cp:coreProperties>
</file>