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智能纪要：13、C：性格适合—DISC诊断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会议主题：13、C：性格适合—DISC诊断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本次会议围绕职业密码破译中性格测评的 MBTI 和 DISC 展开，介绍了二者区别、DISC 因子含义及测评特点等内容如下：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MBTI 与 DISC 的区别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本质差异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MBTI 反映内心想法：说话人 1 指出 MBTI 量表虽受质疑，但能传承是因其可解释一些东西。它更多反映个人内心认为自己是怎样的人，例如有人内心排斥与人交流觉得自己内向，但表现上很健谈，MBTI 就会体现为内向，属于“听其言”。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DISC 体现行为模式：DISC 是人的大脑本能反应，是与周围环境达到平衡后的个人行为模式，属于“观其行”。二者在身体反应层做出的反应不同，可能出现表里不一的情况，这是正常的。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实际应用场景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职业测评用 DISC：在职业测评中，一般用 DISC 判定一个人的行为模式，因为工作中更在意其与同事共事时的行为表现，内心内向但行为外向也能达成工作结果。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咨询用 MBTI：当学生等寻求咨询，表达内心痛苦时，用 MBTI 能了解其内心想法。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745"/>
        <w:gridCol w:w="6706"/>
        <w:gridCol w:w="828"/>
      </w:tblGrid>
      <w:tr>
        <w:tc>
          <w:tcPr>
            <w:tcW w:w="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0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105275" cy="12763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MBTI与DISC性格测评对比</w:t>
              <w:br/>
            </w:r>
          </w:p>
        </w:tc>
        <w:tc>
          <w:tcPr>
            <w:tcW w:w="82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测评介绍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DISC 因子含义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D（Dominance）掌控欲：代表掌控欲，追求按照自己的想法来，关注结果，如测评报告中老虎头对应的类型。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I（Influence）影响力：更好的表达是影响力或表达欲，追求人际，关注人，在意周围人对自己的看法及自身对周围人的影响力，如毛泽东虽影响力大但不一定喜欢社交。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S（Steady）稳健：这类人喜欢周围人事稳定、按部就班，状态温和，如肖老师就很温和内敛，能包容他人，但过度欺负也会有过激反应。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C（Compliance）服从：服从周围秩序，希望制度和秩序有良好保障，不希望发生冲突，善于分析，追求事务的逻辑性和精准性，不喜欢不讲道理的行为。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DISC 四象限理解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两大维度划分：通过关注事还是人、主动还是被动两个维度，将人的类型分为四个象限，对应不同的 DISC 类型。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高位与低位：DISC 有高位和低位之分，高位因素代表相对突出的因子，低位则相反，其表达意思可按字面理解。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7810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DISC四象限类型划分及特点</w:t>
              <w:br/>
            </w:r>
          </w:p>
        </w:tc>
      </w:tr>
    </w:tbl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DISC 测评特点</w:t>
      </w:r>
      <w:r>
        <w:rPr>
          <w:rFonts w:eastAsia="等线" w:ascii="Arial" w:cs="Arial" w:hAnsi="Arial"/>
          <w:sz w:val="22"/>
        </w:rPr>
        <w:t>：DISC 测评有专业版和非专业版，大家做的专业版有 24 道题，答案难以猜测，是受迫性选项，准确性和可信度高，主观成分相对较少。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MBTI与DISC差异及职业测评应用解析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本章节围绕破译职业密码中认知性格展开，介绍社会学经典模型 p 等于 i 乘以 e 说明内在与外在性格可不同。对比 MBTI 和 DISC 测评，指出 MBTI 是听其言反映内心想法，DISC 是观其行体现行为模式。在职业测评中常用 DISC 判断行为模式，咨询时用 MBTI 了解内心，二者用法不冲突都可测。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04:08</w:t>
        </w:r>
      </w:hyperlink>
      <w:r>
        <w:rPr>
          <w:rFonts w:eastAsia="等线" w:ascii="Arial" w:cs="Arial" w:hAnsi="Arial"/>
          <w:b w:val="true"/>
          <w:sz w:val="22"/>
        </w:rPr>
        <w:t xml:space="preserve">  DISC测评来源、四大因子含义介绍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DISC测评的来源，它由威廉马斯顿博士所做，研究的是由内而外的人类正常情绪反应，共分四大因子。D代表dominance，即掌控欲；I代表influence，是影响力或表达欲；S是steady，指喜欢稳定、按部就班；C为compliance，指服从周围秩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05:40</w:t>
        </w:r>
      </w:hyperlink>
      <w:r>
        <w:rPr>
          <w:rFonts w:eastAsia="等线" w:ascii="Arial" w:cs="Arial" w:hAnsi="Arial"/>
          <w:b w:val="true"/>
          <w:sz w:val="22"/>
        </w:rPr>
        <w:t xml:space="preserve">  DISC四因子含义、特点及高低位情况介绍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DISC的四个因子，其基于关注事或人、主动或被动两大维度划分出四象限。D（老虎）主动关注结果，I（孔雀）主动关注人；D负向不追求支配力较被动；S关注人且被动，追求稳定；C追求制度秩序，讲究逻辑性精准性。还提到测评图表有高低位因子，测评是为让人直白了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09:50</w:t>
        </w:r>
      </w:hyperlink>
      <w:r>
        <w:rPr>
          <w:rFonts w:eastAsia="等线" w:ascii="Arial" w:cs="Arial" w:hAnsi="Arial"/>
          <w:b w:val="true"/>
          <w:sz w:val="22"/>
        </w:rPr>
        <w:t xml:space="preserve">  专业版DISC测评特点及高准确性优势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DISC测评，有专业版和非专业版，大家做的是专业版。该专业版测评有24道题，答题时猜不到答案，属于受迫性选项。其准确性和可信度高，测出来的结果相对而言较少带有主观成分，强调了这种测评方式的客观性和可靠性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：在职业测评中一般使用 DISC 判定人的行为模式，与人咨询时使用 MBTI 了解内心想法。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：MBTI 和 DISC 在职业测评和咨询场景中如何选择使用。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 MBTI 更多反映内心想法，虽有人质疑其不专业，但能传承久是因可解释一些东西；DISC 是大脑本能反应和行为模式表现。在职业测评中用 DISC，因其反映外在表现和与环境相处方式；与人咨询时用 MBTI，可了解内心想法。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：工作中更关注与同事协作的行为模式，咨询时需了解咨询者内心痛苦的想法。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「MBTI 是听其言，反映内心想法；DISC 是观其行，是大脑本能反应到行为上的表现，是与周围环境达到平衡后的个人行为模式。」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清晰地阐述了 MBTI 和 DISC 的本质区别，有助于参会者理解这两种测评工具的不同侧重点。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「在职业测评里面，我们一般还是会用 DISC 来去判定一个人的行为模式；与人咨询时，用 MBTI 能知道对方的内心想法。」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 MBTI 和 DISC 在不同场景下的应用，对实际工作和咨询具有指导意义。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「D 类型的人主动且关注结果，追求按照自己的想法来，而不是跟随别人的想法。」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简洁准确地概括了 DISC 测评中 D 类型人的特点，便于理解和区分不同类型。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13、C：性格适合—DISC诊断</w:t>
        </w:r>
      </w:hyperlink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13、C：性格适合—DISC诊断 2026年1月22日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59304">
    <w:lvl>
      <w:numFmt w:val="bullet"/>
      <w:suff w:val="tab"/>
      <w:lvlText w:val="•"/>
      <w:rPr>
        <w:color w:val="3370ff"/>
      </w:rPr>
    </w:lvl>
  </w:abstractNum>
  <w:abstractNum w:abstractNumId="959305">
    <w:lvl>
      <w:numFmt w:val="bullet"/>
      <w:suff w:val="tab"/>
      <w:lvlText w:val="￮"/>
      <w:rPr>
        <w:color w:val="3370ff"/>
      </w:rPr>
    </w:lvl>
  </w:abstractNum>
  <w:abstractNum w:abstractNumId="959306">
    <w:lvl>
      <w:numFmt w:val="bullet"/>
      <w:suff w:val="tab"/>
      <w:lvlText w:val="▪"/>
      <w:rPr>
        <w:color w:val="3370ff"/>
        <w:sz w:val="11"/>
      </w:rPr>
    </w:lvl>
  </w:abstractNum>
  <w:abstractNum w:abstractNumId="959307">
    <w:lvl>
      <w:numFmt w:val="bullet"/>
      <w:suff w:val="tab"/>
      <w:lvlText w:val="▪"/>
      <w:rPr>
        <w:color w:val="3370ff"/>
        <w:sz w:val="11"/>
      </w:rPr>
    </w:lvl>
  </w:abstractNum>
  <w:abstractNum w:abstractNumId="959308">
    <w:lvl>
      <w:numFmt w:val="bullet"/>
      <w:suff w:val="tab"/>
      <w:lvlText w:val="￮"/>
      <w:rPr>
        <w:color w:val="3370ff"/>
      </w:rPr>
    </w:lvl>
  </w:abstractNum>
  <w:abstractNum w:abstractNumId="959309">
    <w:lvl>
      <w:numFmt w:val="bullet"/>
      <w:suff w:val="tab"/>
      <w:lvlText w:val="▪"/>
      <w:rPr>
        <w:color w:val="3370ff"/>
        <w:sz w:val="11"/>
      </w:rPr>
    </w:lvl>
  </w:abstractNum>
  <w:abstractNum w:abstractNumId="959310">
    <w:lvl>
      <w:numFmt w:val="bullet"/>
      <w:suff w:val="tab"/>
      <w:lvlText w:val="▪"/>
      <w:rPr>
        <w:color w:val="3370ff"/>
        <w:sz w:val="11"/>
      </w:rPr>
    </w:lvl>
  </w:abstractNum>
  <w:abstractNum w:abstractNumId="959311">
    <w:lvl>
      <w:numFmt w:val="bullet"/>
      <w:suff w:val="tab"/>
      <w:lvlText w:val="•"/>
      <w:rPr>
        <w:color w:val="3370ff"/>
      </w:rPr>
    </w:lvl>
  </w:abstractNum>
  <w:abstractNum w:abstractNumId="959312">
    <w:lvl>
      <w:numFmt w:val="bullet"/>
      <w:suff w:val="tab"/>
      <w:lvlText w:val="￮"/>
      <w:rPr>
        <w:color w:val="3370ff"/>
      </w:rPr>
    </w:lvl>
  </w:abstractNum>
  <w:abstractNum w:abstractNumId="959313">
    <w:lvl>
      <w:numFmt w:val="bullet"/>
      <w:suff w:val="tab"/>
      <w:lvlText w:val="▪"/>
      <w:rPr>
        <w:color w:val="3370ff"/>
        <w:sz w:val="11"/>
      </w:rPr>
    </w:lvl>
  </w:abstractNum>
  <w:abstractNum w:abstractNumId="959314">
    <w:lvl>
      <w:numFmt w:val="bullet"/>
      <w:suff w:val="tab"/>
      <w:lvlText w:val="▪"/>
      <w:rPr>
        <w:color w:val="3370ff"/>
        <w:sz w:val="11"/>
      </w:rPr>
    </w:lvl>
  </w:abstractNum>
  <w:abstractNum w:abstractNumId="959315">
    <w:lvl>
      <w:numFmt w:val="bullet"/>
      <w:suff w:val="tab"/>
      <w:lvlText w:val="▪"/>
      <w:rPr>
        <w:color w:val="3370ff"/>
        <w:sz w:val="11"/>
      </w:rPr>
    </w:lvl>
  </w:abstractNum>
  <w:abstractNum w:abstractNumId="959316">
    <w:lvl>
      <w:numFmt w:val="bullet"/>
      <w:suff w:val="tab"/>
      <w:lvlText w:val="▪"/>
      <w:rPr>
        <w:color w:val="3370ff"/>
        <w:sz w:val="11"/>
      </w:rPr>
    </w:lvl>
  </w:abstractNum>
  <w:abstractNum w:abstractNumId="959317">
    <w:lvl>
      <w:numFmt w:val="bullet"/>
      <w:suff w:val="tab"/>
      <w:lvlText w:val="￮"/>
      <w:rPr>
        <w:color w:val="3370ff"/>
      </w:rPr>
    </w:lvl>
  </w:abstractNum>
  <w:abstractNum w:abstractNumId="959318">
    <w:lvl>
      <w:numFmt w:val="bullet"/>
      <w:suff w:val="tab"/>
      <w:lvlText w:val="•"/>
      <w:rPr>
        <w:color w:val="3370ff"/>
      </w:rPr>
    </w:lvl>
  </w:abstractNum>
  <w:abstractNum w:abstractNumId="959319">
    <w:lvl>
      <w:numFmt w:val="bullet"/>
      <w:suff w:val="tab"/>
      <w:lvlText w:val="•"/>
      <w:rPr>
        <w:color w:val="3370ff"/>
      </w:rPr>
    </w:lvl>
  </w:abstractNum>
  <w:abstractNum w:abstractNumId="959320">
    <w:lvl>
      <w:numFmt w:val="bullet"/>
      <w:suff w:val="tab"/>
      <w:lvlText w:val="￮"/>
      <w:rPr>
        <w:color w:val="3370ff"/>
      </w:rPr>
    </w:lvl>
  </w:abstractNum>
  <w:abstractNum w:abstractNumId="959321">
    <w:lvl>
      <w:numFmt w:val="bullet"/>
      <w:suff w:val="tab"/>
      <w:lvlText w:val="•"/>
      <w:rPr>
        <w:color w:val="3370ff"/>
      </w:rPr>
    </w:lvl>
  </w:abstractNum>
  <w:abstractNum w:abstractNumId="959322">
    <w:lvl>
      <w:numFmt w:val="bullet"/>
      <w:suff w:val="tab"/>
      <w:lvlText w:val="￮"/>
      <w:rPr>
        <w:color w:val="3370ff"/>
      </w:rPr>
    </w:lvl>
  </w:abstractNum>
  <w:abstractNum w:abstractNumId="959323">
    <w:lvl>
      <w:numFmt w:val="bullet"/>
      <w:suff w:val="tab"/>
      <w:lvlText w:val="￮"/>
      <w:rPr>
        <w:color w:val="3370ff"/>
      </w:rPr>
    </w:lvl>
  </w:abstractNum>
  <w:abstractNum w:abstractNumId="959324">
    <w:lvl>
      <w:numFmt w:val="bullet"/>
      <w:suff w:val="tab"/>
      <w:lvlText w:val="￮"/>
      <w:rPr>
        <w:color w:val="3370ff"/>
      </w:rPr>
    </w:lvl>
  </w:abstractNum>
  <w:abstractNum w:abstractNumId="959325">
    <w:lvl>
      <w:numFmt w:val="bullet"/>
      <w:suff w:val="tab"/>
      <w:lvlText w:val="•"/>
      <w:rPr>
        <w:color w:val="3370ff"/>
      </w:rPr>
    </w:lvl>
  </w:abstractNum>
  <w:abstractNum w:abstractNumId="959326">
    <w:lvl>
      <w:numFmt w:val="bullet"/>
      <w:suff w:val="tab"/>
      <w:lvlText w:val="•"/>
      <w:rPr>
        <w:color w:val="3370ff"/>
      </w:rPr>
    </w:lvl>
  </w:abstractNum>
  <w:abstractNum w:abstractNumId="959327">
    <w:lvl>
      <w:numFmt w:val="bullet"/>
      <w:suff w:val="tab"/>
      <w:lvlText w:val="￮"/>
      <w:rPr>
        <w:color w:val="3370ff"/>
      </w:rPr>
    </w:lvl>
  </w:abstractNum>
  <w:num w:numId="1">
    <w:abstractNumId w:val="959304"/>
  </w:num>
  <w:num w:numId="2">
    <w:abstractNumId w:val="959305"/>
  </w:num>
  <w:num w:numId="3">
    <w:abstractNumId w:val="959306"/>
  </w:num>
  <w:num w:numId="4">
    <w:abstractNumId w:val="959307"/>
  </w:num>
  <w:num w:numId="5">
    <w:abstractNumId w:val="959308"/>
  </w:num>
  <w:num w:numId="6">
    <w:abstractNumId w:val="959309"/>
  </w:num>
  <w:num w:numId="7">
    <w:abstractNumId w:val="959310"/>
  </w:num>
  <w:num w:numId="8">
    <w:abstractNumId w:val="959311"/>
  </w:num>
  <w:num w:numId="9">
    <w:abstractNumId w:val="959312"/>
  </w:num>
  <w:num w:numId="10">
    <w:abstractNumId w:val="959313"/>
  </w:num>
  <w:num w:numId="11">
    <w:abstractNumId w:val="959314"/>
  </w:num>
  <w:num w:numId="12">
    <w:abstractNumId w:val="959315"/>
  </w:num>
  <w:num w:numId="13">
    <w:abstractNumId w:val="959316"/>
  </w:num>
  <w:num w:numId="14">
    <w:abstractNumId w:val="959317"/>
  </w:num>
  <w:num w:numId="15">
    <w:abstractNumId w:val="959318"/>
  </w:num>
  <w:num w:numId="16">
    <w:abstractNumId w:val="959319"/>
  </w:num>
  <w:num w:numId="17">
    <w:abstractNumId w:val="959320"/>
  </w:num>
  <w:num w:numId="18">
    <w:abstractNumId w:val="959321"/>
  </w:num>
  <w:num w:numId="19">
    <w:abstractNumId w:val="959322"/>
  </w:num>
  <w:num w:numId="20">
    <w:abstractNumId w:val="959323"/>
  </w:num>
  <w:num w:numId="21">
    <w:abstractNumId w:val="959324"/>
  </w:num>
  <w:num w:numId="22">
    <w:abstractNumId w:val="959325"/>
  </w:num>
  <w:num w:numId="23">
    <w:abstractNumId w:val="959326"/>
  </w:num>
  <w:num w:numId="24">
    <w:abstractNumId w:val="9593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x9sq1y598glcr8yaqj?t=340000" TargetMode="External" Type="http://schemas.openxmlformats.org/officeDocument/2006/relationships/hyperlink"/><Relationship Id="rId11" Target="https://hcnytq72r1ge.feishu.cn/minutes/obcnfox9sq1y598glcr8yaqj?t=590000" TargetMode="External" Type="http://schemas.openxmlformats.org/officeDocument/2006/relationships/hyperlink"/><Relationship Id="rId12" Target="https://hcnytq72r1ge.feishu.cn/minutes/obcnfox9sq1y598glcr8yaqj?from=ai_minutes" TargetMode="External" Type="http://schemas.openxmlformats.org/officeDocument/2006/relationships/hyperlink"/><Relationship Id="rId13" Target="https://hcnytq72r1ge.feishu.cn/docx/SxszdtmM2oRug3xJwFQcTwBQnpb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x9sq1y598glcr8yaqj?t=2000" TargetMode="External" Type="http://schemas.openxmlformats.org/officeDocument/2006/relationships/hyperlink"/><Relationship Id="rId9" Target="https://hcnytq72r1ge.feishu.cn/minutes/obcnfox9sq1y598glcr8yaqj?t=24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2026-01-26T08:24:45Z</dcterms:created>
  <dc:creator>Apache POI</dc:creator>
</cp:coreProperties>
</file>