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智能纪要：24、学者的黄金职业密码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会议主题：24、学者的黄金职业密码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22:12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本次会议中，说话人 1 结合自身读两个博士及教学的经历，围绕读博体验、优秀学者特质、学者收入及职业特点等方面展开分享，内容如下：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读博体验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过程痛苦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414"/>
        <w:gridCol w:w="2484"/>
        <w:gridCol w:w="414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入学毕业难：说话人 1 表示读博并非宽进，考上不易，如他那一届 100 多人仅招 5 个，且毕业淘汰率高，他那一届最终顺利毕业仅 3 人。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学术要求高：他以自身为例，读第二个博士第一年差点被开除，原因是学术论文结论不严谨，缺乏足够证据支撑。</w:t>
            </w:r>
          </w:p>
        </w:tc>
        <w:tc>
          <w:tcPr>
            <w:tcW w:w="4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9620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读博阶段人数变化漏斗图</w:t>
              <w:br/>
            </w:r>
          </w:p>
        </w:tc>
        <w:tc>
          <w:tcPr>
            <w:tcW w:w="4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不建议轻易读博</w:t>
      </w:r>
      <w:r>
        <w:rPr>
          <w:rFonts w:eastAsia="等线" w:ascii="Arial" w:cs="Arial" w:hAnsi="Arial"/>
          <w:sz w:val="22"/>
        </w:rPr>
        <w:t>：说话人 1 称很多人鼓吹读博，但他结合自身及同学经历，若有人询问是否读博，他一般持反对意见，这与部分抖音老师观点相悖。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优秀学者特质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性格方面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 C 值与严谨：学者第一要素是 C 值高，说话人 1 认为肖老师比自己更适合做学问，因其 C 值更高。做学术需严谨，以确保知识准确无误、可证伪，如陈春花教授因学历问题被批判，其书缺乏严谨推导和论据，毫无学术价值。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追求结果与热爱：优秀学者工作起来是工作狂，对结果有高追求，如说话人 1 的导师 Daniel Feishmeir 每天工作时间长，其太太的导师也在化学界拼命工作且乐在其中。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天赋方面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能力要求：做学术对演绎推理要求高，词义理解能力也很重要，虽数字计算可借助计算机，但演绎推理能力需较强。如物理、数学研究分别用符号语言，对文字理解要求不同。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248"/>
        <w:gridCol w:w="3229"/>
        <w:gridCol w:w="248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收入差异大：学者收入差别悬殊，985 大学一线讲师收入低，如说话人 1 同学在武大做教授，虽数学造诣高且获奖，但薪资待遇差；而商学院老师收入高，如美国商学院教授是热门职业，说话人 1 读信息学博士时，多数同学是为高收入和轻松工作选择该专业。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8001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不同类型学者收入对比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学者职业特点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追求自由</w:t>
      </w:r>
      <w:r>
        <w:rPr>
          <w:rFonts w:eastAsia="等线" w:ascii="Arial" w:cs="Arial" w:hAnsi="Arial"/>
          <w:sz w:val="22"/>
        </w:rPr>
        <w:t>：很多教授向往研究的自主自由，希望自己决定研究内容，不受院长过多管束。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学历要求</w:t>
      </w:r>
      <w:r>
        <w:rPr>
          <w:rFonts w:eastAsia="等线" w:ascii="Arial" w:cs="Arial" w:hAnsi="Arial"/>
          <w:sz w:val="22"/>
        </w:rPr>
        <w:t>：如今在大学做学者基本需博士学位，学历门槛较高。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读博经历、严谨要求及个人性格适配问题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结合自身读两个博士及带学生的经历，不建议他人读博，认为读博过程痛苦、淘汰率高。做学者需C值高、性格严谨，因学术体系要求确保知识准确、可证伪。他以陈春花教授为例，指出其学术不严谨。说话人自认性格不适合做学术，虽成教授但在校园格格不入，最终选择跳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04:13</w:t>
        </w:r>
      </w:hyperlink>
      <w:r>
        <w:rPr>
          <w:rFonts w:eastAsia="等线" w:ascii="Arial" w:cs="Arial" w:hAnsi="Arial"/>
          <w:b w:val="true"/>
          <w:sz w:val="22"/>
        </w:rPr>
        <w:t xml:space="preserve">  优秀学者为追求结果工作投入且热爱事业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本章节强调优秀学者对结果有强烈追求，如同工作狂一般拼命。像能获诺贝尔奖的学者，对未知探寻有极高目标。以旅游搜索导师Daniel Feishmeir为例，他早6点多到实验室，晚7点多离开，工作强度大。说话人太太的导师在化学界优秀，也全身心投入工作，因热爱而不觉得拼命。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05:14</w:t>
        </w:r>
      </w:hyperlink>
      <w:r>
        <w:rPr>
          <w:rFonts w:eastAsia="等线" w:ascii="Arial" w:cs="Arial" w:hAnsi="Arial"/>
          <w:b w:val="true"/>
          <w:sz w:val="22"/>
        </w:rPr>
        <w:t xml:space="preserve">  学术研究对演绎推理能力要求高与因素有关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本章节提到做学术要综合考虑性格和天赋，由于学术具有严谨证明的特点，所以对演绎推理的要求很高。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05:24</w:t>
        </w:r>
      </w:hyperlink>
      <w:r>
        <w:rPr>
          <w:rFonts w:eastAsia="等线" w:ascii="Arial" w:cs="Arial" w:hAnsi="Arial"/>
          <w:b w:val="true"/>
          <w:sz w:val="22"/>
        </w:rPr>
        <w:t xml:space="preserve">  数字计算、词义理解及符号语言使用探讨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不同能力的重要性。指出数字计算因有计算机辅助，能力弱也无妨，演绎推理和词义理解能力较重要，沟通交流也不可避免。同时提到若从事数学研究，词义理解相对没那么重要，因为数学研究多用符号语言，如物理论文就全是符号，非专业人士难以看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06:06</w:t>
        </w:r>
      </w:hyperlink>
      <w:r>
        <w:rPr>
          <w:rFonts w:eastAsia="等线" w:ascii="Arial" w:cs="Arial" w:hAnsi="Arial"/>
          <w:b w:val="true"/>
          <w:sz w:val="22"/>
        </w:rPr>
        <w:t xml:space="preserve">  大学教授收入差异大及职业特点探讨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大学教授岗位展开，指出收入差别大，如国内985大学一线讲师月入仅几千，数论教授获奖后待遇也不佳，而美国商学院教授工作轻松、收入可达十七八万美元，远超物理系教授。还提到学者类型有研究型、挑战型，教授向往自主独立的研究自由，且大学任教基本需博士学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会议为分享类会议，无关键决策。会议关键内容总结如下：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读博建议</w:t>
      </w:r>
      <w:r>
        <w:rPr>
          <w:rFonts w:eastAsia="等线" w:ascii="Arial" w:cs="Arial" w:hAnsi="Arial"/>
          <w:sz w:val="22"/>
        </w:rPr>
        <w:t>：说话人1结合自身及同学经历，不建议他人读博，认为读博过程痛苦，淘汰率高。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学者特质</w:t>
      </w:r>
      <w:r>
        <w:rPr>
          <w:rFonts w:eastAsia="等线" w:ascii="Arial" w:cs="Arial" w:hAnsi="Arial"/>
          <w:sz w:val="22"/>
        </w:rPr>
        <w:t>：做学者性格上C值要高、追求结果，天赋上演绎推理能力要强，词义理解和沟通交流能力也很重要。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学者收入</w:t>
      </w:r>
      <w:r>
        <w:rPr>
          <w:rFonts w:eastAsia="等线" w:ascii="Arial" w:cs="Arial" w:hAnsi="Arial"/>
          <w:sz w:val="22"/>
        </w:rPr>
        <w:t>：学者收入差异大，国内一线讲师收入低，美国商学院教授收入高且工作轻松。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职业类型</w:t>
      </w:r>
      <w:r>
        <w:rPr>
          <w:rFonts w:eastAsia="等线" w:ascii="Arial" w:cs="Arial" w:hAnsi="Arial"/>
          <w:sz w:val="22"/>
        </w:rPr>
        <w:t>：学者多为研究型，向往研究自主独立，大学任教基本需博士学历。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「真正优秀的博士读下来的过程是非常痛苦的，读博并非宽进，考上难且毕业难。」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结合自身及同学经历，指出读博的真实情况，与部分网络观点相悖，能引发对读博的思考。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「做学术要严谨，是为了确保传承的知识准确无误，实现高质量的求真，因为科学体系要求一切可证伪。」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阐述了学术严谨性的重要原因，突出了学术研究的核心要求。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「美国的商学院教授是全世界最好的职业，一周只需工作两天，一年工作9个月，收入高且有税收优惠，研究还有人帮忙做。」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给出了一种对职业的新颖看法，与大众对学者职业的普遍认知有差异，能让人眼前一亮。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24、学者的黄金职业密码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24、学者的黄金职业密码 2026年1月22日</w:t>
        </w:r>
      </w:hyperlink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5197">
    <w:lvl>
      <w:numFmt w:val="bullet"/>
      <w:suff w:val="tab"/>
      <w:lvlText w:val="•"/>
      <w:rPr>
        <w:color w:val="3370ff"/>
      </w:rPr>
    </w:lvl>
  </w:abstractNum>
  <w:abstractNum w:abstractNumId="235198">
    <w:lvl>
      <w:numFmt w:val="bullet"/>
      <w:suff w:val="tab"/>
      <w:lvlText w:val="￮"/>
      <w:rPr>
        <w:color w:val="3370ff"/>
      </w:rPr>
    </w:lvl>
  </w:abstractNum>
  <w:abstractNum w:abstractNumId="235199">
    <w:lvl>
      <w:numFmt w:val="bullet"/>
      <w:suff w:val="tab"/>
      <w:lvlText w:val="•"/>
      <w:rPr>
        <w:color w:val="3370ff"/>
      </w:rPr>
    </w:lvl>
  </w:abstractNum>
  <w:abstractNum w:abstractNumId="235200">
    <w:lvl>
      <w:numFmt w:val="bullet"/>
      <w:suff w:val="tab"/>
      <w:lvlText w:val="•"/>
      <w:rPr>
        <w:color w:val="3370ff"/>
      </w:rPr>
    </w:lvl>
  </w:abstractNum>
  <w:abstractNum w:abstractNumId="235201">
    <w:lvl>
      <w:numFmt w:val="bullet"/>
      <w:suff w:val="tab"/>
      <w:lvlText w:val="￮"/>
      <w:rPr>
        <w:color w:val="3370ff"/>
      </w:rPr>
    </w:lvl>
  </w:abstractNum>
  <w:abstractNum w:abstractNumId="235202">
    <w:lvl>
      <w:numFmt w:val="bullet"/>
      <w:suff w:val="tab"/>
      <w:lvlText w:val="•"/>
      <w:rPr>
        <w:color w:val="3370ff"/>
      </w:rPr>
    </w:lvl>
  </w:abstractNum>
  <w:abstractNum w:abstractNumId="235203">
    <w:lvl>
      <w:numFmt w:val="bullet"/>
      <w:suff w:val="tab"/>
      <w:lvlText w:val="￮"/>
      <w:rPr>
        <w:color w:val="3370ff"/>
      </w:rPr>
    </w:lvl>
  </w:abstractNum>
  <w:abstractNum w:abstractNumId="235204">
    <w:lvl>
      <w:numFmt w:val="bullet"/>
      <w:suff w:val="tab"/>
      <w:lvlText w:val="▪"/>
      <w:rPr>
        <w:color w:val="3370ff"/>
        <w:sz w:val="11"/>
      </w:rPr>
    </w:lvl>
  </w:abstractNum>
  <w:abstractNum w:abstractNumId="235205">
    <w:lvl>
      <w:numFmt w:val="bullet"/>
      <w:suff w:val="tab"/>
      <w:lvlText w:val="▪"/>
      <w:rPr>
        <w:color w:val="3370ff"/>
        <w:sz w:val="11"/>
      </w:rPr>
    </w:lvl>
  </w:abstractNum>
  <w:abstractNum w:abstractNumId="235206">
    <w:lvl>
      <w:numFmt w:val="bullet"/>
      <w:suff w:val="tab"/>
      <w:lvlText w:val="￮"/>
      <w:rPr>
        <w:color w:val="3370ff"/>
      </w:rPr>
    </w:lvl>
  </w:abstractNum>
  <w:abstractNum w:abstractNumId="235207">
    <w:lvl>
      <w:numFmt w:val="bullet"/>
      <w:suff w:val="tab"/>
      <w:lvlText w:val="▪"/>
      <w:rPr>
        <w:color w:val="3370ff"/>
        <w:sz w:val="11"/>
      </w:rPr>
    </w:lvl>
  </w:abstractNum>
  <w:abstractNum w:abstractNumId="235208">
    <w:lvl>
      <w:numFmt w:val="bullet"/>
      <w:suff w:val="tab"/>
      <w:lvlText w:val="•"/>
      <w:rPr>
        <w:color w:val="3370ff"/>
      </w:rPr>
    </w:lvl>
  </w:abstractNum>
  <w:abstractNum w:abstractNumId="235209">
    <w:lvl>
      <w:numFmt w:val="bullet"/>
      <w:suff w:val="tab"/>
      <w:lvlText w:val="•"/>
      <w:rPr>
        <w:color w:val="3370ff"/>
      </w:rPr>
    </w:lvl>
  </w:abstractNum>
  <w:abstractNum w:abstractNumId="235210">
    <w:lvl>
      <w:numFmt w:val="bullet"/>
      <w:suff w:val="tab"/>
      <w:lvlText w:val="￮"/>
      <w:rPr>
        <w:color w:val="3370ff"/>
      </w:rPr>
    </w:lvl>
  </w:abstractNum>
  <w:abstractNum w:abstractNumId="235211">
    <w:lvl>
      <w:numFmt w:val="bullet"/>
      <w:suff w:val="tab"/>
      <w:lvlText w:val="￮"/>
      <w:rPr>
        <w:color w:val="3370ff"/>
      </w:rPr>
    </w:lvl>
  </w:abstractNum>
  <w:abstractNum w:abstractNumId="235212">
    <w:lvl>
      <w:numFmt w:val="bullet"/>
      <w:suff w:val="tab"/>
      <w:lvlText w:val="•"/>
      <w:rPr>
        <w:color w:val="3370ff"/>
      </w:rPr>
    </w:lvl>
  </w:abstractNum>
  <w:abstractNum w:abstractNumId="235213">
    <w:lvl>
      <w:numFmt w:val="bullet"/>
      <w:suff w:val="tab"/>
      <w:lvlText w:val="•"/>
      <w:rPr>
        <w:color w:val="3370ff"/>
      </w:rPr>
    </w:lvl>
  </w:abstractNum>
  <w:abstractNum w:abstractNumId="235214">
    <w:lvl>
      <w:numFmt w:val="bullet"/>
      <w:suff w:val="tab"/>
      <w:lvlText w:val="•"/>
      <w:rPr>
        <w:color w:val="3370ff"/>
      </w:rPr>
    </w:lvl>
  </w:abstractNum>
  <w:abstractNum w:abstractNumId="235215">
    <w:lvl>
      <w:numFmt w:val="bullet"/>
      <w:suff w:val="tab"/>
      <w:lvlText w:val="•"/>
      <w:rPr>
        <w:color w:val="3370ff"/>
      </w:rPr>
    </w:lvl>
  </w:abstractNum>
  <w:abstractNum w:abstractNumId="235216">
    <w:lvl>
      <w:numFmt w:val="bullet"/>
      <w:suff w:val="tab"/>
      <w:lvlText w:val="•"/>
      <w:rPr>
        <w:color w:val="3370ff"/>
      </w:rPr>
    </w:lvl>
  </w:abstractNum>
  <w:abstractNum w:abstractNumId="235217">
    <w:lvl>
      <w:numFmt w:val="bullet"/>
      <w:suff w:val="tab"/>
      <w:lvlText w:val="•"/>
      <w:rPr>
        <w:color w:val="3370ff"/>
      </w:rPr>
    </w:lvl>
  </w:abstractNum>
  <w:abstractNum w:abstractNumId="235218">
    <w:lvl>
      <w:numFmt w:val="bullet"/>
      <w:suff w:val="tab"/>
      <w:lvlText w:val="￮"/>
      <w:rPr>
        <w:color w:val="3370ff"/>
      </w:rPr>
    </w:lvl>
  </w:abstractNum>
  <w:num w:numId="1">
    <w:abstractNumId w:val="235197"/>
  </w:num>
  <w:num w:numId="2">
    <w:abstractNumId w:val="235198"/>
  </w:num>
  <w:num w:numId="3">
    <w:abstractNumId w:val="235199"/>
  </w:num>
  <w:num w:numId="4">
    <w:abstractNumId w:val="235200"/>
  </w:num>
  <w:num w:numId="5">
    <w:abstractNumId w:val="235201"/>
  </w:num>
  <w:num w:numId="6">
    <w:abstractNumId w:val="235202"/>
  </w:num>
  <w:num w:numId="7">
    <w:abstractNumId w:val="235203"/>
  </w:num>
  <w:num w:numId="8">
    <w:abstractNumId w:val="235204"/>
  </w:num>
  <w:num w:numId="9">
    <w:abstractNumId w:val="235205"/>
  </w:num>
  <w:num w:numId="10">
    <w:abstractNumId w:val="235206"/>
  </w:num>
  <w:num w:numId="11">
    <w:abstractNumId w:val="235207"/>
  </w:num>
  <w:num w:numId="12">
    <w:abstractNumId w:val="235208"/>
  </w:num>
  <w:num w:numId="13">
    <w:abstractNumId w:val="235209"/>
  </w:num>
  <w:num w:numId="14">
    <w:abstractNumId w:val="235210"/>
  </w:num>
  <w:num w:numId="15">
    <w:abstractNumId w:val="235211"/>
  </w:num>
  <w:num w:numId="16">
    <w:abstractNumId w:val="235212"/>
  </w:num>
  <w:num w:numId="17">
    <w:abstractNumId w:val="235213"/>
  </w:num>
  <w:num w:numId="18">
    <w:abstractNumId w:val="235214"/>
  </w:num>
  <w:num w:numId="19">
    <w:abstractNumId w:val="235215"/>
  </w:num>
  <w:num w:numId="20">
    <w:abstractNumId w:val="235216"/>
  </w:num>
  <w:num w:numId="21">
    <w:abstractNumId w:val="235217"/>
  </w:num>
  <w:num w:numId="22">
    <w:abstractNumId w:val="2352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97949h7ct83zr8537p?t=314000" TargetMode="External" Type="http://schemas.openxmlformats.org/officeDocument/2006/relationships/hyperlink"/><Relationship Id="rId11" Target="https://hcnytq72r1ge.feishu.cn/minutes/obcnfo97949h7ct83zr8537p?t=324000" TargetMode="External" Type="http://schemas.openxmlformats.org/officeDocument/2006/relationships/hyperlink"/><Relationship Id="rId12" Target="https://hcnytq72r1ge.feishu.cn/minutes/obcnfo97949h7ct83zr8537p?t=366000" TargetMode="External" Type="http://schemas.openxmlformats.org/officeDocument/2006/relationships/hyperlink"/><Relationship Id="rId13" Target="https://hcnytq72r1ge.feishu.cn/minutes/obcnfo97949h7ct83zr8537p?from=ai_minutes" TargetMode="External" Type="http://schemas.openxmlformats.org/officeDocument/2006/relationships/hyperlink"/><Relationship Id="rId14" Target="https://hcnytq72r1ge.feishu.cn/docx/DFCYdxr44oUhdFxoTvacRQDMnkg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97949h7ct83zr8537p?t=2000" TargetMode="External" Type="http://schemas.openxmlformats.org/officeDocument/2006/relationships/hyperlink"/><Relationship Id="rId9" Target="https://hcnytq72r1ge.feishu.cn/minutes/obcnfo97949h7ct83zr8537p?t=25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2026-01-26T08:38:30Z</dcterms:created>
  <dc:creator>Apache POI</dc:creator>
</cp:coreProperties>
</file>