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智能纪要：25、财务的黄金职业密码 2026年1月22日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会议主题：25、财务的黄金职业密码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上传时间：1月22号（周四） 22:12 （GMT+08）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智能纪要由 AI 生成，可能不准确，请谨慎甄别后使用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总结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098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本次会议说话人1围绕优秀财务人员的职业密码展开分享，介绍了优秀财务人员的收入情况、所需能力、职业特点及相关专业等内容，具体内容如下：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优秀财务人员收入情况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蔡崇信</w:t>
      </w:r>
      <w:r>
        <w:rPr>
          <w:rFonts w:eastAsia="等线" w:ascii="Arial" w:cs="Arial" w:hAnsi="Arial"/>
          <w:sz w:val="22"/>
        </w:rPr>
        <w:t>：说话人1提到阿里巴巴 CFO 蔡崇信在加入阿里巴巴前年薪就突破 100 万美元，加入后收入更高，体现了顶级财务人收入之高。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中金交易员</w:t>
      </w:r>
      <w:r>
        <w:rPr>
          <w:rFonts w:eastAsia="等线" w:ascii="Arial" w:cs="Arial" w:hAnsi="Arial"/>
          <w:sz w:val="22"/>
        </w:rPr>
        <w:t>：以中金一位毕业两年的交易员为例，其月薪达 8 万人民币，说明投资银行相关财务岗位收入可观。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优秀财务人员能力要求</w:t>
      </w:r>
    </w:p>
    <w:tbl>
      <w:tblPr>
        <w:tblW w:w="0" w:type="auto"/>
        <w:tblInd w:w="453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968"/>
        <w:gridCol w:w="3312"/>
      </w:tblGrid>
      <w:tr>
        <w:tc>
          <w:tcPr>
            <w:tcW w:w="4968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基础能力值</w:t>
            </w:r>
            <w:r>
              <w:rPr>
                <w:rFonts w:eastAsia="等线" w:ascii="Arial" w:cs="Arial" w:hAnsi="Arial"/>
                <w:sz w:val="22"/>
              </w:rPr>
              <w:t>：说话人1强调做优秀财务人员基础是 c 值要高，而做 CFO 不仅 c 值高，d 值也要高，这样才能掌控全局。</w:t>
            </w:r>
          </w:p>
          <w:p>
            <w:pPr>
              <w:numPr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天赋能力</w:t>
            </w:r>
          </w:p>
          <w:p>
            <w:pPr>
              <w:numPr>
                <w:numId w:val="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数字计算：要求对数字计算敏感，不能是天赋短板，而应是天赋擅长，因为财务工作常涉及大量数字运算。</w:t>
            </w:r>
          </w:p>
          <w:p>
            <w:pPr>
              <w:numPr>
                <w:numId w:val="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细节感知：由于会面临大量图表和财务报表，所以需要有较强的细节感知能力。</w:t>
            </w:r>
          </w:p>
          <w:p>
            <w:pPr>
              <w:numPr>
                <w:numId w:val="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演绎推理：财务报表用于辅助决策，需要进行各种推算，因此演绎推理能力很重要。</w:t>
            </w:r>
          </w:p>
        </w:tc>
        <w:tc>
          <w:tcPr>
            <w:tcW w:w="3312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943100" cy="1504950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100" cy="1504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优秀财务人员能力要求</w:t>
              <w:br/>
            </w:r>
          </w:p>
        </w:tc>
      </w:tr>
    </w:tbl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财务职业特点及相关专业</w:t>
      </w:r>
    </w:p>
    <w:tbl>
      <w:tblPr>
        <w:tblW w:w="0" w:type="auto"/>
        <w:tblInd w:w="453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5382"/>
        <w:gridCol w:w="2898"/>
      </w:tblGrid>
      <w:tr>
        <w:tc>
          <w:tcPr>
            <w:tcW w:w="5382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职业锚</w:t>
            </w:r>
            <w:r>
              <w:rPr>
                <w:rFonts w:eastAsia="等线" w:ascii="Arial" w:cs="Arial" w:hAnsi="Arial"/>
                <w:sz w:val="22"/>
              </w:rPr>
              <w:t>：说话人1表示走 CFO 路线的财务人员多追求技术上的专尖，而非奉献或创新等。</w:t>
            </w:r>
          </w:p>
          <w:p>
            <w:pPr>
              <w:numPr>
                <w:numId w:val="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相关专业</w:t>
            </w:r>
            <w:r>
              <w:rPr>
                <w:rFonts w:eastAsia="等线" w:ascii="Arial" w:cs="Arial" w:hAnsi="Arial"/>
                <w:sz w:val="22"/>
              </w:rPr>
              <w:t>：涉及会计学、工商管理、经济学、金融学、财政学等专业。</w:t>
            </w:r>
          </w:p>
          <w:p>
            <w:pPr>
              <w:numPr>
                <w:numId w:val="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性别情况</w:t>
            </w:r>
            <w:r>
              <w:rPr>
                <w:rFonts w:eastAsia="等线" w:ascii="Arial" w:cs="Arial" w:hAnsi="Arial"/>
                <w:sz w:val="22"/>
              </w:rPr>
              <w:t>：整体性别无绝对要求，但 CFO 绝大多数是男性，会计绝大多数是女性，四大会计师事务所女性居多。说话人1还分享了为堂妹规划此职业道路，使其发展顺利且幸福感高的案例。</w:t>
            </w:r>
          </w:p>
        </w:tc>
        <w:tc>
          <w:tcPr>
            <w:tcW w:w="2898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685925" cy="1066800"/>
                  <wp:docPr id="2" name="Drawing 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5925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财务职业特点及相关专业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智能章节</w:t>
      </w:r>
      <w:bookmarkEnd w:id="1"/>
    </w:p>
    <w:p>
      <w:p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00:03</w:t>
        </w:r>
      </w:hyperlink>
      <w:r>
        <w:rPr>
          <w:rFonts w:eastAsia="等线" w:ascii="Arial" w:cs="Arial" w:hAnsi="Arial"/>
          <w:b w:val="true"/>
          <w:sz w:val="22"/>
        </w:rPr>
        <w:t xml:space="preserve">  优秀财务人员收入高案例介绍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探讨优秀财务人员的职业密码，提到抖音上鼓吹女孩走财务路线，因为优秀财务人员收入很高。以阿里巴巴CFO蔡崇信为例，他加入阿里前年薪就突破百万美元。还提及投资银行，如中金一名毕业两年的交易员月薪达8万人民币，凸显优秀财务人员处于行业“食物链顶层”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01:03</w:t>
        </w:r>
      </w:hyperlink>
      <w:r>
        <w:rPr>
          <w:rFonts w:eastAsia="等线" w:ascii="Arial" w:cs="Arial" w:hAnsi="Arial"/>
          <w:b w:val="true"/>
          <w:sz w:val="22"/>
        </w:rPr>
        <w:t xml:space="preserve">  优秀财务与CFO要求及所需天赋能力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介绍了优秀财务人员和CFO的要求。优秀财务人员C值要求很高，而CFO不仅C值要高，D值也得高才能掌控全局。此外，财务人员在天赋方面需对数字计算敏感，擅长细节感知，因为要处理大量图表和报表；还应具备较强的演绎推理能力，用于各种推算以辅助决策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01:48</w:t>
        </w:r>
      </w:hyperlink>
      <w:r>
        <w:rPr>
          <w:rFonts w:eastAsia="等线" w:ascii="Arial" w:cs="Arial" w:hAnsi="Arial"/>
          <w:b w:val="true"/>
          <w:sz w:val="22"/>
        </w:rPr>
        <w:t xml:space="preserve">  霍兰德密码C型财务人及CFO路线职业追求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讨论了霍兰德密码常规型的C以及职业锚为技术能力的人群特点。说话人指出，走CFO路线的财务人员多属于此类，他们与因奉献、创新而选择职业道路的人不同，非常追求技术上的专尖，要求自己在专业领域达到极高水平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1">
        <w:r>
          <w:rPr>
            <w:rFonts w:eastAsia="等线" w:ascii="Arial" w:cs="Arial" w:hAnsi="Arial"/>
            <w:color w:val="3370ff"/>
            <w:sz w:val="22"/>
          </w:rPr>
          <w:t>02:19</w:t>
        </w:r>
      </w:hyperlink>
      <w:r>
        <w:rPr>
          <w:rFonts w:eastAsia="等线" w:ascii="Arial" w:cs="Arial" w:hAnsi="Arial"/>
          <w:b w:val="true"/>
          <w:sz w:val="22"/>
        </w:rPr>
        <w:t xml:space="preserve">  财会金融专业无性别要求及成功规划案例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提到会计学、工商管理、经济学等专业及相关职业无绝对性别要求，如CFO多为男性，会计多为女性，四大会计师事务所女性居多。说话人以给堂妹规划职业道路为例，称堂妹按规划从高中到大学再进入四大，发展顺利，幸福感能十年如一日保持在较高水平，他为此感到羡慕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关键决策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本次会议为分享类会议，无关键决策。会议关键内容总结如下：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财务人员收入情况</w:t>
      </w:r>
      <w:r>
        <w:rPr>
          <w:rFonts w:eastAsia="等线" w:ascii="Arial" w:cs="Arial" w:hAnsi="Arial"/>
          <w:sz w:val="22"/>
        </w:rPr>
        <w:t>：以阿里巴巴CFO蔡崇信、中金交易员为例，说明优秀财务人员收入高。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优秀财务人员要求</w:t>
      </w:r>
      <w:r>
        <w:rPr>
          <w:rFonts w:eastAsia="等线" w:ascii="Arial" w:cs="Arial" w:hAnsi="Arial"/>
          <w:sz w:val="22"/>
        </w:rPr>
        <w:t>：做优秀财务人员C值要求高，做CFO还需D值高，同时要具备数字计算天赋、细节感知能力和演绎推理能力。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职业倾向与专业选择</w:t>
      </w:r>
      <w:r>
        <w:rPr>
          <w:rFonts w:eastAsia="等线" w:ascii="Arial" w:cs="Arial" w:hAnsi="Arial"/>
          <w:sz w:val="22"/>
        </w:rPr>
        <w:t>：财务人员职业锚倾向技术能力，追求专业领域专尖；可选择会计学、工商管理等专业，无绝对性别要求。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金句时刻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「CFO这个级别是顶级的财务人，他们是最靠近食物链顶层的人，收入非常高。」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突出了顶级财务人员在职业领域的地位和收入优势，引发对财务职业的关注。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「做CFO不仅C值要高，D值还要高，这样才能掌控全局。」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明确了成为CFO所需具备的条件，对有志于该职业的人有重要指导意义。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「走财务CFO路线的人要求自己在专业领域要非常专尖。」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指出了财务CFO路线从业者的职业倾向，强调专业专尖的重要性。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相关链接</w:t>
      </w:r>
      <w:bookmarkEnd w:id="4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妙记：</w:t>
      </w:r>
      <w:hyperlink r:id="rId12">
        <w:r>
          <w:rPr>
            <w:rFonts w:eastAsia="等线" w:ascii="Arial" w:cs="Arial" w:hAnsi="Arial"/>
            <w:color w:val="3370ff"/>
            <w:sz w:val="22"/>
          </w:rPr>
          <w:t>25、财务的黄金职业密码</w:t>
        </w:r>
      </w:hyperlink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文字记录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hyperlink r:id="rId13">
        <w:r>
          <w:rPr>
            <w:rFonts w:eastAsia="等线" w:ascii="Arial" w:cs="Arial" w:hAnsi="Arial"/>
            <w:color w:val="3370ff"/>
            <w:sz w:val="22"/>
          </w:rPr>
          <w:t>25、财务的黄金职业密码 2026年1月22日</w:t>
        </w:r>
      </w:hyperlink>
    </w:p>
    <w:sectPr>
      <w:footerReference w:type="default" r:id="rId3"/>
      <w:headerReference w:type="default" r:id="rId1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494">
    <w:lvl>
      <w:numFmt w:val="bullet"/>
      <w:suff w:val="tab"/>
      <w:lvlText w:val="•"/>
      <w:rPr>
        <w:color w:val="3370ff"/>
      </w:rPr>
    </w:lvl>
  </w:abstractNum>
  <w:abstractNum w:abstractNumId="3495">
    <w:lvl>
      <w:numFmt w:val="bullet"/>
      <w:suff w:val="tab"/>
      <w:lvlText w:val="￮"/>
      <w:rPr>
        <w:color w:val="3370ff"/>
      </w:rPr>
    </w:lvl>
  </w:abstractNum>
  <w:abstractNum w:abstractNumId="3496">
    <w:lvl>
      <w:numFmt w:val="bullet"/>
      <w:suff w:val="tab"/>
      <w:lvlText w:val="￮"/>
      <w:rPr>
        <w:color w:val="3370ff"/>
      </w:rPr>
    </w:lvl>
  </w:abstractNum>
  <w:abstractNum w:abstractNumId="3497">
    <w:lvl>
      <w:numFmt w:val="bullet"/>
      <w:suff w:val="tab"/>
      <w:lvlText w:val="•"/>
      <w:rPr>
        <w:color w:val="3370ff"/>
      </w:rPr>
    </w:lvl>
  </w:abstractNum>
  <w:abstractNum w:abstractNumId="3498">
    <w:lvl>
      <w:numFmt w:val="bullet"/>
      <w:suff w:val="tab"/>
      <w:lvlText w:val="•"/>
      <w:rPr>
        <w:color w:val="3370ff"/>
      </w:rPr>
    </w:lvl>
  </w:abstractNum>
  <w:abstractNum w:abstractNumId="3499">
    <w:lvl>
      <w:numFmt w:val="bullet"/>
      <w:suff w:val="tab"/>
      <w:lvlText w:val="•"/>
      <w:rPr>
        <w:color w:val="3370ff"/>
      </w:rPr>
    </w:lvl>
  </w:abstractNum>
  <w:abstractNum w:abstractNumId="3500">
    <w:lvl>
      <w:numFmt w:val="bullet"/>
      <w:suff w:val="tab"/>
      <w:lvlText w:val="￮"/>
      <w:rPr>
        <w:color w:val="3370ff"/>
      </w:rPr>
    </w:lvl>
  </w:abstractNum>
  <w:abstractNum w:abstractNumId="3501">
    <w:lvl>
      <w:numFmt w:val="bullet"/>
      <w:suff w:val="tab"/>
      <w:lvlText w:val="￮"/>
      <w:rPr>
        <w:color w:val="3370ff"/>
      </w:rPr>
    </w:lvl>
  </w:abstractNum>
  <w:abstractNum w:abstractNumId="3502">
    <w:lvl>
      <w:numFmt w:val="bullet"/>
      <w:suff w:val="tab"/>
      <w:lvlText w:val="￮"/>
      <w:rPr>
        <w:color w:val="3370ff"/>
      </w:rPr>
    </w:lvl>
  </w:abstractNum>
  <w:abstractNum w:abstractNumId="3503">
    <w:lvl>
      <w:numFmt w:val="bullet"/>
      <w:suff w:val="tab"/>
      <w:lvlText w:val="•"/>
      <w:rPr>
        <w:color w:val="3370ff"/>
      </w:rPr>
    </w:lvl>
  </w:abstractNum>
  <w:abstractNum w:abstractNumId="3504">
    <w:lvl>
      <w:numFmt w:val="bullet"/>
      <w:suff w:val="tab"/>
      <w:lvlText w:val="•"/>
      <w:rPr>
        <w:color w:val="3370ff"/>
      </w:rPr>
    </w:lvl>
  </w:abstractNum>
  <w:abstractNum w:abstractNumId="3505">
    <w:lvl>
      <w:numFmt w:val="bullet"/>
      <w:suff w:val="tab"/>
      <w:lvlText w:val="•"/>
      <w:rPr>
        <w:color w:val="3370ff"/>
      </w:rPr>
    </w:lvl>
  </w:abstractNum>
  <w:abstractNum w:abstractNumId="3506">
    <w:lvl>
      <w:numFmt w:val="bullet"/>
      <w:suff w:val="tab"/>
      <w:lvlText w:val="•"/>
      <w:rPr>
        <w:color w:val="3370ff"/>
      </w:rPr>
    </w:lvl>
  </w:abstractNum>
  <w:abstractNum w:abstractNumId="3507">
    <w:lvl>
      <w:numFmt w:val="bullet"/>
      <w:suff w:val="tab"/>
      <w:lvlText w:val="•"/>
      <w:rPr>
        <w:color w:val="3370ff"/>
      </w:rPr>
    </w:lvl>
  </w:abstractNum>
  <w:abstractNum w:abstractNumId="3508">
    <w:lvl>
      <w:numFmt w:val="bullet"/>
      <w:suff w:val="tab"/>
      <w:lvlText w:val="•"/>
      <w:rPr>
        <w:color w:val="3370ff"/>
      </w:rPr>
    </w:lvl>
  </w:abstractNum>
  <w:abstractNum w:abstractNumId="3509">
    <w:lvl>
      <w:numFmt w:val="bullet"/>
      <w:suff w:val="tab"/>
      <w:lvlText w:val="•"/>
      <w:rPr>
        <w:color w:val="3370ff"/>
      </w:rPr>
    </w:lvl>
  </w:abstractNum>
  <w:abstractNum w:abstractNumId="3510">
    <w:lvl>
      <w:numFmt w:val="bullet"/>
      <w:suff w:val="tab"/>
      <w:lvlText w:val="•"/>
      <w:rPr>
        <w:color w:val="3370ff"/>
      </w:rPr>
    </w:lvl>
  </w:abstractNum>
  <w:abstractNum w:abstractNumId="3511">
    <w:lvl>
      <w:numFmt w:val="bullet"/>
      <w:suff w:val="tab"/>
      <w:lvlText w:val="•"/>
      <w:rPr>
        <w:color w:val="3370ff"/>
      </w:rPr>
    </w:lvl>
  </w:abstractNum>
  <w:abstractNum w:abstractNumId="3512">
    <w:lvl>
      <w:numFmt w:val="bullet"/>
      <w:suff w:val="tab"/>
      <w:lvlText w:val="￮"/>
      <w:rPr>
        <w:color w:val="3370ff"/>
      </w:rPr>
    </w:lvl>
  </w:abstractNum>
  <w:num w:numId="1">
    <w:abstractNumId w:val="3494"/>
  </w:num>
  <w:num w:numId="2">
    <w:abstractNumId w:val="3495"/>
  </w:num>
  <w:num w:numId="3">
    <w:abstractNumId w:val="3496"/>
  </w:num>
  <w:num w:numId="4">
    <w:abstractNumId w:val="3497"/>
  </w:num>
  <w:num w:numId="5">
    <w:abstractNumId w:val="3498"/>
  </w:num>
  <w:num w:numId="6">
    <w:abstractNumId w:val="3499"/>
  </w:num>
  <w:num w:numId="7">
    <w:abstractNumId w:val="3500"/>
  </w:num>
  <w:num w:numId="8">
    <w:abstractNumId w:val="3501"/>
  </w:num>
  <w:num w:numId="9">
    <w:abstractNumId w:val="3502"/>
  </w:num>
  <w:num w:numId="10">
    <w:abstractNumId w:val="3503"/>
  </w:num>
  <w:num w:numId="11">
    <w:abstractNumId w:val="3504"/>
  </w:num>
  <w:num w:numId="12">
    <w:abstractNumId w:val="3505"/>
  </w:num>
  <w:num w:numId="13">
    <w:abstractNumId w:val="3506"/>
  </w:num>
  <w:num w:numId="14">
    <w:abstractNumId w:val="3507"/>
  </w:num>
  <w:num w:numId="15">
    <w:abstractNumId w:val="3508"/>
  </w:num>
  <w:num w:numId="16">
    <w:abstractNumId w:val="3509"/>
  </w:num>
  <w:num w:numId="17">
    <w:abstractNumId w:val="3510"/>
  </w:num>
  <w:num w:numId="18">
    <w:abstractNumId w:val="3511"/>
  </w:num>
  <w:num w:numId="19">
    <w:abstractNumId w:val="351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hcnytq72r1ge.feishu.cn/minutes/obcnfo86s96i78p7cl6h9p4u?t=108000" TargetMode="External" Type="http://schemas.openxmlformats.org/officeDocument/2006/relationships/hyperlink"/><Relationship Id="rId11" Target="https://hcnytq72r1ge.feishu.cn/minutes/obcnfo86s96i78p7cl6h9p4u?t=139000" TargetMode="External" Type="http://schemas.openxmlformats.org/officeDocument/2006/relationships/hyperlink"/><Relationship Id="rId12" Target="https://hcnytq72r1ge.feishu.cn/minutes/obcnfo86s96i78p7cl6h9p4u?from=ai_minutes" TargetMode="External" Type="http://schemas.openxmlformats.org/officeDocument/2006/relationships/hyperlink"/><Relationship Id="rId13" Target="https://hcnytq72r1ge.feishu.cn/docx/ETApdFit6o4lBRxHO4Cczcccnfc" TargetMode="External" Type="http://schemas.openxmlformats.org/officeDocument/2006/relationships/hyperlink"/><Relationship Id="rId14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https://hcnytq72r1ge.feishu.cn/minutes/obcnfo86s96i78p7cl6h9p4u?t=3000" TargetMode="External" Type="http://schemas.openxmlformats.org/officeDocument/2006/relationships/hyperlink"/><Relationship Id="rId9" Target="https://hcnytq72r1ge.feishu.cn/minutes/obcnfo86s96i78p7cl6h9p4u?t=63000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2026-01-26T08:39:13Z</dcterms:created>
  <dc:creator>Apache POI</dc:creator>
</cp:coreProperties>
</file>