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智能纪要：32、升学规划的原则性错误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会议主题：32、升学规划的原则性错误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本次会议聚焦升学话题，涵盖从幼儿园到博士各阶段升学情况，分析了升学面临的问题、不同的升学原则，并通过具体案例探讨了升学决策应避免短视，要以长远就业和个人幸福为目标，内容如下：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升学各阶段情况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幼儿园及小学升学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幼儿园入学难：说话人 1 表示深圳公立幼儿园严重不足，为孩子上家门口幼儿园需托人找关系，否则孩子上学路程远，花费时间多，且上幼儿园付出的代价可能比上小学还大。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小学入学途径：幼儿园升小学难度较大，最简单的方法是购买学位房，但好学位房子价格昂贵；也可通过积分入户，但积分计算方式不明。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初中及高中升学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初中升学选择：小学升初中多数为直升，但也有人选择考学习氛围浓厚的初中，说话人 1 认为这属于拔苗助长，不建议孩子报考，如百合、外国语等学校，其教导方式可能带来高压学习氛围。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新高考选科影响：按照新高考规则，如广东实行 3 + 1 + 2 模式，很多地方受应试教育和“鸡娃”现象影响，学生从初中就要开始考虑选科，以便专注于高中要考的科目。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高中升学竞争：初中到高中的中考竞争相对激烈，学生需在初中就开始考虑选科，为高考做准备。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630"/>
        <w:gridCol w:w="2649"/>
      </w:tblGrid>
      <w:tr>
        <w:tc>
          <w:tcPr>
            <w:tcW w:w="5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大学及研究生升学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考研比例上升：目前大学生中约 80% 考虑考研，50% 参加考研，最终约 20% - 30% 读研，且该比例逐年上升。如同济大学，80% 的本科生选择读研，学校更关心研究生的就业问题。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读博及博士后情况：“双减”政策后，一些机构鼓吹读博，甚至出现“包过”俄罗斯科学院外籍院士申请的广告。需注意博士后不是学历，而是一份工作履历。</w:t>
            </w:r>
          </w:p>
        </w:tc>
        <w:tc>
          <w:tcPr>
            <w:tcW w:w="264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24000" cy="10382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大学生考研阶段转化漏斗</w:t>
              <w:br/>
            </w:r>
          </w:p>
        </w:tc>
      </w:tr>
    </w:tbl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特殊升学类型</w:t>
      </w:r>
      <w:r>
        <w:rPr>
          <w:rFonts w:eastAsia="等线" w:ascii="Arial" w:cs="Arial" w:hAnsi="Arial"/>
          <w:sz w:val="22"/>
        </w:rPr>
        <w:t>：这三类升学有学历，但在升学与就业的边界上较为模糊，值得探讨。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升学原则探讨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常见升学原则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升学为了升学：部分人存在盲目升学的情况，如读研是为了回避就业，认为越往上升越有竞争力。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提升自我价值：有人认为升学能够学习到更多知识，探索更多领域，从而提升自我价值。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拓宽未来选择：也有人希望通过升学让未来的选择更宽阔。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“不浪费分”原则的弊端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案例分析：说话人 1 以一个广东考生为例，该考生高考成绩不错，在中山大学和哈尔滨工业大学之间选择，儿子想报考哈工大航空航天专业，但母亲因哈工大分数低于中山大学，认为选择哈工大是浪费分，以死相逼让儿子选择中山大学。结果儿子大学四年与母亲决裂，毕业后又考研到哈工大航天专业，耽误了四年时间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短视行为分析：说话人 1 指出“不浪费分”是很多人升学时的考量原则，但这是人性短视的表现，人们更易关注眼前利益，而忽视就业等长远利益。从经济学角度看，这是非理性决策。升学应从长远考虑，其最终目的是为了更好就业，以成就更开心的自己，不应把“不浪费分”作为核心依据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630"/>
        <w:gridCol w:w="2649"/>
      </w:tblGrid>
      <w:tr>
        <w:tc>
          <w:tcPr>
            <w:tcW w:w="5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农民工就业选择参考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就业选择分类</w:t>
            </w:r>
            <w:r>
              <w:rPr>
                <w:rFonts w:eastAsia="等线" w:ascii="Arial" w:cs="Arial" w:hAnsi="Arial"/>
                <w:sz w:val="22"/>
              </w:rPr>
              <w:t>：农民工的就业选择主要分为三类，第一类是进厂打工，如去电子厂打螺丝，深圳的发展离不开大量此类工人的贡献；第二类是通过体力劳动在外面做服务，如餐馆端盘子、洗脚按摩等；第三类是销售买办，如在化妆品柜台卖化妆品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信息获取渠道</w:t>
            </w:r>
            <w:r>
              <w:rPr>
                <w:rFonts w:eastAsia="等线" w:ascii="Arial" w:cs="Arial" w:hAnsi="Arial"/>
                <w:sz w:val="22"/>
              </w:rPr>
              <w:t>：农民工的这些就业选择主要来自同乡前辈的告知，前辈的路径对后来者的发展是重要的信息获取渠道。</w:t>
            </w:r>
          </w:p>
        </w:tc>
        <w:tc>
          <w:tcPr>
            <w:tcW w:w="264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24000" cy="10096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农民工就业选择分类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00:01</w:t>
        </w:r>
      </w:hyperlink>
      <w:r>
        <w:rPr>
          <w:rFonts w:eastAsia="等线" w:ascii="Arial" w:cs="Arial" w:hAnsi="Arial"/>
          <w:b w:val="true"/>
          <w:sz w:val="22"/>
        </w:rPr>
        <w:t xml:space="preserve">  升学篇：幼儿园与小学升学现状及难题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开启升学篇内容，提及升学包含托儿所升幼儿园、幼儿园升小学等。说话人表示为孩子上幼儿园付出的代价远超小学，深圳公立幼儿园严重不足，入园需托人找关系。而幼儿园升小学，最简单的办法是买学位房，但好学位房子贵，升学路径很大程度取决于经济实力，没钱则困难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01:02</w:t>
        </w:r>
      </w:hyperlink>
      <w:r>
        <w:rPr>
          <w:rFonts w:eastAsia="等线" w:ascii="Arial" w:cs="Arial" w:hAnsi="Arial"/>
          <w:b w:val="true"/>
          <w:sz w:val="22"/>
        </w:rPr>
        <w:t xml:space="preserve">  积分入户积分算法及反对孩子考特定初中看法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主要表达了对积分入户积分计算的疑惑，提及小学升初中直升较稳妥，不建议孩子去考学习氛围浓厚的初中，认为这是拔苗助长。还表示不会让女儿考百合、外国语等学校，因其教导主任将高中恐怖氛围带到这些学校，说话人由此明白了“天才高中”的来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01:45</w:t>
        </w:r>
      </w:hyperlink>
      <w:r>
        <w:rPr>
          <w:rFonts w:eastAsia="等线" w:ascii="Arial" w:cs="Arial" w:hAnsi="Arial"/>
          <w:b w:val="true"/>
          <w:sz w:val="22"/>
        </w:rPr>
        <w:t xml:space="preserve">  新高考下初中选科现状及升学规划选择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初中到高中升学竞争激烈，新高考规则下，全国多数省份进入“3+1+2”模式，很多学校受应试教育和“鸡娃”现象影响，让孩子从初中就开始考虑选科选课，原因是为把时间专注于高中要考的科目。严格来说，国内升学规划从初中就有选择权，中考、高考阶段选择权更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03:33</w:t>
        </w:r>
      </w:hyperlink>
      <w:r>
        <w:rPr>
          <w:rFonts w:eastAsia="等线" w:ascii="Arial" w:cs="Arial" w:hAnsi="Arial"/>
          <w:b w:val="true"/>
          <w:sz w:val="22"/>
        </w:rPr>
        <w:t xml:space="preserve">  大学生读研比例上升及高校就业关心重点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升学中的读研情况展开。目前大学生中约80%考虑考研，50%去考，二三十%读研，且考虑和读研比例逐年上升。今年本专大学生毕业达1000万，像同济大学，80%本科生读研，仅20%本科就业，学校更关心毕业生中数量更多的研究生就业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04:45</w:t>
        </w:r>
      </w:hyperlink>
      <w:r>
        <w:rPr>
          <w:rFonts w:eastAsia="等线" w:ascii="Arial" w:cs="Arial" w:hAnsi="Arial"/>
          <w:b w:val="true"/>
          <w:sz w:val="22"/>
        </w:rPr>
        <w:t xml:space="preserve">  升学规划乱象：鼓吹读博、包申外籍院士等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升学规划展开讨论，指出本科升研究生、读博都属此范畴。提到双减政策主要针对小学到高中阶段，大学读研读博监管少，一些不负责任的机构鼓吹读博，甚至出现升博士后、申请俄罗斯科学院外籍院士“包过，不过包赔”等夸张广告，说话人对这类机构的行为表示惊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05:59</w:t>
        </w:r>
      </w:hyperlink>
      <w:r>
        <w:rPr>
          <w:rFonts w:eastAsia="等线" w:ascii="Arial" w:cs="Arial" w:hAnsi="Arial"/>
          <w:b w:val="true"/>
          <w:sz w:val="22"/>
        </w:rPr>
        <w:t xml:space="preserve">  初高大学升学及MBA等特殊升学探讨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升学话题展开，涉及初中到高中、高中到大学、大学到研究生等常规升学路径。同时提到了MBA、EMBA、DBA这三类特殊升学，指出它们虽有学历，但升学性质模糊，处于学历升学和就业之间的边界，后续将对其进行深入探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06:45</w:t>
        </w:r>
      </w:hyperlink>
      <w:r>
        <w:rPr>
          <w:rFonts w:eastAsia="等线" w:ascii="Arial" w:cs="Arial" w:hAnsi="Arial"/>
          <w:b w:val="true"/>
          <w:sz w:val="22"/>
        </w:rPr>
        <w:t xml:space="preserve">  就业原则探讨及升学目的之问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指出所有升学都有目的，并提及昨天讲的就业话题，询问大家是否记得就业原则，提到自己提倡就业是为了开心，也认可有人认为就业是为了钱多，还举例有同学在百万年薪选择上的价值观问题，最后提出疑问：如果就业是为了成就更开心的自己，那升学是为了什么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07:27</w:t>
        </w:r>
      </w:hyperlink>
      <w:r>
        <w:rPr>
          <w:rFonts w:eastAsia="等线" w:ascii="Arial" w:cs="Arial" w:hAnsi="Arial"/>
          <w:b w:val="true"/>
          <w:sz w:val="22"/>
        </w:rPr>
        <w:t xml:space="preserve">  探讨升学决策原则及常见观点看法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强调升学原则很关键，提及常见的升学原则，包括“升学是为了升学”这种盲目升学现象，如读研回避就业；还有认为升学能提升自我价值、学习探索更多；以及决策时希望未来选择更宽阔，但也指出没文化的人职业选择面实际最广，不过未深入探讨此观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08:49</w:t>
        </w:r>
      </w:hyperlink>
      <w:r>
        <w:rPr>
          <w:rFonts w:eastAsia="等线" w:ascii="Arial" w:cs="Arial" w:hAnsi="Arial"/>
          <w:b w:val="true"/>
          <w:sz w:val="22"/>
        </w:rPr>
        <w:t xml:space="preserve">  农民工就业选择类型及信息获取渠道探讨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农民工就业选择问题。说话人指出农民工就业不限于工地，如保洁、快递等也是。他们职业选择简单分三类：进厂打工、体力服务、销售买办。这种选择受同乡前辈影响，前辈路径是重要信息获取渠道。此外还提及昨天讲的就业、升学与补齐就业胜任力及升学目的等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12:29</w:t>
        </w:r>
      </w:hyperlink>
      <w:r>
        <w:rPr>
          <w:rFonts w:eastAsia="等线" w:ascii="Arial" w:cs="Arial" w:hAnsi="Arial"/>
          <w:b w:val="true"/>
          <w:sz w:val="22"/>
        </w:rPr>
        <w:t xml:space="preserve">  升学勿以不浪费分为核心，应着眼长远就业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当下升学时很多人将“不浪费分”作为首要原则，如一位广东家长因哈工大分数没中大高，以死相逼儿子放弃哈工大航空航天专业选了中大，致母子关系破裂。这源于人性短视、易向短期利益妥协。升学应从长远考虑，目的是更好就业、成就开心自我，不应以“不浪费分”为核心考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升学路径分析</w:t>
      </w:r>
      <w:r>
        <w:rPr>
          <w:rFonts w:eastAsia="等线" w:ascii="Arial" w:cs="Arial" w:hAnsi="Arial"/>
          <w:sz w:val="22"/>
        </w:rPr>
        <w:t>：介绍了从托儿所到博士后各阶段的升学情况，包括幼儿园入园难、小学升初中的积分入户和购房入学、初中到高中的选科以及本科升研究生比例上升等。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升学原则探讨</w:t>
      </w:r>
      <w:r>
        <w:rPr>
          <w:rFonts w:eastAsia="等线" w:ascii="Arial" w:cs="Arial" w:hAnsi="Arial"/>
          <w:sz w:val="22"/>
        </w:rPr>
        <w:t>：提及常见的升学原则，如“升学为了升学”“提升自我价值”“未来选择更宽阔”等，并重点讨论了“不浪费分”这一原则的弊端，强调升学应从长远考虑，最终是为了更好地就业和成就更开心的自己。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农民工就业选择</w:t>
      </w:r>
      <w:r>
        <w:rPr>
          <w:rFonts w:eastAsia="等线" w:ascii="Arial" w:cs="Arial" w:hAnsi="Arial"/>
          <w:sz w:val="22"/>
        </w:rPr>
        <w:t>：指出农民工就业选择主要分为进厂打工、从事体力服务和销售买办三类，其信息获取主要来自同乡前辈。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「升学应从长远的角度去考虑，因为升学只是中间结果，最终是为了更好地就业，而就业是为了成就更开心的自己。」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突出了会议主题中升学的核心目的，强调了从长远规划升学的重要性，能引发读者对升学意义的深入思考。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「前辈的路径对后来者的发展，是一种重要的信息获取渠道，如农民工的就业选择多受同乡前辈影响。」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提出了独特的洞察，揭示了前辈经验在职业选择中的重要作用，为理解就业选择的形成提供了新视角。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「千万不要再把不浪费分作为升学考量的核心依据，应克服人性的短视，理性决策。」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针对会议中讨论的常见升学误区，给出了明确的建议，具有建设性和启发性，能让读者重新审视升学选择的依据。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8">
        <w:r>
          <w:rPr>
            <w:rFonts w:eastAsia="等线" w:ascii="Arial" w:cs="Arial" w:hAnsi="Arial"/>
            <w:color w:val="3370ff"/>
            <w:sz w:val="22"/>
          </w:rPr>
          <w:t>32、升学规划的原则性错误</w:t>
        </w:r>
      </w:hyperlink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32、升学规划的原则性错误 2026年1月22日</w:t>
        </w:r>
      </w:hyperlink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46">
    <w:lvl>
      <w:numFmt w:val="bullet"/>
      <w:suff w:val="tab"/>
      <w:lvlText w:val="•"/>
      <w:rPr>
        <w:color w:val="3370ff"/>
      </w:rPr>
    </w:lvl>
  </w:abstractNum>
  <w:abstractNum w:abstractNumId="1147">
    <w:lvl>
      <w:numFmt w:val="bullet"/>
      <w:suff w:val="tab"/>
      <w:lvlText w:val="￮"/>
      <w:rPr>
        <w:color w:val="3370ff"/>
      </w:rPr>
    </w:lvl>
  </w:abstractNum>
  <w:abstractNum w:abstractNumId="1148">
    <w:lvl>
      <w:numFmt w:val="bullet"/>
      <w:suff w:val="tab"/>
      <w:lvlText w:val="▪"/>
      <w:rPr>
        <w:color w:val="3370ff"/>
        <w:sz w:val="11"/>
      </w:rPr>
    </w:lvl>
  </w:abstractNum>
  <w:abstractNum w:abstractNumId="1149">
    <w:lvl>
      <w:numFmt w:val="bullet"/>
      <w:suff w:val="tab"/>
      <w:lvlText w:val="▪"/>
      <w:rPr>
        <w:color w:val="3370ff"/>
        <w:sz w:val="11"/>
      </w:rPr>
    </w:lvl>
  </w:abstractNum>
  <w:abstractNum w:abstractNumId="1150">
    <w:lvl>
      <w:numFmt w:val="bullet"/>
      <w:suff w:val="tab"/>
      <w:lvlText w:val="￮"/>
      <w:rPr>
        <w:color w:val="3370ff"/>
      </w:rPr>
    </w:lvl>
  </w:abstractNum>
  <w:abstractNum w:abstractNumId="1151">
    <w:lvl>
      <w:numFmt w:val="bullet"/>
      <w:suff w:val="tab"/>
      <w:lvlText w:val="▪"/>
      <w:rPr>
        <w:color w:val="3370ff"/>
        <w:sz w:val="11"/>
      </w:rPr>
    </w:lvl>
  </w:abstractNum>
  <w:abstractNum w:abstractNumId="1152">
    <w:lvl>
      <w:numFmt w:val="bullet"/>
      <w:suff w:val="tab"/>
      <w:lvlText w:val="▪"/>
      <w:rPr>
        <w:color w:val="3370ff"/>
        <w:sz w:val="11"/>
      </w:rPr>
    </w:lvl>
  </w:abstractNum>
  <w:abstractNum w:abstractNumId="1153">
    <w:lvl>
      <w:numFmt w:val="bullet"/>
      <w:suff w:val="tab"/>
      <w:lvlText w:val="▪"/>
      <w:rPr>
        <w:color w:val="3370ff"/>
        <w:sz w:val="11"/>
      </w:rPr>
    </w:lvl>
  </w:abstractNum>
  <w:abstractNum w:abstractNumId="1154">
    <w:lvl>
      <w:numFmt w:val="bullet"/>
      <w:suff w:val="tab"/>
      <w:lvlText w:val="•"/>
      <w:rPr>
        <w:color w:val="3370ff"/>
      </w:rPr>
    </w:lvl>
  </w:abstractNum>
  <w:abstractNum w:abstractNumId="1155">
    <w:lvl>
      <w:numFmt w:val="bullet"/>
      <w:suff w:val="tab"/>
      <w:lvlText w:val="￮"/>
      <w:rPr>
        <w:color w:val="3370ff"/>
      </w:rPr>
    </w:lvl>
  </w:abstractNum>
  <w:abstractNum w:abstractNumId="1156">
    <w:lvl>
      <w:numFmt w:val="bullet"/>
      <w:suff w:val="tab"/>
      <w:lvlText w:val="￮"/>
      <w:rPr>
        <w:color w:val="3370ff"/>
      </w:rPr>
    </w:lvl>
  </w:abstractNum>
  <w:abstractNum w:abstractNumId="1157">
    <w:lvl>
      <w:numFmt w:val="bullet"/>
      <w:suff w:val="tab"/>
      <w:lvlText w:val="￮"/>
      <w:rPr>
        <w:color w:val="3370ff"/>
      </w:rPr>
    </w:lvl>
  </w:abstractNum>
  <w:abstractNum w:abstractNumId="1158">
    <w:lvl>
      <w:numFmt w:val="bullet"/>
      <w:suff w:val="tab"/>
      <w:lvlText w:val="•"/>
      <w:rPr>
        <w:color w:val="3370ff"/>
      </w:rPr>
    </w:lvl>
  </w:abstractNum>
  <w:abstractNum w:abstractNumId="1159">
    <w:lvl>
      <w:numFmt w:val="bullet"/>
      <w:suff w:val="tab"/>
      <w:lvlText w:val="￮"/>
      <w:rPr>
        <w:color w:val="3370ff"/>
      </w:rPr>
    </w:lvl>
  </w:abstractNum>
  <w:abstractNum w:abstractNumId="1160">
    <w:lvl>
      <w:numFmt w:val="bullet"/>
      <w:suff w:val="tab"/>
      <w:lvlText w:val="▪"/>
      <w:rPr>
        <w:color w:val="3370ff"/>
        <w:sz w:val="11"/>
      </w:rPr>
    </w:lvl>
  </w:abstractNum>
  <w:abstractNum w:abstractNumId="1161">
    <w:lvl>
      <w:numFmt w:val="bullet"/>
      <w:suff w:val="tab"/>
      <w:lvlText w:val="▪"/>
      <w:rPr>
        <w:color w:val="3370ff"/>
        <w:sz w:val="11"/>
      </w:rPr>
    </w:lvl>
  </w:abstractNum>
  <w:abstractNum w:abstractNumId="1162">
    <w:lvl>
      <w:numFmt w:val="bullet"/>
      <w:suff w:val="tab"/>
      <w:lvlText w:val="▪"/>
      <w:rPr>
        <w:color w:val="3370ff"/>
        <w:sz w:val="11"/>
      </w:rPr>
    </w:lvl>
  </w:abstractNum>
  <w:abstractNum w:abstractNumId="1163">
    <w:lvl>
      <w:numFmt w:val="bullet"/>
      <w:suff w:val="tab"/>
      <w:lvlText w:val="￮"/>
      <w:rPr>
        <w:color w:val="3370ff"/>
      </w:rPr>
    </w:lvl>
  </w:abstractNum>
  <w:abstractNum w:abstractNumId="1164">
    <w:lvl>
      <w:numFmt w:val="bullet"/>
      <w:suff w:val="tab"/>
      <w:lvlText w:val="▪"/>
      <w:rPr>
        <w:color w:val="3370ff"/>
        <w:sz w:val="11"/>
      </w:rPr>
    </w:lvl>
  </w:abstractNum>
  <w:abstractNum w:abstractNumId="1165">
    <w:lvl>
      <w:numFmt w:val="bullet"/>
      <w:suff w:val="tab"/>
      <w:lvlText w:val="▪"/>
      <w:rPr>
        <w:color w:val="3370ff"/>
        <w:sz w:val="11"/>
      </w:rPr>
    </w:lvl>
  </w:abstractNum>
  <w:abstractNum w:abstractNumId="1166">
    <w:lvl>
      <w:numFmt w:val="bullet"/>
      <w:suff w:val="tab"/>
      <w:lvlText w:val="•"/>
      <w:rPr>
        <w:color w:val="3370ff"/>
      </w:rPr>
    </w:lvl>
  </w:abstractNum>
  <w:abstractNum w:abstractNumId="1167">
    <w:lvl>
      <w:numFmt w:val="bullet"/>
      <w:suff w:val="tab"/>
      <w:lvlText w:val="￮"/>
      <w:rPr>
        <w:color w:val="3370ff"/>
      </w:rPr>
    </w:lvl>
  </w:abstractNum>
  <w:abstractNum w:abstractNumId="1168">
    <w:lvl>
      <w:numFmt w:val="bullet"/>
      <w:suff w:val="tab"/>
      <w:lvlText w:val="￮"/>
      <w:rPr>
        <w:color w:val="3370ff"/>
      </w:rPr>
    </w:lvl>
  </w:abstractNum>
  <w:abstractNum w:abstractNumId="1169">
    <w:lvl>
      <w:numFmt w:val="bullet"/>
      <w:suff w:val="tab"/>
      <w:lvlText w:val="•"/>
      <w:rPr>
        <w:color w:val="3370ff"/>
      </w:rPr>
    </w:lvl>
  </w:abstractNum>
  <w:abstractNum w:abstractNumId="1170">
    <w:lvl>
      <w:numFmt w:val="bullet"/>
      <w:suff w:val="tab"/>
      <w:lvlText w:val="•"/>
      <w:rPr>
        <w:color w:val="3370ff"/>
      </w:rPr>
    </w:lvl>
  </w:abstractNum>
  <w:abstractNum w:abstractNumId="1171">
    <w:lvl>
      <w:numFmt w:val="bullet"/>
      <w:suff w:val="tab"/>
      <w:lvlText w:val="•"/>
      <w:rPr>
        <w:color w:val="3370ff"/>
      </w:rPr>
    </w:lvl>
  </w:abstractNum>
  <w:abstractNum w:abstractNumId="1172">
    <w:lvl>
      <w:numFmt w:val="bullet"/>
      <w:suff w:val="tab"/>
      <w:lvlText w:val="•"/>
      <w:rPr>
        <w:color w:val="3370ff"/>
      </w:rPr>
    </w:lvl>
  </w:abstractNum>
  <w:abstractNum w:abstractNumId="1173">
    <w:lvl>
      <w:numFmt w:val="bullet"/>
      <w:suff w:val="tab"/>
      <w:lvlText w:val="•"/>
      <w:rPr>
        <w:color w:val="3370ff"/>
      </w:rPr>
    </w:lvl>
  </w:abstractNum>
  <w:abstractNum w:abstractNumId="1174">
    <w:lvl>
      <w:numFmt w:val="bullet"/>
      <w:suff w:val="tab"/>
      <w:lvlText w:val="￮"/>
      <w:rPr>
        <w:color w:val="3370ff"/>
      </w:rPr>
    </w:lvl>
  </w:abstractNum>
  <w:num w:numId="1">
    <w:abstractNumId w:val="1146"/>
  </w:num>
  <w:num w:numId="2">
    <w:abstractNumId w:val="1147"/>
  </w:num>
  <w:num w:numId="3">
    <w:abstractNumId w:val="1148"/>
  </w:num>
  <w:num w:numId="4">
    <w:abstractNumId w:val="1149"/>
  </w:num>
  <w:num w:numId="5">
    <w:abstractNumId w:val="1150"/>
  </w:num>
  <w:num w:numId="6">
    <w:abstractNumId w:val="1151"/>
  </w:num>
  <w:num w:numId="7">
    <w:abstractNumId w:val="1152"/>
  </w:num>
  <w:num w:numId="8">
    <w:abstractNumId w:val="1153"/>
  </w:num>
  <w:num w:numId="9">
    <w:abstractNumId w:val="1154"/>
  </w:num>
  <w:num w:numId="10">
    <w:abstractNumId w:val="1155"/>
  </w:num>
  <w:num w:numId="11">
    <w:abstractNumId w:val="1156"/>
  </w:num>
  <w:num w:numId="12">
    <w:abstractNumId w:val="1157"/>
  </w:num>
  <w:num w:numId="13">
    <w:abstractNumId w:val="1158"/>
  </w:num>
  <w:num w:numId="14">
    <w:abstractNumId w:val="1159"/>
  </w:num>
  <w:num w:numId="15">
    <w:abstractNumId w:val="1160"/>
  </w:num>
  <w:num w:numId="16">
    <w:abstractNumId w:val="1161"/>
  </w:num>
  <w:num w:numId="17">
    <w:abstractNumId w:val="1162"/>
  </w:num>
  <w:num w:numId="18">
    <w:abstractNumId w:val="1163"/>
  </w:num>
  <w:num w:numId="19">
    <w:abstractNumId w:val="1164"/>
  </w:num>
  <w:num w:numId="20">
    <w:abstractNumId w:val="1165"/>
  </w:num>
  <w:num w:numId="21">
    <w:abstractNumId w:val="1166"/>
  </w:num>
  <w:num w:numId="22">
    <w:abstractNumId w:val="1167"/>
  </w:num>
  <w:num w:numId="23">
    <w:abstractNumId w:val="1168"/>
  </w:num>
  <w:num w:numId="24">
    <w:abstractNumId w:val="1169"/>
  </w:num>
  <w:num w:numId="25">
    <w:abstractNumId w:val="1170"/>
  </w:num>
  <w:num w:numId="26">
    <w:abstractNumId w:val="1171"/>
  </w:num>
  <w:num w:numId="27">
    <w:abstractNumId w:val="1172"/>
  </w:num>
  <w:num w:numId="28">
    <w:abstractNumId w:val="1173"/>
  </w:num>
  <w:num w:numId="29">
    <w:abstractNumId w:val="11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ng7y7e9tm1h33d6995?t=105000" TargetMode="External" Type="http://schemas.openxmlformats.org/officeDocument/2006/relationships/hyperlink"/><Relationship Id="rId11" Target="https://hcnytq72r1ge.feishu.cn/minutes/obcnfong7y7e9tm1h33d6995?t=213000" TargetMode="External" Type="http://schemas.openxmlformats.org/officeDocument/2006/relationships/hyperlink"/><Relationship Id="rId12" Target="https://hcnytq72r1ge.feishu.cn/minutes/obcnfong7y7e9tm1h33d6995?t=285000" TargetMode="External" Type="http://schemas.openxmlformats.org/officeDocument/2006/relationships/hyperlink"/><Relationship Id="rId13" Target="https://hcnytq72r1ge.feishu.cn/minutes/obcnfong7y7e9tm1h33d6995?t=359000" TargetMode="External" Type="http://schemas.openxmlformats.org/officeDocument/2006/relationships/hyperlink"/><Relationship Id="rId14" Target="https://hcnytq72r1ge.feishu.cn/minutes/obcnfong7y7e9tm1h33d6995?t=405000" TargetMode="External" Type="http://schemas.openxmlformats.org/officeDocument/2006/relationships/hyperlink"/><Relationship Id="rId15" Target="https://hcnytq72r1ge.feishu.cn/minutes/obcnfong7y7e9tm1h33d6995?t=447000" TargetMode="External" Type="http://schemas.openxmlformats.org/officeDocument/2006/relationships/hyperlink"/><Relationship Id="rId16" Target="https://hcnytq72r1ge.feishu.cn/minutes/obcnfong7y7e9tm1h33d6995?t=529000" TargetMode="External" Type="http://schemas.openxmlformats.org/officeDocument/2006/relationships/hyperlink"/><Relationship Id="rId17" Target="https://hcnytq72r1ge.feishu.cn/minutes/obcnfong7y7e9tm1h33d6995?t=749000" TargetMode="External" Type="http://schemas.openxmlformats.org/officeDocument/2006/relationships/hyperlink"/><Relationship Id="rId18" Target="https://hcnytq72r1ge.feishu.cn/minutes/obcnfong7y7e9tm1h33d6995?from=ai_minutes" TargetMode="External" Type="http://schemas.openxmlformats.org/officeDocument/2006/relationships/hyperlink"/><Relationship Id="rId19" Target="https://hcnytq72r1ge.feishu.cn/docx/WlXLdnZNRormVlxX6emc5e7anje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ng7y7e9tm1h33d6995?t=1000" TargetMode="External" Type="http://schemas.openxmlformats.org/officeDocument/2006/relationships/hyperlink"/><Relationship Id="rId9" Target="https://hcnytq72r1ge.feishu.cn/minutes/obcnfong7y7e9tm1h33d6995?t=62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2026-01-26T08:49:49Z</dcterms:created>
  <dc:creator>Apache POI</dc:creator>
</cp:coreProperties>
</file>