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智能纪要：34、就业好，才是升学好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会议主题：34、就业好，才是升学好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升学规划展开，说话人1以高考志愿填报为例，阐述了升学规划应遵循以就业为导向的原则，强调专业比学校重要，并分析了当前填报志愿时的短视现象，同时说明了升学规划与就业规划的关系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升学规划原则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就业为首要考虑因素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研数据支撑：说话人1指出，中青报调研显示超70%的人后悔当年志愿填报，若人生重来，57%的人会将就业前景作为填志愿的首要考虑因素。但现实中，未来很多年填报高考志愿时，多数父母仍会不理性地按不浪费分选择，而非将就业前景放首位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用户行为短视：从今年高考志愿填报用户行为数据看，90%的时间花在选学校上，留给选专业的时间极少。说话人1认为这体现了用户的短视，实际上专业对未来就业影响更大，过来人都知道专业比学校重要。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3063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学校质量不应仅看排名</w:t>
            </w:r>
            <w:r>
              <w:rPr>
                <w:rFonts w:eastAsia="等线" w:ascii="Arial" w:cs="Arial" w:hAnsi="Arial"/>
                <w:sz w:val="22"/>
              </w:rPr>
              <w:t>：说话人1以深圳大学为例，说明学校质量不能简单与排名挂钩。深圳大学虽未评上双一流，但师资要求严，说话人1有机会去C9、985大学，却进不了深圳大学门槛；其老师薪资高，媲美全球一流大学水准，科研经费秒杀大部分985大学。</w:t>
            </w:r>
          </w:p>
        </w:tc>
        <w:tc>
          <w:tcPr>
            <w:tcW w:w="3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90700" cy="7810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深圳大学与传统985大学核心指标对比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升学规划本质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升学与就业的关系</w:t>
      </w:r>
      <w:r>
        <w:rPr>
          <w:rFonts w:eastAsia="等线" w:ascii="Arial" w:cs="Arial" w:hAnsi="Arial"/>
          <w:sz w:val="22"/>
        </w:rPr>
        <w:t>：说话人1强调升学是为了更好的就业，升学规划的本质是提升就业胜任力，补齐黄金职业密码。即便没有高考分数，性格、天赋、收入、喜好等是可选择的，但能力需通过努力获得，升学就是为了提升这方面能力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志愿填报的理性选择</w:t>
      </w:r>
      <w:r>
        <w:rPr>
          <w:rFonts w:eastAsia="等线" w:ascii="Arial" w:cs="Arial" w:hAnsi="Arial"/>
          <w:sz w:val="22"/>
        </w:rPr>
        <w:t>：尽管多数人认可专业比学校重要的观点，但在实际填报志愿时，仍会把大部分时间花在选学校上。说话人1呼吁人们理性重视长远利益，在填报志愿时考虑专业的重要性。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升学规划应重就业前景，家长填报常不理性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从故事引出升学规划原则，即从长远利益看要考虑就业。中青报调研显示超70%人后悔志愿填报，若重来，57%的人会将就业前景作为填志愿首要考虑因素。但说话人认为未来多年，多数父母填高考志愿时仍会不理性地以不浪费分为先，将就业前景放第二位，还会考虑学校质量和所在城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01:14</w:t>
        </w:r>
      </w:hyperlink>
      <w:r>
        <w:rPr>
          <w:rFonts w:eastAsia="等线" w:ascii="Arial" w:cs="Arial" w:hAnsi="Arial"/>
          <w:b w:val="true"/>
          <w:sz w:val="22"/>
        </w:rPr>
        <w:t xml:space="preserve">  深圳大学实力强却因非双一流遭低估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学校质量排名展开，以深圳大学为例进行说明。说话人认为深圳大学质量很好，但因未评上双一流、不是985和211，被很多人认为差。说话人以自己求职经历表明深大师资要求严，且老师薪资高、科研经费秒杀多数985大学，强调学校质量不能简单与排名挂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04:27</w:t>
        </w:r>
      </w:hyperlink>
      <w:r>
        <w:rPr>
          <w:rFonts w:eastAsia="等线" w:ascii="Arial" w:cs="Arial" w:hAnsi="Arial"/>
          <w:b w:val="true"/>
          <w:sz w:val="22"/>
        </w:rPr>
        <w:t xml:space="preserve">  高考志愿填报：专业重要性应高于学校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高考志愿填报展开，说话人提及曾与俞敏洪、程武做线上分享，主题是高考志愿与未来的关系。指出多数人考虑未来只看重上哪所学校，而非有怎样的人生。从用户行为数据看，90%的人把时间花在选学校上，短视且忽视专业重要性，强调考虑真正未来应更重视专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06:47</w:t>
        </w:r>
      </w:hyperlink>
      <w:r>
        <w:rPr>
          <w:rFonts w:eastAsia="等线" w:ascii="Arial" w:cs="Arial" w:hAnsi="Arial"/>
          <w:b w:val="true"/>
          <w:sz w:val="22"/>
        </w:rPr>
        <w:t xml:space="preserve">  升学规划本质是提升就业胜任力及补齐密码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阐述了升学规划的原则与本质，以及升学规划和就业规划的关系。升学规划的原则是升学为了更好就业，其本质是提升就业胜任力、补齐黄金职业密码。即便没参加高考或没有分数，也有性格、天赋、收入、喜欢等方面的选择权，但能力需付出努力获得，升学就是为提升胜任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：升学规划应将就业前景作为首要考虑因素，专业重要性高于学校。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：高考志愿填报时，应如何权衡学校和专业，以及如何考虑未来就业。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说话人1提出升学规划应遵循就业导向原则，通过中青报调研指出超70%的人后悔志愿填报，57%的人认为重新填报时应将就业前景作为首要因素。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说话人1以深圳大学为例，说明学校质量不能简单与排名挂钩，应关注学校的师资、科研经费等背后因素。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说话人1通过今年高考志愿填报用户行为数据，指出90%的时间花在选学校，留给选专业的时间少，强调专业对未来就业的重要性。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：从长远利益和过来人经验看，就业前景对个人发展至关重要，专业与就业密切相关，而目前多数人在填报志愿时过于短视，忽视了专业的重要性。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「调研显示，若人生可以重来，57%的人填报高考志愿时会将就业前景作为首要考虑因素。」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突出了就业前景在高考志愿填报中的重要性，是基于调研数据得出的关键结论，能引发家长和考生对志愿填报的思考。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「高考填志愿时，若考虑真正的未来，应认识到专业的重要性高于学校。」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明确指出专业和学校在志愿填报中的重要性排序，为考生和家长提供了有价值的决策参考，具有很强的指导性。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「升学规划的本质是提升就业胜任力，补齐黄金职业密码。」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精准概括了升学规划的核心意义，将升学与就业紧密联系起来，有助于人们深入理解升学规划的目的。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34、就业好，才是升学好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34、就业好，才是升学好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84">
    <w:lvl>
      <w:numFmt w:val="bullet"/>
      <w:suff w:val="tab"/>
      <w:lvlText w:val="•"/>
      <w:rPr>
        <w:color w:val="3370ff"/>
      </w:rPr>
    </w:lvl>
  </w:abstractNum>
  <w:abstractNum w:abstractNumId="4085">
    <w:lvl>
      <w:numFmt w:val="bullet"/>
      <w:suff w:val="tab"/>
      <w:lvlText w:val="￮"/>
      <w:rPr>
        <w:color w:val="3370ff"/>
      </w:rPr>
    </w:lvl>
  </w:abstractNum>
  <w:abstractNum w:abstractNumId="4086">
    <w:lvl>
      <w:numFmt w:val="bullet"/>
      <w:suff w:val="tab"/>
      <w:lvlText w:val="▪"/>
      <w:rPr>
        <w:color w:val="3370ff"/>
        <w:sz w:val="11"/>
      </w:rPr>
    </w:lvl>
  </w:abstractNum>
  <w:abstractNum w:abstractNumId="4087">
    <w:lvl>
      <w:numFmt w:val="bullet"/>
      <w:suff w:val="tab"/>
      <w:lvlText w:val="▪"/>
      <w:rPr>
        <w:color w:val="3370ff"/>
        <w:sz w:val="11"/>
      </w:rPr>
    </w:lvl>
  </w:abstractNum>
  <w:abstractNum w:abstractNumId="4088">
    <w:lvl>
      <w:numFmt w:val="bullet"/>
      <w:suff w:val="tab"/>
      <w:lvlText w:val="•"/>
      <w:rPr>
        <w:color w:val="3370ff"/>
      </w:rPr>
    </w:lvl>
  </w:abstractNum>
  <w:abstractNum w:abstractNumId="4089">
    <w:lvl>
      <w:numFmt w:val="bullet"/>
      <w:suff w:val="tab"/>
      <w:lvlText w:val="•"/>
      <w:rPr>
        <w:color w:val="3370ff"/>
      </w:rPr>
    </w:lvl>
  </w:abstractNum>
  <w:abstractNum w:abstractNumId="4090">
    <w:lvl>
      <w:numFmt w:val="bullet"/>
      <w:suff w:val="tab"/>
      <w:lvlText w:val="￮"/>
      <w:rPr>
        <w:color w:val="3370ff"/>
      </w:rPr>
    </w:lvl>
  </w:abstractNum>
  <w:abstractNum w:abstractNumId="4091">
    <w:lvl>
      <w:numFmt w:val="bullet"/>
      <w:suff w:val="tab"/>
      <w:lvlText w:val="￮"/>
      <w:rPr>
        <w:color w:val="3370ff"/>
      </w:rPr>
    </w:lvl>
  </w:abstractNum>
  <w:abstractNum w:abstractNumId="4092">
    <w:lvl>
      <w:numFmt w:val="bullet"/>
      <w:suff w:val="tab"/>
      <w:lvlText w:val="•"/>
      <w:rPr>
        <w:color w:val="3370ff"/>
      </w:rPr>
    </w:lvl>
  </w:abstractNum>
  <w:abstractNum w:abstractNumId="4093">
    <w:lvl>
      <w:numFmt w:val="bullet"/>
      <w:suff w:val="tab"/>
      <w:lvlText w:val="￮"/>
      <w:rPr>
        <w:color w:val="3370ff"/>
      </w:rPr>
    </w:lvl>
  </w:abstractNum>
  <w:abstractNum w:abstractNumId="4094">
    <w:lvl>
      <w:numFmt w:val="bullet"/>
      <w:suff w:val="tab"/>
      <w:lvlText w:val="￮"/>
      <w:rPr>
        <w:color w:val="3370ff"/>
      </w:rPr>
    </w:lvl>
  </w:abstractNum>
  <w:abstractNum w:abstractNumId="4095">
    <w:lvl>
      <w:numFmt w:val="bullet"/>
      <w:suff w:val="tab"/>
      <w:lvlText w:val="▪"/>
      <w:rPr>
        <w:color w:val="3370ff"/>
        <w:sz w:val="11"/>
      </w:rPr>
    </w:lvl>
  </w:abstractNum>
  <w:abstractNum w:abstractNumId="4096">
    <w:lvl>
      <w:numFmt w:val="bullet"/>
      <w:suff w:val="tab"/>
      <w:lvlText w:val="▪"/>
      <w:rPr>
        <w:color w:val="3370ff"/>
        <w:sz w:val="11"/>
      </w:rPr>
    </w:lvl>
  </w:abstractNum>
  <w:abstractNum w:abstractNumId="4097">
    <w:lvl>
      <w:numFmt w:val="bullet"/>
      <w:suff w:val="tab"/>
      <w:lvlText w:val="▪"/>
      <w:rPr>
        <w:color w:val="3370ff"/>
        <w:sz w:val="11"/>
      </w:rPr>
    </w:lvl>
  </w:abstractNum>
  <w:abstractNum w:abstractNumId="4098">
    <w:lvl>
      <w:numFmt w:val="bullet"/>
      <w:suff w:val="tab"/>
      <w:lvlText w:val="￮"/>
      <w:rPr>
        <w:color w:val="3370ff"/>
      </w:rPr>
    </w:lvl>
  </w:abstractNum>
  <w:abstractNum w:abstractNumId="4099">
    <w:lvl>
      <w:numFmt w:val="bullet"/>
      <w:suff w:val="tab"/>
      <w:lvlText w:val="•"/>
      <w:rPr>
        <w:color w:val="3370ff"/>
      </w:rPr>
    </w:lvl>
  </w:abstractNum>
  <w:abstractNum w:abstractNumId="4100">
    <w:lvl>
      <w:numFmt w:val="bullet"/>
      <w:suff w:val="tab"/>
      <w:lvlText w:val="•"/>
      <w:rPr>
        <w:color w:val="3370ff"/>
      </w:rPr>
    </w:lvl>
  </w:abstractNum>
  <w:abstractNum w:abstractNumId="4101">
    <w:lvl>
      <w:numFmt w:val="bullet"/>
      <w:suff w:val="tab"/>
      <w:lvlText w:val="•"/>
      <w:rPr>
        <w:color w:val="3370ff"/>
      </w:rPr>
    </w:lvl>
  </w:abstractNum>
  <w:abstractNum w:abstractNumId="4102">
    <w:lvl>
      <w:numFmt w:val="bullet"/>
      <w:suff w:val="tab"/>
      <w:lvlText w:val="￮"/>
      <w:rPr>
        <w:color w:val="3370ff"/>
      </w:rPr>
    </w:lvl>
  </w:abstractNum>
  <w:num w:numId="1">
    <w:abstractNumId w:val="4084"/>
  </w:num>
  <w:num w:numId="2">
    <w:abstractNumId w:val="4085"/>
  </w:num>
  <w:num w:numId="3">
    <w:abstractNumId w:val="4086"/>
  </w:num>
  <w:num w:numId="4">
    <w:abstractNumId w:val="4087"/>
  </w:num>
  <w:num w:numId="5">
    <w:abstractNumId w:val="4088"/>
  </w:num>
  <w:num w:numId="6">
    <w:abstractNumId w:val="4089"/>
  </w:num>
  <w:num w:numId="7">
    <w:abstractNumId w:val="4090"/>
  </w:num>
  <w:num w:numId="8">
    <w:abstractNumId w:val="4091"/>
  </w:num>
  <w:num w:numId="9">
    <w:abstractNumId w:val="4092"/>
  </w:num>
  <w:num w:numId="10">
    <w:abstractNumId w:val="4093"/>
  </w:num>
  <w:num w:numId="11">
    <w:abstractNumId w:val="4094"/>
  </w:num>
  <w:num w:numId="12">
    <w:abstractNumId w:val="4095"/>
  </w:num>
  <w:num w:numId="13">
    <w:abstractNumId w:val="4096"/>
  </w:num>
  <w:num w:numId="14">
    <w:abstractNumId w:val="4097"/>
  </w:num>
  <w:num w:numId="15">
    <w:abstractNumId w:val="4098"/>
  </w:num>
  <w:num w:numId="16">
    <w:abstractNumId w:val="4099"/>
  </w:num>
  <w:num w:numId="17">
    <w:abstractNumId w:val="4100"/>
  </w:num>
  <w:num w:numId="18">
    <w:abstractNumId w:val="4101"/>
  </w:num>
  <w:num w:numId="19">
    <w:abstractNumId w:val="41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lb67i8jugkzzyi5486?t=407000" TargetMode="External" Type="http://schemas.openxmlformats.org/officeDocument/2006/relationships/hyperlink"/><Relationship Id="rId11" Target="https://hcnytq72r1ge.feishu.cn/minutes/obcnfolb67i8jugkzzyi5486?from=ai_minutes" TargetMode="External" Type="http://schemas.openxmlformats.org/officeDocument/2006/relationships/hyperlink"/><Relationship Id="rId12" Target="https://hcnytq72r1ge.feishu.cn/docx/DCKOdhrLBoWY0ixEzjWckpQenTh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lb67i8jugkzzyi5486?t=2000" TargetMode="External" Type="http://schemas.openxmlformats.org/officeDocument/2006/relationships/hyperlink"/><Relationship Id="rId8" Target="https://hcnytq72r1ge.feishu.cn/minutes/obcnfolb67i8jugkzzyi5486?t=74000" TargetMode="External" Type="http://schemas.openxmlformats.org/officeDocument/2006/relationships/hyperlink"/><Relationship Id="rId9" Target="https://hcnytq72r1ge.feishu.cn/minutes/obcnfolb67i8jugkzzyi5486?t=26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2026-01-26T08:52:25Z</dcterms:created>
  <dc:creator>Apache POI</dc:creator>
</cp:coreProperties>
</file>