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智能纪要：35、黄金升学密码-JUMEQ理论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会议主题：35、黄金升学密码-JUMEQ理论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本次会议围绕如何获得黄金升学密码展开，介绍了 CIP 框架理念、院校专业信息获取难点及升学决策模型，内容如下：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黄金升学密码获取框架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CIP 框架理念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理念介绍：CIP 是目前最先进的生涯规划框架理念，获取黄金升学密码仍遵循“知己知彼”原则。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知彼内容：升学选择面包括中国 3301 所大学的 14 万院校专业，但获取有效信息难度大。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630"/>
        <w:gridCol w:w="248"/>
        <w:gridCol w:w="2152"/>
        <w:gridCol w:w="248"/>
      </w:tblGrid>
      <w:tr>
        <w:tc>
          <w:tcPr>
            <w:tcW w:w="5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决策模型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就业篇模型：就业篇决策模型为 CM IQ。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升学篇模型：升学篇决策模型为 JUMEQ，分别代表就业（Job placement）是否符合预期、学校（University）好坏、专业（Major）师资及对口情况、城市发展（Emy）和能否考上（Q）。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5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09675" cy="9239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就业与升学决策模型对比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院校专业信息获取难点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信息陈旧</w:t>
      </w:r>
      <w:r>
        <w:rPr>
          <w:rFonts w:eastAsia="等线" w:ascii="Arial" w:cs="Arial" w:hAnsi="Arial"/>
          <w:sz w:val="22"/>
        </w:rPr>
        <w:t>：很多大学官方网站多年不更新，网页时间编号有 2005 年的，信息陈旧。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无差异度</w:t>
      </w:r>
      <w:r>
        <w:rPr>
          <w:rFonts w:eastAsia="等线" w:ascii="Arial" w:cs="Arial" w:hAnsi="Arial"/>
          <w:sz w:val="22"/>
        </w:rPr>
        <w:t>：学校各专业介绍均称自己很棒，无差异度和区分度，难以为选择提供参考。以京东商品无用户评价为例，说明官方信息缺乏差异化难以决策。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黄金升学密码获取及院校专业信息选择难题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黄金升学密码的获取与选择，强调采用CIP这一先进框架理念，遵循知己知彼原则。升学篇中知彼需了解中国14万院校专业和3301所大学。直接从学校官网获取信息存在问题，一是官网多年不更新，信息陈旧；二是专业介绍无差异度，都自夸很棒，缺乏区分度，难以辅助决策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02:26</w:t>
        </w:r>
      </w:hyperlink>
      <w:r>
        <w:rPr>
          <w:rFonts w:eastAsia="等线" w:ascii="Arial" w:cs="Arial" w:hAnsi="Arial"/>
          <w:b w:val="true"/>
          <w:sz w:val="22"/>
        </w:rPr>
        <w:t xml:space="preserve">  升学决策模型JUMEQ介绍及密码获取讲解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升学决策模型JUMEQ。J指就业是否符合预期；U代表学校好坏；M指专业好且对口；E对应城市发展，很多人将其作为首要考量；Q表示能否考上学校。在升学规则和机制日趋复杂的当下，这五点很重要，后续将逐一讲解获取升学密码的方法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：使用 CIP 框架理念获取黄金升学密码，采用 JUMEQ 决策模型进行学校和专业选择。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：如何获得黄金升学密码，怎样在众多院校和专业中做出合适选择。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提出运用 CIP 这一先进的生涯规划框架理念。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升学选择需知己知彼，知己为了解自身，知彼要了解中国 3301 所大学及 14 万院校专业。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提出 JUMEQ 决策模型，包括就业情况（J - job placement）、学校好坏（U - university）、专业好坏及对口情况（M - major）、城市发展（E - emy）、能否考上（Q）。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：升学选择信息量大，官方网站信息陈旧且缺乏差异化，需要科学的框架和决策模型辅助选择。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「获得黄金升学密码，可采用 CIP 这一目前最先进的生涯规划框架理念。」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明确了获取黄金升学密码的重要工具，为升学选择提供了专业的方法指导。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「就业篇的决策模型是 CMIQ，升学则采用新的 JUMEQ 决策模型，涵盖就业、学校、专业、城市发展和能否考上等因素。」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清晰对比了就业和升学的决策模型，详细阐述了升学决策模型的关键要素，对升学选择具有重要的指导意义。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「对于成绩不好的人，可把学校所在的城市作为首要考虑目标，将学校所在地周围的社会工作环境当作社会大学。」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提供了一种新颖的升学选择思路，引发人们对升学选择因素的重新思考。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9">
        <w:r>
          <w:rPr>
            <w:rFonts w:eastAsia="等线" w:ascii="Arial" w:cs="Arial" w:hAnsi="Arial"/>
            <w:color w:val="3370ff"/>
            <w:sz w:val="22"/>
          </w:rPr>
          <w:t>35、黄金升学密码-JUMEQ理论</w:t>
        </w:r>
      </w:hyperlink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35、黄金升学密码-JUMEQ理论 2026年1月22日</w:t>
        </w:r>
      </w:hyperlink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68">
    <w:lvl>
      <w:numFmt w:val="bullet"/>
      <w:suff w:val="tab"/>
      <w:lvlText w:val="•"/>
      <w:rPr>
        <w:color w:val="3370ff"/>
      </w:rPr>
    </w:lvl>
  </w:abstractNum>
  <w:abstractNum w:abstractNumId="1369">
    <w:lvl>
      <w:numFmt w:val="bullet"/>
      <w:suff w:val="tab"/>
      <w:lvlText w:val="￮"/>
      <w:rPr>
        <w:color w:val="3370ff"/>
      </w:rPr>
    </w:lvl>
  </w:abstractNum>
  <w:abstractNum w:abstractNumId="1370">
    <w:lvl>
      <w:numFmt w:val="bullet"/>
      <w:suff w:val="tab"/>
      <w:lvlText w:val="▪"/>
      <w:rPr>
        <w:color w:val="3370ff"/>
        <w:sz w:val="11"/>
      </w:rPr>
    </w:lvl>
  </w:abstractNum>
  <w:abstractNum w:abstractNumId="1371">
    <w:lvl>
      <w:numFmt w:val="bullet"/>
      <w:suff w:val="tab"/>
      <w:lvlText w:val="▪"/>
      <w:rPr>
        <w:color w:val="3370ff"/>
        <w:sz w:val="11"/>
      </w:rPr>
    </w:lvl>
  </w:abstractNum>
  <w:abstractNum w:abstractNumId="1372">
    <w:lvl>
      <w:numFmt w:val="bullet"/>
      <w:suff w:val="tab"/>
      <w:lvlText w:val="•"/>
      <w:rPr>
        <w:color w:val="3370ff"/>
      </w:rPr>
    </w:lvl>
  </w:abstractNum>
  <w:abstractNum w:abstractNumId="1373">
    <w:lvl>
      <w:numFmt w:val="bullet"/>
      <w:suff w:val="tab"/>
      <w:lvlText w:val="￮"/>
      <w:rPr>
        <w:color w:val="3370ff"/>
      </w:rPr>
    </w:lvl>
  </w:abstractNum>
  <w:abstractNum w:abstractNumId="1374">
    <w:lvl>
      <w:numFmt w:val="bullet"/>
      <w:suff w:val="tab"/>
      <w:lvlText w:val="￮"/>
      <w:rPr>
        <w:color w:val="3370ff"/>
      </w:rPr>
    </w:lvl>
  </w:abstractNum>
  <w:abstractNum w:abstractNumId="1375">
    <w:lvl>
      <w:numFmt w:val="bullet"/>
      <w:suff w:val="tab"/>
      <w:lvlText w:val="•"/>
      <w:rPr>
        <w:color w:val="3370ff"/>
      </w:rPr>
    </w:lvl>
  </w:abstractNum>
  <w:abstractNum w:abstractNumId="1376">
    <w:lvl>
      <w:numFmt w:val="bullet"/>
      <w:suff w:val="tab"/>
      <w:lvlText w:val="￮"/>
      <w:rPr>
        <w:color w:val="3370ff"/>
      </w:rPr>
    </w:lvl>
  </w:abstractNum>
  <w:abstractNum w:abstractNumId="1377">
    <w:lvl>
      <w:numFmt w:val="bullet"/>
      <w:suff w:val="tab"/>
      <w:lvlText w:val="￮"/>
      <w:rPr>
        <w:color w:val="3370ff"/>
      </w:rPr>
    </w:lvl>
  </w:abstractNum>
  <w:abstractNum w:abstractNumId="1378">
    <w:lvl>
      <w:numFmt w:val="bullet"/>
      <w:suff w:val="tab"/>
      <w:lvlText w:val="•"/>
      <w:rPr>
        <w:color w:val="3370ff"/>
      </w:rPr>
    </w:lvl>
  </w:abstractNum>
  <w:abstractNum w:abstractNumId="1379">
    <w:lvl>
      <w:numFmt w:val="bullet"/>
      <w:suff w:val="tab"/>
      <w:lvlText w:val="￮"/>
      <w:rPr>
        <w:color w:val="3370ff"/>
      </w:rPr>
    </w:lvl>
  </w:abstractNum>
  <w:abstractNum w:abstractNumId="1380">
    <w:lvl>
      <w:numFmt w:val="bullet"/>
      <w:suff w:val="tab"/>
      <w:lvlText w:val="￮"/>
      <w:rPr>
        <w:color w:val="3370ff"/>
      </w:rPr>
    </w:lvl>
  </w:abstractNum>
  <w:abstractNum w:abstractNumId="1381">
    <w:lvl>
      <w:numFmt w:val="bullet"/>
      <w:suff w:val="tab"/>
      <w:lvlText w:val="▪"/>
      <w:rPr>
        <w:color w:val="3370ff"/>
        <w:sz w:val="11"/>
      </w:rPr>
    </w:lvl>
  </w:abstractNum>
  <w:abstractNum w:abstractNumId="1382">
    <w:lvl>
      <w:numFmt w:val="bullet"/>
      <w:suff w:val="tab"/>
      <w:lvlText w:val="▪"/>
      <w:rPr>
        <w:color w:val="3370ff"/>
        <w:sz w:val="11"/>
      </w:rPr>
    </w:lvl>
  </w:abstractNum>
  <w:abstractNum w:abstractNumId="1383">
    <w:lvl>
      <w:numFmt w:val="bullet"/>
      <w:suff w:val="tab"/>
      <w:lvlText w:val="▪"/>
      <w:rPr>
        <w:color w:val="3370ff"/>
        <w:sz w:val="11"/>
      </w:rPr>
    </w:lvl>
  </w:abstractNum>
  <w:abstractNum w:abstractNumId="1384">
    <w:lvl>
      <w:numFmt w:val="bullet"/>
      <w:suff w:val="tab"/>
      <w:lvlText w:val="￮"/>
      <w:rPr>
        <w:color w:val="3370ff"/>
      </w:rPr>
    </w:lvl>
  </w:abstractNum>
  <w:abstractNum w:abstractNumId="1385">
    <w:lvl>
      <w:numFmt w:val="bullet"/>
      <w:suff w:val="tab"/>
      <w:lvlText w:val="•"/>
      <w:rPr>
        <w:color w:val="3370ff"/>
      </w:rPr>
    </w:lvl>
  </w:abstractNum>
  <w:abstractNum w:abstractNumId="1386">
    <w:lvl>
      <w:numFmt w:val="bullet"/>
      <w:suff w:val="tab"/>
      <w:lvlText w:val="•"/>
      <w:rPr>
        <w:color w:val="3370ff"/>
      </w:rPr>
    </w:lvl>
  </w:abstractNum>
  <w:abstractNum w:abstractNumId="1387">
    <w:lvl>
      <w:numFmt w:val="bullet"/>
      <w:suff w:val="tab"/>
      <w:lvlText w:val="￮"/>
      <w:rPr>
        <w:color w:val="3370ff"/>
      </w:rPr>
    </w:lvl>
  </w:abstractNum>
  <w:num w:numId="1">
    <w:abstractNumId w:val="1368"/>
  </w:num>
  <w:num w:numId="2">
    <w:abstractNumId w:val="1369"/>
  </w:num>
  <w:num w:numId="3">
    <w:abstractNumId w:val="1370"/>
  </w:num>
  <w:num w:numId="4">
    <w:abstractNumId w:val="1371"/>
  </w:num>
  <w:num w:numId="5">
    <w:abstractNumId w:val="1372"/>
  </w:num>
  <w:num w:numId="6">
    <w:abstractNumId w:val="1373"/>
  </w:num>
  <w:num w:numId="7">
    <w:abstractNumId w:val="1374"/>
  </w:num>
  <w:num w:numId="8">
    <w:abstractNumId w:val="1375"/>
  </w:num>
  <w:num w:numId="9">
    <w:abstractNumId w:val="1376"/>
  </w:num>
  <w:num w:numId="10">
    <w:abstractNumId w:val="1377"/>
  </w:num>
  <w:num w:numId="11">
    <w:abstractNumId w:val="1378"/>
  </w:num>
  <w:num w:numId="12">
    <w:abstractNumId w:val="1379"/>
  </w:num>
  <w:num w:numId="13">
    <w:abstractNumId w:val="1380"/>
  </w:num>
  <w:num w:numId="14">
    <w:abstractNumId w:val="1381"/>
  </w:num>
  <w:num w:numId="15">
    <w:abstractNumId w:val="1382"/>
  </w:num>
  <w:num w:numId="16">
    <w:abstractNumId w:val="1383"/>
  </w:num>
  <w:num w:numId="17">
    <w:abstractNumId w:val="1384"/>
  </w:num>
  <w:num w:numId="18">
    <w:abstractNumId w:val="1385"/>
  </w:num>
  <w:num w:numId="19">
    <w:abstractNumId w:val="1386"/>
  </w:num>
  <w:num w:numId="20">
    <w:abstractNumId w:val="13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docx/BF7NdYerEoMhgBxjx5YcHmHinWf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mbs3cm99x7d18696v5?t=2000" TargetMode="External" Type="http://schemas.openxmlformats.org/officeDocument/2006/relationships/hyperlink"/><Relationship Id="rId8" Target="https://hcnytq72r1ge.feishu.cn/minutes/obcnfombs3cm99x7d18696v5?t=146000" TargetMode="External" Type="http://schemas.openxmlformats.org/officeDocument/2006/relationships/hyperlink"/><Relationship Id="rId9" Target="https://hcnytq72r1ge.feishu.cn/minutes/obcnfombs3cm99x7d18696v5?from=ai_minutes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2026-01-26T08:53:03Z</dcterms:created>
  <dc:creator>Apache POI</dc:creator>
</cp:coreProperties>
</file>