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智能纪要：37、全国14万院系就业真相随心看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会议主题：37、全国14万院系就业真相随心看</w:t>
            </w:r>
          </w:p>
          <w:p>
            <w:pPr>
              <w:spacing w:before="120" w:after="120" w:line="288" w:lineRule="auto"/>
              <w:ind w:left="0"/>
              <w:jc w:val="left"/>
            </w:pPr>
            <w:r>
              <w:rPr>
                <w:rFonts w:eastAsia="等线" w:ascii="Arial" w:cs="Arial" w:hAnsi="Arial"/>
                <w:color w:val="646a73"/>
                <w:sz w:val="22"/>
              </w:rPr>
              <w:t>上传时间：1月22号（周四） 22:24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457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457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本次会议以沈阳航空航天大学飞行器制造工程专业为例，深入分析了该专业的就业、读研等情况，强调了数据在升学规划中的重要性，为做好生涯规划提供了参考，内容如下：</w:t>
      </w:r>
    </w:p>
    <w:p>
      <w:pPr>
        <w:numPr>
          <w:numId w:val="1"/>
        </w:numPr>
        <w:spacing w:before="120" w:after="120" w:line="288" w:lineRule="auto"/>
        <w:ind w:left="0"/>
        <w:jc w:val="left"/>
      </w:pPr>
      <w:r>
        <w:rPr>
          <w:rFonts w:eastAsia="等线" w:ascii="Arial" w:cs="Arial" w:hAnsi="Arial"/>
          <w:b w:val="true"/>
          <w:sz w:val="22"/>
        </w:rPr>
        <w:t>沈阳航空航天大学专业分析</w:t>
      </w:r>
    </w:p>
    <w:p>
      <w:pPr>
        <w:numPr>
          <w:numId w:val="2"/>
        </w:numPr>
        <w:spacing w:before="120" w:after="120" w:line="288" w:lineRule="auto"/>
        <w:ind w:left="453"/>
        <w:jc w:val="left"/>
      </w:pPr>
      <w:r>
        <w:rPr>
          <w:rFonts w:eastAsia="等线" w:ascii="Arial" w:cs="Arial" w:hAnsi="Arial"/>
          <w:b w:val="true"/>
          <w:sz w:val="22"/>
        </w:rPr>
        <w:t>就业情况</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5382"/>
        <w:gridCol w:w="2898"/>
      </w:tblGrid>
      <w:tr>
        <w:tc>
          <w:tcPr>
            <w:tcW w:w="5382" w:type="dxa"/>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sz w:val="22"/>
              </w:rPr>
              <w:t>行业分布：毕业生进入航空航天行业比例达 26%，还涉及机械加工制造、互联网电子商务等行业。</w:t>
            </w:r>
          </w:p>
          <w:p>
            <w:pPr>
              <w:numPr>
                <w:numId w:val="4"/>
              </w:numPr>
              <w:spacing w:before="120" w:after="120" w:line="288" w:lineRule="auto"/>
              <w:ind w:left="0"/>
              <w:jc w:val="left"/>
            </w:pPr>
            <w:r>
              <w:rPr>
                <w:rFonts w:eastAsia="等线" w:ascii="Arial" w:cs="Arial" w:hAnsi="Arial"/>
                <w:sz w:val="22"/>
              </w:rPr>
              <w:t>公司去向：以飞行器制造工程专业 1100 个学生样本来看，就业公司包括沈阳汽车模具股份、中航沈飞民用飞机、航空维修等，多与航空航天对口。</w:t>
            </w:r>
          </w:p>
          <w:p>
            <w:pPr>
              <w:numPr>
                <w:numId w:val="5"/>
              </w:numPr>
              <w:spacing w:before="120" w:after="120" w:line="288" w:lineRule="auto"/>
              <w:ind w:left="0"/>
              <w:jc w:val="left"/>
            </w:pPr>
            <w:r>
              <w:rPr>
                <w:rFonts w:eastAsia="等线" w:ascii="Arial" w:cs="Arial" w:hAnsi="Arial"/>
                <w:sz w:val="22"/>
              </w:rPr>
              <w:t>岗位与薪资：岗位多为飞行器设计与制造相关工程师，起薪在沈阳地区不错，工作十年平均年薪达三四十万，远高于多数 985 专业毕业生。</w:t>
            </w:r>
          </w:p>
          <w:p>
            <w:pPr>
              <w:numPr>
                <w:numId w:val="6"/>
              </w:numPr>
              <w:spacing w:before="120" w:after="120" w:line="288" w:lineRule="auto"/>
              <w:ind w:left="0"/>
              <w:jc w:val="left"/>
            </w:pPr>
            <w:r>
              <w:rPr>
                <w:rFonts w:eastAsia="等线" w:ascii="Arial" w:cs="Arial" w:hAnsi="Arial"/>
                <w:sz w:val="22"/>
              </w:rPr>
              <w:t>城市选择：26.2%的毕业生选择留在沈阳，说明沈阳因大量高端工业具有较强的人才吸引力。</w:t>
            </w:r>
          </w:p>
        </w:tc>
        <w:tc>
          <w:tcPr>
            <w:tcW w:w="2898" w:type="dxa"/>
            <w:tcMar>
              <w:top w:type="dxa" w:w="60"/>
              <w:left w:type="dxa" w:w="120"/>
              <w:bottom w:type="dxa" w:w="30"/>
              <w:right w:type="dxa" w:w="120"/>
            </w:tcMar>
          </w:tcPr>
          <w:p>
            <w:pPr>
              <w:spacing w:before="120" w:after="120" w:line="288" w:lineRule="auto"/>
              <w:ind w:left="0"/>
              <w:jc w:val="center"/>
            </w:pPr>
            <w:r>
              <w:drawing>
                <wp:inline distT="0" distR="0" distB="0" distL="0">
                  <wp:extent cx="1685925" cy="1485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685925" cy="14859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沈阳航空航天大学飞行器制造工程专业就业公司及领域</w:t>
              <w:br/>
            </w:r>
          </w:p>
        </w:tc>
      </w:tr>
    </w:tbl>
    <w:p>
      <w:pPr>
        <w:numPr>
          <w:numId w:val="7"/>
        </w:numPr>
        <w:spacing w:before="120" w:after="120" w:line="288" w:lineRule="auto"/>
        <w:ind w:left="453"/>
        <w:jc w:val="left"/>
      </w:pPr>
      <w:r>
        <w:rPr>
          <w:rFonts w:eastAsia="等线" w:ascii="Arial" w:cs="Arial" w:hAnsi="Arial"/>
          <w:b w:val="true"/>
          <w:sz w:val="22"/>
        </w:rPr>
        <w:t>读研情况</w:t>
      </w:r>
    </w:p>
    <w:p>
      <w:pPr>
        <w:numPr>
          <w:numId w:val="8"/>
        </w:numPr>
        <w:spacing w:before="120" w:after="120" w:line="288" w:lineRule="auto"/>
        <w:ind w:left="907"/>
        <w:jc w:val="left"/>
      </w:pPr>
      <w:r>
        <w:rPr>
          <w:rFonts w:eastAsia="等线" w:ascii="Arial" w:cs="Arial" w:hAnsi="Arial"/>
          <w:sz w:val="22"/>
        </w:rPr>
        <w:t>读研院校：学生读研多进入西北工业大学、上海交大、厦门大学等 985 高校，以及工业设计很强的 211 高校北京工业大学。</w:t>
      </w:r>
    </w:p>
    <w:p>
      <w:pPr>
        <w:numPr>
          <w:numId w:val="9"/>
        </w:numPr>
        <w:spacing w:before="120" w:after="120" w:line="288" w:lineRule="auto"/>
        <w:ind w:left="907"/>
        <w:jc w:val="left"/>
      </w:pPr>
      <w:r>
        <w:rPr>
          <w:rFonts w:eastAsia="等线" w:ascii="Arial" w:cs="Arial" w:hAnsi="Arial"/>
          <w:sz w:val="22"/>
        </w:rPr>
        <w:t>专业对口性：读研后专业仍多为航空航天机械类，说明该校本科生培养质量较高，专业对口性强。</w:t>
      </w:r>
    </w:p>
    <w:p>
      <w:pPr>
        <w:numPr>
          <w:numId w:val="10"/>
        </w:numPr>
        <w:spacing w:before="120" w:after="120" w:line="288" w:lineRule="auto"/>
        <w:ind w:left="0"/>
        <w:jc w:val="left"/>
      </w:pPr>
      <w:r>
        <w:rPr>
          <w:rFonts w:eastAsia="等线" w:ascii="Arial" w:cs="Arial" w:hAnsi="Arial"/>
          <w:b w:val="true"/>
          <w:sz w:val="22"/>
        </w:rPr>
        <w:t>数据对升学规划的重要性</w:t>
      </w:r>
    </w:p>
    <w:p>
      <w:pPr>
        <w:numPr>
          <w:numId w:val="11"/>
        </w:numPr>
        <w:spacing w:before="120" w:after="120" w:line="288" w:lineRule="auto"/>
        <w:ind w:left="453"/>
        <w:jc w:val="left"/>
      </w:pPr>
      <w:r>
        <w:rPr>
          <w:rFonts w:eastAsia="等线" w:ascii="Arial" w:cs="Arial" w:hAnsi="Arial"/>
          <w:b w:val="true"/>
          <w:sz w:val="22"/>
        </w:rPr>
        <w:t>升学规划难点</w:t>
      </w:r>
      <w:r>
        <w:rPr>
          <w:rFonts w:eastAsia="等线" w:ascii="Arial" w:cs="Arial" w:hAnsi="Arial"/>
          <w:sz w:val="22"/>
        </w:rPr>
        <w:t>：说话人 1 指出，目前全世界范围内大学生就业和高中生升学面临的最大挑战是知彼环节缺少社会数据，这也是升学规划的最大难点。</w:t>
      </w:r>
    </w:p>
    <w:p>
      <w:pPr>
        <w:numPr>
          <w:numId w:val="12"/>
        </w:numPr>
        <w:spacing w:before="120" w:after="120" w:line="288" w:lineRule="auto"/>
        <w:ind w:left="453"/>
        <w:jc w:val="left"/>
      </w:pPr>
      <w:r>
        <w:rPr>
          <w:rFonts w:eastAsia="等线" w:ascii="Arial" w:cs="Arial" w:hAnsi="Arial"/>
          <w:b w:val="true"/>
          <w:sz w:val="22"/>
        </w:rPr>
        <w:t>数据的作用</w:t>
      </w:r>
      <w:r>
        <w:rPr>
          <w:rFonts w:eastAsia="等线" w:ascii="Arial" w:cs="Arial" w:hAnsi="Arial"/>
          <w:sz w:val="22"/>
        </w:rPr>
        <w:t>：掌握详实数据可在考虑学校和专业时做到有的放矢，避免像一些因缺数据导致的失败案例。学校官方网站多只公布全校就业报告，而升学规划需关注各专业情况，详实数据能弥补这一不足。</w:t>
      </w:r>
    </w:p>
    <w:p>
      <w:pPr>
        <w:numPr>
          <w:numId w:val="13"/>
        </w:numPr>
        <w:spacing w:before="120" w:after="120" w:line="288" w:lineRule="auto"/>
        <w:ind w:left="453"/>
        <w:jc w:val="left"/>
      </w:pPr>
      <w:r>
        <w:rPr>
          <w:rFonts w:eastAsia="等线" w:ascii="Arial" w:cs="Arial" w:hAnsi="Arial"/>
          <w:b w:val="true"/>
          <w:sz w:val="22"/>
        </w:rPr>
        <w:t>信息获取现状</w:t>
      </w:r>
      <w:r>
        <w:rPr>
          <w:rFonts w:eastAsia="等线" w:ascii="Arial" w:cs="Arial" w:hAnsi="Arial"/>
          <w:sz w:val="22"/>
        </w:rPr>
        <w:t>：当前很多二三四五线城市家长主要通过抖音获取升学信息，但抖音网红讲解就业多凭经验或道听途说，远不如数据详实真实，因此数据在升学规划中非常必要。</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00:03</w:t>
        </w:r>
      </w:hyperlink>
      <w:r>
        <w:rPr>
          <w:rFonts w:eastAsia="等线" w:ascii="Arial" w:cs="Arial" w:hAnsi="Arial"/>
          <w:b w:val="true"/>
          <w:sz w:val="22"/>
        </w:rPr>
        <w:t xml:space="preserve">  沈阳航空航天大学就业情况及人才培养评估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以沈阳航空航天大学为例探讨学校培养与就业问题。指出就业是检验学校专业设置和人才培养目的是否达成的重要标准。虽该校不如北航出名，但毕业生进入航空航天行业比例达26%，且涉及制造、运营等不同岗位，说明学校在培养航空航天人才上有一定成效。</w:t>
            </w:r>
          </w:p>
        </w:tc>
      </w:tr>
    </w:tbl>
    <w:p>
      <w:pPr>
        <w:spacing w:before="120" w:after="120" w:line="288" w:lineRule="auto"/>
        <w:ind w:left="0"/>
        <w:jc w:val="left"/>
      </w:pPr>
      <w:hyperlink r:id="rId8">
        <w:r>
          <w:rPr>
            <w:rFonts w:eastAsia="等线" w:ascii="Arial" w:cs="Arial" w:hAnsi="Arial"/>
            <w:color w:val="3370ff"/>
            <w:sz w:val="22"/>
          </w:rPr>
          <w:t>01:25</w:t>
        </w:r>
      </w:hyperlink>
      <w:r>
        <w:rPr>
          <w:rFonts w:eastAsia="等线" w:ascii="Arial" w:cs="Arial" w:hAnsi="Arial"/>
          <w:b w:val="true"/>
          <w:sz w:val="22"/>
        </w:rPr>
        <w:t xml:space="preserve">  沈航飞行器制造专业就业公司分布及对口分析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沈阳航空航天大学飞行器制造工程专业展开。该专业有1100个学生样本，就业结果显示，就业最多的公司是汽车模具股份，其次是中航沈飞民用飞机、航空维修等，还有红日金属科技、空军等。多数去向与航空航天对口。对于汽车模具股份排名第一，解释是汽车制造和飞机制造很多时候是一体的，如哈飞集团。</w:t>
            </w:r>
          </w:p>
        </w:tc>
      </w:tr>
    </w:tbl>
    <w:p>
      <w:pPr>
        <w:spacing w:before="120" w:after="120" w:line="288" w:lineRule="auto"/>
        <w:ind w:left="0"/>
        <w:jc w:val="left"/>
      </w:pPr>
      <w:hyperlink r:id="rId9">
        <w:r>
          <w:rPr>
            <w:rFonts w:eastAsia="等线" w:ascii="Arial" w:cs="Arial" w:hAnsi="Arial"/>
            <w:color w:val="3370ff"/>
            <w:sz w:val="22"/>
          </w:rPr>
          <w:t>02:57</w:t>
        </w:r>
      </w:hyperlink>
      <w:r>
        <w:rPr>
          <w:rFonts w:eastAsia="等线" w:ascii="Arial" w:cs="Arial" w:hAnsi="Arial"/>
          <w:b w:val="true"/>
          <w:sz w:val="22"/>
        </w:rPr>
        <w:t xml:space="preserve">  某学校机械专业就业薪资佳，缺高级工业人才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提到一些航空航天公司会涉及汽车制造，尤其是特殊种类汽车。以该校机械工程师岗位为例，如飞行器设计与制造工程师，在沈阳起薪不错，工作十年平均年薪达三四十万，虽学校分数远低于985大学，但此专业表现优异。不过该校毕业起薪不高，反映出我国缺乏成熟的高级工业技术人才。</w:t>
            </w:r>
          </w:p>
        </w:tc>
      </w:tr>
    </w:tbl>
    <w:p>
      <w:pPr>
        <w:spacing w:before="120" w:after="120" w:line="288" w:lineRule="auto"/>
        <w:ind w:left="0"/>
        <w:jc w:val="left"/>
      </w:pPr>
      <w:hyperlink r:id="rId10">
        <w:r>
          <w:rPr>
            <w:rFonts w:eastAsia="等线" w:ascii="Arial" w:cs="Arial" w:hAnsi="Arial"/>
            <w:color w:val="3370ff"/>
            <w:sz w:val="22"/>
          </w:rPr>
          <w:t>04:09</w:t>
        </w:r>
      </w:hyperlink>
      <w:r>
        <w:rPr>
          <w:rFonts w:eastAsia="等线" w:ascii="Arial" w:cs="Arial" w:hAnsi="Arial"/>
          <w:b w:val="true"/>
          <w:sz w:val="22"/>
        </w:rPr>
        <w:t xml:space="preserve">  沈阳26.2%留才率高，产业助城市发展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指出学生去得最多的城市是沈阳，占比26.2%，说明很多学生愿意留在沈阳。对比其他城市，有些学校毕业生大多离开当地，而沈阳因有大量高端工业，人才吸引力高，能留住优秀人才。与之相对，黑龙江等地重工业竞争力下降留不住人，沈阳产业对城市发展有重要帮助。</w:t>
            </w:r>
          </w:p>
        </w:tc>
      </w:tr>
    </w:tbl>
    <w:p>
      <w:pPr>
        <w:spacing w:before="120" w:after="120" w:line="288" w:lineRule="auto"/>
        <w:ind w:left="0"/>
        <w:jc w:val="left"/>
      </w:pPr>
      <w:hyperlink r:id="rId11">
        <w:r>
          <w:rPr>
            <w:rFonts w:eastAsia="等线" w:ascii="Arial" w:cs="Arial" w:hAnsi="Arial"/>
            <w:color w:val="3370ff"/>
            <w:sz w:val="22"/>
          </w:rPr>
          <w:t>05:23</w:t>
        </w:r>
      </w:hyperlink>
      <w:r>
        <w:rPr>
          <w:rFonts w:eastAsia="等线" w:ascii="Arial" w:cs="Arial" w:hAnsi="Arial"/>
          <w:b w:val="true"/>
          <w:sz w:val="22"/>
        </w:rPr>
        <w:t xml:space="preserve">  升学规划数据缺失难题及专业读研情况分析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指出沈阳航空航天大学某专业学生读研多去985、211高校，反映出该专业虽分数不及985，但就业和受研究生认可程度不差。强调做好生涯规划，知彼环节缺数据是升学规划最大难点，而“我们”补上了这一缺口，有详细数据可有的放矢。还提及关注读研专业对口性，可反映学校本科生培养情况。</w:t>
            </w:r>
          </w:p>
        </w:tc>
      </w:tr>
    </w:tbl>
    <w:p>
      <w:pPr>
        <w:spacing w:before="120" w:after="120" w:line="288" w:lineRule="auto"/>
        <w:ind w:left="0"/>
        <w:jc w:val="left"/>
      </w:pPr>
      <w:hyperlink r:id="rId12">
        <w:r>
          <w:rPr>
            <w:rFonts w:eastAsia="等线" w:ascii="Arial" w:cs="Arial" w:hAnsi="Arial"/>
            <w:color w:val="3370ff"/>
            <w:sz w:val="22"/>
          </w:rPr>
          <w:t>08:01</w:t>
        </w:r>
      </w:hyperlink>
      <w:r>
        <w:rPr>
          <w:rFonts w:eastAsia="等线" w:ascii="Arial" w:cs="Arial" w:hAnsi="Arial"/>
          <w:b w:val="true"/>
          <w:sz w:val="22"/>
        </w:rPr>
        <w:t xml:space="preserve">  院校个例及数据对升学填报的重要性</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先以西北工业大学为例，指出其在飞机制造领域排名第一，还提及北航、哈工大在航空航天方面的优势。强调有相关数据后填报志愿会更易，能避免被忽悠。同时提到当下二三四五线城市家长多从抖音获取升学信息，而抖音网红讲就业多凭经验或道听途说，使用数据很有必要。</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14"/>
        </w:numPr>
        <w:spacing w:before="120" w:after="120" w:line="288" w:lineRule="auto"/>
        <w:ind w:left="0"/>
        <w:jc w:val="left"/>
      </w:pPr>
      <w:r>
        <w:rPr>
          <w:rFonts w:eastAsia="等线" w:ascii="Arial" w:cs="Arial" w:hAnsi="Arial"/>
          <w:b w:val="true"/>
          <w:sz w:val="22"/>
        </w:rPr>
        <w:t>沈阳航空航天大学就业情况</w:t>
      </w:r>
      <w:r>
        <w:rPr>
          <w:rFonts w:eastAsia="等线" w:ascii="Arial" w:cs="Arial" w:hAnsi="Arial"/>
          <w:sz w:val="22"/>
        </w:rPr>
        <w:t>：以该校飞行器制造工程专业为例，展示其毕业生就业行业、公司、岗位、薪资等数据，表明该专业就业对口且薪资增长潜力大。</w:t>
      </w:r>
    </w:p>
    <w:p>
      <w:pPr>
        <w:numPr>
          <w:numId w:val="15"/>
        </w:numPr>
        <w:spacing w:before="120" w:after="120" w:line="288" w:lineRule="auto"/>
        <w:ind w:left="0"/>
        <w:jc w:val="left"/>
      </w:pPr>
      <w:r>
        <w:rPr>
          <w:rFonts w:eastAsia="等线" w:ascii="Arial" w:cs="Arial" w:hAnsi="Arial"/>
          <w:b w:val="true"/>
          <w:sz w:val="22"/>
        </w:rPr>
        <w:t>城市人才吸引力</w:t>
      </w:r>
      <w:r>
        <w:rPr>
          <w:rFonts w:eastAsia="等线" w:ascii="Arial" w:cs="Arial" w:hAnsi="Arial"/>
          <w:sz w:val="22"/>
        </w:rPr>
        <w:t>：指出沈阳因有大量高端工业，能留住沈阳航空航天大学的很多毕业生，而黑龙江因重工业竞争力下降难以留住人才。</w:t>
      </w:r>
    </w:p>
    <w:p>
      <w:pPr>
        <w:numPr>
          <w:numId w:val="16"/>
        </w:numPr>
        <w:spacing w:before="120" w:after="120" w:line="288" w:lineRule="auto"/>
        <w:ind w:left="0"/>
        <w:jc w:val="left"/>
      </w:pPr>
      <w:r>
        <w:rPr>
          <w:rFonts w:eastAsia="等线" w:ascii="Arial" w:cs="Arial" w:hAnsi="Arial"/>
          <w:b w:val="true"/>
          <w:sz w:val="22"/>
        </w:rPr>
        <w:t>升学规划数据重要性</w:t>
      </w:r>
      <w:r>
        <w:rPr>
          <w:rFonts w:eastAsia="等线" w:ascii="Arial" w:cs="Arial" w:hAnsi="Arial"/>
          <w:sz w:val="22"/>
        </w:rPr>
        <w:t>：强调升学规划中知彼环节缺数据是最大难点，拥有详实数据可使升学规划更有针对性，避免被无根据的信息误导。</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「就业好，不只是要看薪资和工作，还要看学校培养学生的目的和最终培养的结果是否一致，学生的就业是检验学校、专业设置和培养人才目的是否达到的重要标准。」</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突出了评价学校和专业就业情况的关键要点，引发对学校培养质量与就业关系的思考。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「我国很缺非常成熟的高级工业技术方面的人才，从沈阳航空航天大学该专业毕业生起薪不高但多年后薪资可观可看出。」</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通过具体案例反映出我国人才需求现状，具有独特洞察。</w:t>
      </w:r>
    </w:p>
    <w:p>
      <w:pPr>
        <w:spacing w:before="120" w:after="120" w:line="288" w:lineRule="auto"/>
        <w:ind w:left="0"/>
        <w:jc w:val="left"/>
      </w:pPr>
    </w:p>
    <w:p>
      <w:pPr>
        <w:spacing w:before="120" w:after="120" w:line="288" w:lineRule="auto"/>
        <w:ind w:left="0"/>
        <w:jc w:val="left"/>
      </w:pPr>
      <w:r>
        <w:rPr>
          <w:rFonts w:eastAsia="等线" w:ascii="Arial" w:cs="Arial" w:hAnsi="Arial"/>
          <w:sz w:val="22"/>
        </w:rPr>
        <w:t>「升学规划中知彼环节缺数据是全世界范围内大学生就业和高中生升学面临的最大挑战，拥有详实数据能让我们在考虑学校和专业时有的放矢。」</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明确指出升学规划的难点，并强调了数据在升学规划中的重要性。</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17"/>
        </w:numPr>
        <w:spacing w:before="120" w:after="120" w:line="288" w:lineRule="auto"/>
        <w:ind w:left="0"/>
        <w:jc w:val="left"/>
      </w:pPr>
      <w:r>
        <w:rPr>
          <w:rFonts w:eastAsia="等线" w:ascii="Arial" w:cs="Arial" w:hAnsi="Arial"/>
          <w:sz w:val="22"/>
        </w:rPr>
        <w:t>妙记：</w:t>
      </w:r>
      <w:hyperlink r:id="rId13">
        <w:r>
          <w:rPr>
            <w:rFonts w:eastAsia="等线" w:ascii="Arial" w:cs="Arial" w:hAnsi="Arial"/>
            <w:color w:val="3370ff"/>
            <w:sz w:val="22"/>
          </w:rPr>
          <w:t>37、全国14万院系就业真相随心看</w:t>
        </w:r>
      </w:hyperlink>
    </w:p>
    <w:p>
      <w:pPr>
        <w:numPr>
          <w:numId w:val="18"/>
        </w:numPr>
        <w:spacing w:before="120" w:after="120" w:line="288" w:lineRule="auto"/>
        <w:ind w:left="0"/>
        <w:jc w:val="left"/>
      </w:pPr>
      <w:r>
        <w:rPr>
          <w:rFonts w:eastAsia="等线" w:ascii="Arial" w:cs="Arial" w:hAnsi="Arial"/>
          <w:sz w:val="22"/>
        </w:rPr>
        <w:t>文字记录</w:t>
      </w:r>
    </w:p>
    <w:p>
      <w:pPr>
        <w:numPr>
          <w:numId w:val="19"/>
        </w:numPr>
        <w:spacing w:before="120" w:after="120" w:line="288" w:lineRule="auto"/>
        <w:ind w:left="453"/>
        <w:jc w:val="left"/>
      </w:pPr>
      <w:hyperlink r:id="rId14">
        <w:r>
          <w:rPr>
            <w:rFonts w:eastAsia="等线" w:ascii="Arial" w:cs="Arial" w:hAnsi="Arial"/>
            <w:color w:val="3370ff"/>
            <w:sz w:val="22"/>
          </w:rPr>
          <w:t>37、全国14万院系就业真相随心看 2026年1月22日</w:t>
        </w:r>
      </w:hyperlink>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400">
    <w:lvl>
      <w:numFmt w:val="bullet"/>
      <w:suff w:val="tab"/>
      <w:lvlText w:val="•"/>
      <w:rPr>
        <w:color w:val="3370ff"/>
      </w:rPr>
    </w:lvl>
  </w:abstractNum>
  <w:abstractNum w:abstractNumId="3401">
    <w:lvl>
      <w:numFmt w:val="bullet"/>
      <w:suff w:val="tab"/>
      <w:lvlText w:val="￮"/>
      <w:rPr>
        <w:color w:val="3370ff"/>
      </w:rPr>
    </w:lvl>
  </w:abstractNum>
  <w:abstractNum w:abstractNumId="3402">
    <w:lvl>
      <w:numFmt w:val="bullet"/>
      <w:suff w:val="tab"/>
      <w:lvlText w:val="•"/>
      <w:rPr>
        <w:color w:val="3370ff"/>
      </w:rPr>
    </w:lvl>
  </w:abstractNum>
  <w:abstractNum w:abstractNumId="3403">
    <w:lvl>
      <w:numFmt w:val="bullet"/>
      <w:suff w:val="tab"/>
      <w:lvlText w:val="•"/>
      <w:rPr>
        <w:color w:val="3370ff"/>
      </w:rPr>
    </w:lvl>
  </w:abstractNum>
  <w:abstractNum w:abstractNumId="3404">
    <w:lvl>
      <w:numFmt w:val="bullet"/>
      <w:suff w:val="tab"/>
      <w:lvlText w:val="•"/>
      <w:rPr>
        <w:color w:val="3370ff"/>
      </w:rPr>
    </w:lvl>
  </w:abstractNum>
  <w:abstractNum w:abstractNumId="3405">
    <w:lvl>
      <w:numFmt w:val="bullet"/>
      <w:suff w:val="tab"/>
      <w:lvlText w:val="•"/>
      <w:rPr>
        <w:color w:val="3370ff"/>
      </w:rPr>
    </w:lvl>
  </w:abstractNum>
  <w:abstractNum w:abstractNumId="3406">
    <w:lvl>
      <w:numFmt w:val="bullet"/>
      <w:suff w:val="tab"/>
      <w:lvlText w:val="￮"/>
      <w:rPr>
        <w:color w:val="3370ff"/>
      </w:rPr>
    </w:lvl>
  </w:abstractNum>
  <w:abstractNum w:abstractNumId="3407">
    <w:lvl>
      <w:numFmt w:val="bullet"/>
      <w:suff w:val="tab"/>
      <w:lvlText w:val="▪"/>
      <w:rPr>
        <w:color w:val="3370ff"/>
        <w:sz w:val="11"/>
      </w:rPr>
    </w:lvl>
  </w:abstractNum>
  <w:abstractNum w:abstractNumId="3408">
    <w:lvl>
      <w:numFmt w:val="bullet"/>
      <w:suff w:val="tab"/>
      <w:lvlText w:val="▪"/>
      <w:rPr>
        <w:color w:val="3370ff"/>
        <w:sz w:val="11"/>
      </w:rPr>
    </w:lvl>
  </w:abstractNum>
  <w:abstractNum w:abstractNumId="3409">
    <w:lvl>
      <w:numFmt w:val="bullet"/>
      <w:suff w:val="tab"/>
      <w:lvlText w:val="•"/>
      <w:rPr>
        <w:color w:val="3370ff"/>
      </w:rPr>
    </w:lvl>
  </w:abstractNum>
  <w:abstractNum w:abstractNumId="3410">
    <w:lvl>
      <w:numFmt w:val="bullet"/>
      <w:suff w:val="tab"/>
      <w:lvlText w:val="￮"/>
      <w:rPr>
        <w:color w:val="3370ff"/>
      </w:rPr>
    </w:lvl>
  </w:abstractNum>
  <w:abstractNum w:abstractNumId="3411">
    <w:lvl>
      <w:numFmt w:val="bullet"/>
      <w:suff w:val="tab"/>
      <w:lvlText w:val="￮"/>
      <w:rPr>
        <w:color w:val="3370ff"/>
      </w:rPr>
    </w:lvl>
  </w:abstractNum>
  <w:abstractNum w:abstractNumId="3412">
    <w:lvl>
      <w:numFmt w:val="bullet"/>
      <w:suff w:val="tab"/>
      <w:lvlText w:val="￮"/>
      <w:rPr>
        <w:color w:val="3370ff"/>
      </w:rPr>
    </w:lvl>
  </w:abstractNum>
  <w:abstractNum w:abstractNumId="3413">
    <w:lvl>
      <w:numFmt w:val="bullet"/>
      <w:suff w:val="tab"/>
      <w:lvlText w:val="•"/>
      <w:rPr>
        <w:color w:val="3370ff"/>
      </w:rPr>
    </w:lvl>
  </w:abstractNum>
  <w:abstractNum w:abstractNumId="3414">
    <w:lvl>
      <w:numFmt w:val="bullet"/>
      <w:suff w:val="tab"/>
      <w:lvlText w:val="•"/>
      <w:rPr>
        <w:color w:val="3370ff"/>
      </w:rPr>
    </w:lvl>
  </w:abstractNum>
  <w:abstractNum w:abstractNumId="3415">
    <w:lvl>
      <w:numFmt w:val="bullet"/>
      <w:suff w:val="tab"/>
      <w:lvlText w:val="•"/>
      <w:rPr>
        <w:color w:val="3370ff"/>
      </w:rPr>
    </w:lvl>
  </w:abstractNum>
  <w:abstractNum w:abstractNumId="3416">
    <w:lvl>
      <w:numFmt w:val="bullet"/>
      <w:suff w:val="tab"/>
      <w:lvlText w:val="•"/>
      <w:rPr>
        <w:color w:val="3370ff"/>
      </w:rPr>
    </w:lvl>
  </w:abstractNum>
  <w:abstractNum w:abstractNumId="3417">
    <w:lvl>
      <w:numFmt w:val="bullet"/>
      <w:suff w:val="tab"/>
      <w:lvlText w:val="•"/>
      <w:rPr>
        <w:color w:val="3370ff"/>
      </w:rPr>
    </w:lvl>
  </w:abstractNum>
  <w:abstractNum w:abstractNumId="3418">
    <w:lvl>
      <w:numFmt w:val="bullet"/>
      <w:suff w:val="tab"/>
      <w:lvlText w:val="￮"/>
      <w:rPr>
        <w:color w:val="3370ff"/>
      </w:rPr>
    </w:lvl>
  </w:abstractNum>
  <w:num w:numId="1">
    <w:abstractNumId w:val="3400"/>
  </w:num>
  <w:num w:numId="2">
    <w:abstractNumId w:val="3401"/>
  </w:num>
  <w:num w:numId="3">
    <w:abstractNumId w:val="3402"/>
  </w:num>
  <w:num w:numId="4">
    <w:abstractNumId w:val="3403"/>
  </w:num>
  <w:num w:numId="5">
    <w:abstractNumId w:val="3404"/>
  </w:num>
  <w:num w:numId="6">
    <w:abstractNumId w:val="3405"/>
  </w:num>
  <w:num w:numId="7">
    <w:abstractNumId w:val="3406"/>
  </w:num>
  <w:num w:numId="8">
    <w:abstractNumId w:val="3407"/>
  </w:num>
  <w:num w:numId="9">
    <w:abstractNumId w:val="3408"/>
  </w:num>
  <w:num w:numId="10">
    <w:abstractNumId w:val="3409"/>
  </w:num>
  <w:num w:numId="11">
    <w:abstractNumId w:val="3410"/>
  </w:num>
  <w:num w:numId="12">
    <w:abstractNumId w:val="3411"/>
  </w:num>
  <w:num w:numId="13">
    <w:abstractNumId w:val="3412"/>
  </w:num>
  <w:num w:numId="14">
    <w:abstractNumId w:val="3413"/>
  </w:num>
  <w:num w:numId="15">
    <w:abstractNumId w:val="3414"/>
  </w:num>
  <w:num w:numId="16">
    <w:abstractNumId w:val="3415"/>
  </w:num>
  <w:num w:numId="17">
    <w:abstractNumId w:val="3416"/>
  </w:num>
  <w:num w:numId="18">
    <w:abstractNumId w:val="3417"/>
  </w:num>
  <w:num w:numId="19">
    <w:abstractNumId w:val="34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s473f73tyh6361stpq?t=249000" TargetMode="External" Type="http://schemas.openxmlformats.org/officeDocument/2006/relationships/hyperlink"/><Relationship Id="rId11" Target="https://hcnytq72r1ge.feishu.cn/minutes/obcnfos473f73tyh6361stpq?t=323000" TargetMode="External" Type="http://schemas.openxmlformats.org/officeDocument/2006/relationships/hyperlink"/><Relationship Id="rId12" Target="https://hcnytq72r1ge.feishu.cn/minutes/obcnfos473f73tyh6361stpq?t=481000" TargetMode="External" Type="http://schemas.openxmlformats.org/officeDocument/2006/relationships/hyperlink"/><Relationship Id="rId13" Target="https://hcnytq72r1ge.feishu.cn/minutes/obcnfos473f73tyh6361stpq?from=ai_minutes" TargetMode="External" Type="http://schemas.openxmlformats.org/officeDocument/2006/relationships/hyperlink"/><Relationship Id="rId14" Target="https://hcnytq72r1ge.feishu.cn/docx/HBQQdnkJfo4YEZxwTs9cgPainmg"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os473f73tyh6361stpq?t=3000" TargetMode="External" Type="http://schemas.openxmlformats.org/officeDocument/2006/relationships/hyperlink"/><Relationship Id="rId8" Target="https://hcnytq72r1ge.feishu.cn/minutes/obcnfos473f73tyh6361stpq?t=85000" TargetMode="External" Type="http://schemas.openxmlformats.org/officeDocument/2006/relationships/hyperlink"/><Relationship Id="rId9" Target="https://hcnytq72r1ge.feishu.cn/minutes/obcnfos473f73tyh6361stpq?t=177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2026-01-26T08:54:27Z</dcterms:created>
  <dc:creator>Apache POI</dc:creator>
</cp:coreProperties>
</file>