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智能纪要：39、U：学校好，全面对比才重要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会议主题：39、U：学校好，全面对比才重要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22:24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48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本次会议围绕升学黄金密码中“学校好”的标准展开，以兰州大学和苏州大学的对比为例，深入探讨了学校选择的考量因素以及排名在志愿填报中的参考价值，内容如下：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志愿填报难点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协调难度大</w:t>
      </w:r>
      <w:r>
        <w:rPr>
          <w:rFonts w:eastAsia="等线" w:ascii="Arial" w:cs="Arial" w:hAnsi="Arial"/>
          <w:sz w:val="22"/>
        </w:rPr>
        <w:t>：志愿填报通常是家庭决策模型，需考虑小孩、爸爸、妈妈的想法及他们之间的矛盾点，协调难度大。例如，说话人1曾为一位背景优越家庭的女儿填报志愿，在选学校时，女儿和妈妈就兰州大学和苏州大学产生巨大分歧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城市因素影响</w:t>
      </w:r>
      <w:r>
        <w:rPr>
          <w:rFonts w:eastAsia="等线" w:ascii="Arial" w:cs="Arial" w:hAnsi="Arial"/>
          <w:sz w:val="22"/>
        </w:rPr>
        <w:t>：妈妈因兰州偏远，女儿未离开过北京，倾向选择苏州大学；而女儿可能有不同想法，体现了城市因素在学校选择中的重要影响。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学校对比分析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学校对比观点分歧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选择倾向不同：对于兰州大学和苏州大学哪个更好，现场意见不一致。妈妈和众多志愿填报专家、亲友倾向苏州大学，认为苏州好；但也有人觉得兰州大学更好，不过能阐述原因的较少。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就业判断误区：很多人认为苏州大学就业好，依据是苏州城市经济好，但说话人1指出这存在逻辑错误，学校在苏州不代表就业就好，应依据苏州大学自身的就业数据判断。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对比因子探讨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重要因子列举：对比学校好坏的重要因子包括所在城市、排名、就业率、薪资水平、读研率及读研去的学校等。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专业选择现状：绝大多数家长在给孩子填报志愿时先选学校后选专业，很少有人非某个专业不去。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对比结果呈现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713"/>
        <w:gridCol w:w="2566"/>
      </w:tblGrid>
      <w:tr>
        <w:tc>
          <w:tcPr>
            <w:tcW w:w="571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学校实力对比：兰州大学是 985、211、双一流高校，苏州大学是 211、省重点高校，学校层次上兰州大学更高。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排名情况分析：在全国高考分数加权排名中，兰州大学更具竞争力和吸引力；但武书连排名、QS 排名、USNEWS 排名中，苏州大学更高。这表明不同排名机构的评判标准不同，部分排名背后存在商业目的，如赚钱和试图控制教育资源分配，国内有人大等高校宣布退出排名。</w:t>
            </w:r>
          </w:p>
        </w:tc>
        <w:tc>
          <w:tcPr>
            <w:tcW w:w="256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76375" cy="10477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兰州大学与苏州大学核心指标对比</w:t>
              <w:br/>
            </w:r>
          </w:p>
        </w:tc>
      </w:tr>
    </w:tbl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年度预算差异：兰州大学年度预算为 55.17 亿，苏州大学为 38 亿，且苏州大学在校学生人数比兰州大学多 50%，人均预算方面兰州大学更有优势，体现了“瘦死的骆驼比马大”。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排名背后目的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商业盈利目的</w:t>
      </w:r>
      <w:r>
        <w:rPr>
          <w:rFonts w:eastAsia="等线" w:ascii="Arial" w:cs="Arial" w:hAnsi="Arial"/>
          <w:sz w:val="22"/>
        </w:rPr>
        <w:t>：国外排名机构做中国大学排行榜，会派排名委员会人员到学校，与校长接触，存在商业盈利目的，如销售相关服务。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资源分配影响</w:t>
      </w:r>
      <w:r>
        <w:rPr>
          <w:rFonts w:eastAsia="等线" w:ascii="Arial" w:cs="Arial" w:hAnsi="Arial"/>
          <w:sz w:val="22"/>
        </w:rPr>
        <w:t>：部分排名机构试图通过排行榜控制地方教育资源分配，这也是国内部分高校宣布退出排名的原因。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00:02</w:t>
        </w:r>
      </w:hyperlink>
      <w:r>
        <w:rPr>
          <w:rFonts w:eastAsia="等线" w:ascii="Arial" w:cs="Arial" w:hAnsi="Arial"/>
          <w:b w:val="true"/>
          <w:sz w:val="22"/>
        </w:rPr>
        <w:t xml:space="preserve">  志愿填报中兰州大学与苏州大学选择分歧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“学校好”展开，说话人以兰州大学和苏州大学为例引发思考。接着分享一次难忘的志愿填报经历，服务对象背景优越，为其女儿规划走新闻或传媒路线获认可，但选校时出现分歧，女儿与妈妈的选择在两校间，妈妈因兰州偏远选苏州大学，众多专家和亲友也倾向苏州大学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04:09</w:t>
        </w:r>
      </w:hyperlink>
      <w:r>
        <w:rPr>
          <w:rFonts w:eastAsia="等线" w:ascii="Arial" w:cs="Arial" w:hAnsi="Arial"/>
          <w:b w:val="true"/>
          <w:sz w:val="22"/>
        </w:rPr>
        <w:t xml:space="preserve">  兰州大学与苏州大学对比及志愿选择探讨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兰州大学和苏州大学的比较展开。说话人1询问认为兰州大学更好的原因，还探讨了苏州大学就业好的依据，强调判断要严谨。接着提及对比两校好坏的因子，如所在城市、排名等，指出多数家长先选学校再选专业，最后提出是选“潜力股”后起之秀，还是“瘦死的骆驼”老牌985的问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09:51</w:t>
        </w:r>
      </w:hyperlink>
      <w:r>
        <w:rPr>
          <w:rFonts w:eastAsia="等线" w:ascii="Arial" w:cs="Arial" w:hAnsi="Arial"/>
          <w:b w:val="true"/>
          <w:sz w:val="22"/>
        </w:rPr>
        <w:t xml:space="preserve">  兰州大学与苏州大学多维度对比分析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本章节以语音操作对比兰州大学和苏州大学。从学校实力看，兰州大学层次更高；高考分数加权总排名兰州大学更具竞争力，但武书连、QS、USNEWS 排名中苏州大学更高。填报志愿时很多人看重排名，而排名数据未起到应有社会效应。此外，兰州大学年度预算多、学生少，人均预算远高于苏州大学。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：无关键决策。会议关键内容总结如下：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志愿填报难点</w:t>
      </w:r>
      <w:r>
        <w:rPr>
          <w:rFonts w:eastAsia="等线" w:ascii="Arial" w:cs="Arial" w:hAnsi="Arial"/>
          <w:sz w:val="22"/>
        </w:rPr>
        <w:t>：说话人1指出志愿填报常是家庭决策模型，需协调孩子、爸爸、妈妈的意见，达成一致难度大。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学校选择分歧</w:t>
      </w:r>
      <w:r>
        <w:rPr>
          <w:rFonts w:eastAsia="等线" w:ascii="Arial" w:cs="Arial" w:hAnsi="Arial"/>
          <w:sz w:val="22"/>
        </w:rPr>
        <w:t>：以兰州大学和苏州大学为例，展示了在学校选择上存在的分歧，一方认为苏州大学好，另一方认为应综合考量。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对比学校因子</w:t>
      </w:r>
      <w:r>
        <w:rPr>
          <w:rFonts w:eastAsia="等线" w:ascii="Arial" w:cs="Arial" w:hAnsi="Arial"/>
          <w:sz w:val="22"/>
        </w:rPr>
        <w:t>：说话人1提出对比学校好坏的重要因子，包括所在城市、排名、就业率、薪资水平、读研率等。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学校排名分析</w:t>
      </w:r>
      <w:r>
        <w:rPr>
          <w:rFonts w:eastAsia="等线" w:ascii="Arial" w:cs="Arial" w:hAnsi="Arial"/>
          <w:sz w:val="22"/>
        </w:rPr>
        <w:t>：介绍了不同排名机构对兰州大学和苏州大学的排名情况，以及排名背后可能存在的目的。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学校预算对比</w:t>
      </w:r>
      <w:r>
        <w:rPr>
          <w:rFonts w:eastAsia="等线" w:ascii="Arial" w:cs="Arial" w:hAnsi="Arial"/>
          <w:sz w:val="22"/>
        </w:rPr>
        <w:t>：对比了兰州大学和苏州大学的年度预算和在校学生人数，指出兰州大学人均预算更高。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「志愿填报一般不是个体决策模型，而是家庭决策模型，要搞清楚孩子、爸爸、妈妈的想法，以及他们商讨时的矛盾点，做一个家庭协调员，让三人达成一致。」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准确指出了志愿填报过程中的难点和关键，强调了协调家庭意见的重要性。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「学校在苏州不代表就业就好，不能仅因城市经济好就认为学校就业好，要严谨判断。」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纠正了人们在选择学校时的常见误区，提醒要以严谨的态度看待学校就业情况。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「不浪费分才是填报志愿最重要的事情，很多人即便知道按排名选校可能不对，但因短视仍会这么做。」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揭示了填报志愿时人们的普遍心理，反映了数据价值未充分发挥的现状。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39、U：学校好，全面对比才重要</w:t>
        </w:r>
      </w:hyperlink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39、U：学校好，全面对比才重要 2026年1月22日</w:t>
        </w:r>
      </w:hyperlink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516">
    <w:lvl>
      <w:numFmt w:val="bullet"/>
      <w:suff w:val="tab"/>
      <w:lvlText w:val="•"/>
      <w:rPr>
        <w:color w:val="3370ff"/>
      </w:rPr>
    </w:lvl>
  </w:abstractNum>
  <w:abstractNum w:abstractNumId="8517">
    <w:lvl>
      <w:numFmt w:val="bullet"/>
      <w:suff w:val="tab"/>
      <w:lvlText w:val="￮"/>
      <w:rPr>
        <w:color w:val="3370ff"/>
      </w:rPr>
    </w:lvl>
  </w:abstractNum>
  <w:abstractNum w:abstractNumId="8518">
    <w:lvl>
      <w:numFmt w:val="bullet"/>
      <w:suff w:val="tab"/>
      <w:lvlText w:val="￮"/>
      <w:rPr>
        <w:color w:val="3370ff"/>
      </w:rPr>
    </w:lvl>
  </w:abstractNum>
  <w:abstractNum w:abstractNumId="8519">
    <w:lvl>
      <w:numFmt w:val="bullet"/>
      <w:suff w:val="tab"/>
      <w:lvlText w:val="•"/>
      <w:rPr>
        <w:color w:val="3370ff"/>
      </w:rPr>
    </w:lvl>
  </w:abstractNum>
  <w:abstractNum w:abstractNumId="8520">
    <w:lvl>
      <w:numFmt w:val="bullet"/>
      <w:suff w:val="tab"/>
      <w:lvlText w:val="￮"/>
      <w:rPr>
        <w:color w:val="3370ff"/>
      </w:rPr>
    </w:lvl>
  </w:abstractNum>
  <w:abstractNum w:abstractNumId="8521">
    <w:lvl>
      <w:numFmt w:val="bullet"/>
      <w:suff w:val="tab"/>
      <w:lvlText w:val="▪"/>
      <w:rPr>
        <w:color w:val="3370ff"/>
        <w:sz w:val="11"/>
      </w:rPr>
    </w:lvl>
  </w:abstractNum>
  <w:abstractNum w:abstractNumId="8522">
    <w:lvl>
      <w:numFmt w:val="bullet"/>
      <w:suff w:val="tab"/>
      <w:lvlText w:val="▪"/>
      <w:rPr>
        <w:color w:val="3370ff"/>
        <w:sz w:val="11"/>
      </w:rPr>
    </w:lvl>
  </w:abstractNum>
  <w:abstractNum w:abstractNumId="8523">
    <w:lvl>
      <w:numFmt w:val="bullet"/>
      <w:suff w:val="tab"/>
      <w:lvlText w:val="￮"/>
      <w:rPr>
        <w:color w:val="3370ff"/>
      </w:rPr>
    </w:lvl>
  </w:abstractNum>
  <w:abstractNum w:abstractNumId="8524">
    <w:lvl>
      <w:numFmt w:val="bullet"/>
      <w:suff w:val="tab"/>
      <w:lvlText w:val="▪"/>
      <w:rPr>
        <w:color w:val="3370ff"/>
        <w:sz w:val="11"/>
      </w:rPr>
    </w:lvl>
  </w:abstractNum>
  <w:abstractNum w:abstractNumId="8525">
    <w:lvl>
      <w:numFmt w:val="bullet"/>
      <w:suff w:val="tab"/>
      <w:lvlText w:val="▪"/>
      <w:rPr>
        <w:color w:val="3370ff"/>
        <w:sz w:val="11"/>
      </w:rPr>
    </w:lvl>
  </w:abstractNum>
  <w:abstractNum w:abstractNumId="8526">
    <w:lvl>
      <w:numFmt w:val="bullet"/>
      <w:suff w:val="tab"/>
      <w:lvlText w:val="￮"/>
      <w:rPr>
        <w:color w:val="3370ff"/>
      </w:rPr>
    </w:lvl>
  </w:abstractNum>
  <w:abstractNum w:abstractNumId="8527">
    <w:lvl>
      <w:numFmt w:val="bullet"/>
      <w:suff w:val="tab"/>
      <w:lvlText w:val="•"/>
      <w:rPr>
        <w:color w:val="3370ff"/>
      </w:rPr>
    </w:lvl>
  </w:abstractNum>
  <w:abstractNum w:abstractNumId="8528">
    <w:lvl>
      <w:numFmt w:val="bullet"/>
      <w:suff w:val="tab"/>
      <w:lvlText w:val="•"/>
      <w:rPr>
        <w:color w:val="3370ff"/>
      </w:rPr>
    </w:lvl>
  </w:abstractNum>
  <w:abstractNum w:abstractNumId="8529">
    <w:lvl>
      <w:numFmt w:val="bullet"/>
      <w:suff w:val="tab"/>
      <w:lvlText w:val="▪"/>
      <w:rPr>
        <w:color w:val="3370ff"/>
        <w:sz w:val="11"/>
      </w:rPr>
    </w:lvl>
  </w:abstractNum>
  <w:abstractNum w:abstractNumId="8530">
    <w:lvl>
      <w:numFmt w:val="bullet"/>
      <w:suff w:val="tab"/>
      <w:lvlText w:val="•"/>
      <w:rPr>
        <w:color w:val="3370ff"/>
      </w:rPr>
    </w:lvl>
  </w:abstractNum>
  <w:abstractNum w:abstractNumId="8531">
    <w:lvl>
      <w:numFmt w:val="bullet"/>
      <w:suff w:val="tab"/>
      <w:lvlText w:val="￮"/>
      <w:rPr>
        <w:color w:val="3370ff"/>
      </w:rPr>
    </w:lvl>
  </w:abstractNum>
  <w:abstractNum w:abstractNumId="8532">
    <w:lvl>
      <w:numFmt w:val="bullet"/>
      <w:suff w:val="tab"/>
      <w:lvlText w:val="￮"/>
      <w:rPr>
        <w:color w:val="3370ff"/>
      </w:rPr>
    </w:lvl>
  </w:abstractNum>
  <w:abstractNum w:abstractNumId="8533">
    <w:lvl>
      <w:numFmt w:val="bullet"/>
      <w:suff w:val="tab"/>
      <w:lvlText w:val="•"/>
      <w:rPr>
        <w:color w:val="3370ff"/>
      </w:rPr>
    </w:lvl>
  </w:abstractNum>
  <w:abstractNum w:abstractNumId="8534">
    <w:lvl>
      <w:numFmt w:val="bullet"/>
      <w:suff w:val="tab"/>
      <w:lvlText w:val="￮"/>
      <w:rPr>
        <w:color w:val="3370ff"/>
      </w:rPr>
    </w:lvl>
  </w:abstractNum>
  <w:abstractNum w:abstractNumId="8535">
    <w:lvl>
      <w:numFmt w:val="bullet"/>
      <w:suff w:val="tab"/>
      <w:lvlText w:val="￮"/>
      <w:rPr>
        <w:color w:val="3370ff"/>
      </w:rPr>
    </w:lvl>
  </w:abstractNum>
  <w:abstractNum w:abstractNumId="8536">
    <w:lvl>
      <w:numFmt w:val="bullet"/>
      <w:suff w:val="tab"/>
      <w:lvlText w:val="￮"/>
      <w:rPr>
        <w:color w:val="3370ff"/>
      </w:rPr>
    </w:lvl>
  </w:abstractNum>
  <w:abstractNum w:abstractNumId="8537">
    <w:lvl>
      <w:numFmt w:val="bullet"/>
      <w:suff w:val="tab"/>
      <w:lvlText w:val="￮"/>
      <w:rPr>
        <w:color w:val="3370ff"/>
      </w:rPr>
    </w:lvl>
  </w:abstractNum>
  <w:abstractNum w:abstractNumId="8538">
    <w:lvl>
      <w:numFmt w:val="bullet"/>
      <w:suff w:val="tab"/>
      <w:lvlText w:val="￮"/>
      <w:rPr>
        <w:color w:val="3370ff"/>
      </w:rPr>
    </w:lvl>
  </w:abstractNum>
  <w:abstractNum w:abstractNumId="8539">
    <w:lvl>
      <w:numFmt w:val="bullet"/>
      <w:suff w:val="tab"/>
      <w:lvlText w:val="•"/>
      <w:rPr>
        <w:color w:val="3370ff"/>
      </w:rPr>
    </w:lvl>
  </w:abstractNum>
  <w:abstractNum w:abstractNumId="8540">
    <w:lvl>
      <w:numFmt w:val="bullet"/>
      <w:suff w:val="tab"/>
      <w:lvlText w:val="•"/>
      <w:rPr>
        <w:color w:val="3370ff"/>
      </w:rPr>
    </w:lvl>
  </w:abstractNum>
  <w:abstractNum w:abstractNumId="8541">
    <w:lvl>
      <w:numFmt w:val="bullet"/>
      <w:suff w:val="tab"/>
      <w:lvlText w:val="￮"/>
      <w:rPr>
        <w:color w:val="3370ff"/>
      </w:rPr>
    </w:lvl>
  </w:abstractNum>
  <w:num w:numId="1">
    <w:abstractNumId w:val="8516"/>
  </w:num>
  <w:num w:numId="2">
    <w:abstractNumId w:val="8517"/>
  </w:num>
  <w:num w:numId="3">
    <w:abstractNumId w:val="8518"/>
  </w:num>
  <w:num w:numId="4">
    <w:abstractNumId w:val="8519"/>
  </w:num>
  <w:num w:numId="5">
    <w:abstractNumId w:val="8520"/>
  </w:num>
  <w:num w:numId="6">
    <w:abstractNumId w:val="8521"/>
  </w:num>
  <w:num w:numId="7">
    <w:abstractNumId w:val="8522"/>
  </w:num>
  <w:num w:numId="8">
    <w:abstractNumId w:val="8523"/>
  </w:num>
  <w:num w:numId="9">
    <w:abstractNumId w:val="8524"/>
  </w:num>
  <w:num w:numId="10">
    <w:abstractNumId w:val="8525"/>
  </w:num>
  <w:num w:numId="11">
    <w:abstractNumId w:val="8526"/>
  </w:num>
  <w:num w:numId="12">
    <w:abstractNumId w:val="8527"/>
  </w:num>
  <w:num w:numId="13">
    <w:abstractNumId w:val="8528"/>
  </w:num>
  <w:num w:numId="14">
    <w:abstractNumId w:val="8529"/>
  </w:num>
  <w:num w:numId="15">
    <w:abstractNumId w:val="8530"/>
  </w:num>
  <w:num w:numId="16">
    <w:abstractNumId w:val="8531"/>
  </w:num>
  <w:num w:numId="17">
    <w:abstractNumId w:val="8532"/>
  </w:num>
  <w:num w:numId="18">
    <w:abstractNumId w:val="8533"/>
  </w:num>
  <w:num w:numId="19">
    <w:abstractNumId w:val="8534"/>
  </w:num>
  <w:num w:numId="20">
    <w:abstractNumId w:val="8535"/>
  </w:num>
  <w:num w:numId="21">
    <w:abstractNumId w:val="8536"/>
  </w:num>
  <w:num w:numId="22">
    <w:abstractNumId w:val="8537"/>
  </w:num>
  <w:num w:numId="23">
    <w:abstractNumId w:val="8538"/>
  </w:num>
  <w:num w:numId="24">
    <w:abstractNumId w:val="8539"/>
  </w:num>
  <w:num w:numId="25">
    <w:abstractNumId w:val="8540"/>
  </w:num>
  <w:num w:numId="26">
    <w:abstractNumId w:val="85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e2b62b3ym95b988e46?from=ai_minutes" TargetMode="External" Type="http://schemas.openxmlformats.org/officeDocument/2006/relationships/hyperlink"/><Relationship Id="rId11" Target="https://hcnytq72r1ge.feishu.cn/docx/FQQMd0io7o4s1yxHGBHcZaLInXg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e2b62b3ym95b988e46?t=2000" TargetMode="External" Type="http://schemas.openxmlformats.org/officeDocument/2006/relationships/hyperlink"/><Relationship Id="rId8" Target="https://hcnytq72r1ge.feishu.cn/minutes/obcnfoe2b62b3ym95b988e46?t=249000" TargetMode="External" Type="http://schemas.openxmlformats.org/officeDocument/2006/relationships/hyperlink"/><Relationship Id="rId9" Target="https://hcnytq72r1ge.feishu.cn/minutes/obcnfoe2b62b3ym95b988e46?t=591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2026-01-26T08:56:01Z</dcterms:created>
  <dc:creator>Apache POI</dc:creator>
</cp:coreProperties>
</file>