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智能纪要：40、老牌985PK潜力211，怎么选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会议主题：40、老牌985PK潜力211，怎么选</w:t>
            </w:r>
          </w:p>
          <w:p>
            <w:pPr>
              <w:spacing w:before="120" w:after="120" w:line="288" w:lineRule="auto"/>
              <w:ind w:left="0"/>
              <w:jc w:val="left"/>
            </w:pPr>
            <w:r>
              <w:rPr>
                <w:rFonts w:eastAsia="等线" w:ascii="Arial" w:cs="Arial" w:hAnsi="Arial"/>
                <w:color w:val="646a73"/>
                <w:sz w:val="22"/>
              </w:rPr>
              <w:t>上传时间：1月22号（周四） 22:24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047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047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本次会议主要围绕兰州大学和苏州大学在满意度、就业、读研等方面进行对比分析，并结合志愿填报案例阐述了填报志愿应综合考量的观点，内容如下：</w:t>
      </w:r>
    </w:p>
    <w:p>
      <w:pPr>
        <w:numPr>
          <w:numId w:val="1"/>
        </w:numPr>
        <w:spacing w:before="120" w:after="120" w:line="288" w:lineRule="auto"/>
        <w:ind w:left="0"/>
        <w:jc w:val="left"/>
      </w:pPr>
      <w:r>
        <w:rPr>
          <w:rFonts w:eastAsia="等线" w:ascii="Arial" w:cs="Arial" w:hAnsi="Arial"/>
          <w:b w:val="true"/>
          <w:sz w:val="22"/>
        </w:rPr>
        <w:t>学校满意度对比</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数据出处说明</w:t>
            </w:r>
            <w:r>
              <w:rPr>
                <w:rFonts w:eastAsia="等线" w:ascii="Arial" w:cs="Arial" w:hAnsi="Arial"/>
                <w:sz w:val="22"/>
              </w:rPr>
              <w:t>：说话人1指出对比使用的数据来自教育部官方调研，由每年实名认证的毕业生和在校生填写，与大众点评数据不同，无法造假且为本校学生填写。</w:t>
            </w:r>
          </w:p>
          <w:p>
            <w:pPr>
              <w:numPr>
                <w:numId w:val="3"/>
              </w:numPr>
              <w:spacing w:before="120" w:after="120" w:line="288" w:lineRule="auto"/>
              <w:ind w:left="0"/>
              <w:jc w:val="left"/>
            </w:pPr>
            <w:r>
              <w:rPr>
                <w:rFonts w:eastAsia="等线" w:ascii="Arial" w:cs="Arial" w:hAnsi="Arial"/>
                <w:b w:val="true"/>
                <w:sz w:val="22"/>
              </w:rPr>
              <w:t>满意度差异分析</w:t>
            </w:r>
            <w:r>
              <w:rPr>
                <w:rFonts w:eastAsia="等线" w:ascii="Arial" w:cs="Arial" w:hAnsi="Arial"/>
                <w:sz w:val="22"/>
              </w:rPr>
              <w:t>：总体满意度和生活满意度方面两校差距不大，但环境满意度上，苏州大学超过 98%的学校，兰州大学仅超过 78%，这可能是部分人对兰州大学评价不高的原因。不过兰州大学通过高预算和多方面优势弥补了环境不足。</w:t>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1028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943100" cy="10287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兰州大学与苏州大学满意度对比</w:t>
              <w:br/>
            </w:r>
          </w:p>
        </w:tc>
      </w:tr>
    </w:tbl>
    <w:p>
      <w:pPr>
        <w:numPr>
          <w:numId w:val="4"/>
        </w:numPr>
        <w:spacing w:before="120" w:after="120" w:line="288" w:lineRule="auto"/>
        <w:ind w:left="0"/>
        <w:jc w:val="left"/>
      </w:pPr>
      <w:r>
        <w:rPr>
          <w:rFonts w:eastAsia="等线" w:ascii="Arial" w:cs="Arial" w:hAnsi="Arial"/>
          <w:b w:val="true"/>
          <w:sz w:val="22"/>
        </w:rPr>
        <w:t>就业情况对比</w:t>
      </w:r>
    </w:p>
    <w:p>
      <w:pPr>
        <w:numPr>
          <w:numId w:val="5"/>
        </w:numPr>
        <w:spacing w:before="120" w:after="120" w:line="288" w:lineRule="auto"/>
        <w:ind w:left="453"/>
        <w:jc w:val="left"/>
      </w:pPr>
      <w:r>
        <w:rPr>
          <w:rFonts w:eastAsia="等线" w:ascii="Arial" w:cs="Arial" w:hAnsi="Arial"/>
          <w:b w:val="true"/>
          <w:sz w:val="22"/>
        </w:rPr>
        <w:t>就业单位与薪资</w:t>
      </w:r>
    </w:p>
    <w:p>
      <w:pPr>
        <w:numPr>
          <w:numId w:val="6"/>
        </w:numPr>
        <w:spacing w:before="120" w:after="120" w:line="288" w:lineRule="auto"/>
        <w:ind w:left="907"/>
        <w:jc w:val="left"/>
      </w:pPr>
      <w:r>
        <w:rPr>
          <w:rFonts w:eastAsia="等线" w:ascii="Arial" w:cs="Arial" w:hAnsi="Arial"/>
          <w:sz w:val="22"/>
        </w:rPr>
        <w:t>就业单位：两校学生就业单位均有知名企业，如兰州大学有学生去华为、比亚迪等，因学科门类结构不同，此方面可比性不大。</w:t>
      </w:r>
    </w:p>
    <w:p>
      <w:pPr>
        <w:numPr>
          <w:numId w:val="7"/>
        </w:numPr>
        <w:spacing w:before="120" w:after="120" w:line="288" w:lineRule="auto"/>
        <w:ind w:left="907"/>
        <w:jc w:val="left"/>
      </w:pPr>
      <w:r>
        <w:rPr>
          <w:rFonts w:eastAsia="等线" w:ascii="Arial" w:cs="Arial" w:hAnsi="Arial"/>
          <w:sz w:val="22"/>
        </w:rPr>
        <w:t>毕业薪资：兰州大学薪资相对高 1000 多，且考虑到兰州当地薪资远低于苏州、上海、无锡等地，实际差距更大，但个体差异可能也较大。</w:t>
      </w:r>
    </w:p>
    <w:p>
      <w:pPr>
        <w:numPr>
          <w:numId w:val="8"/>
        </w:numPr>
        <w:spacing w:before="120" w:after="120" w:line="288" w:lineRule="auto"/>
        <w:ind w:left="453"/>
        <w:jc w:val="left"/>
      </w:pPr>
      <w:r>
        <w:rPr>
          <w:rFonts w:eastAsia="等线" w:ascii="Arial" w:cs="Arial" w:hAnsi="Arial"/>
          <w:b w:val="true"/>
          <w:sz w:val="22"/>
        </w:rPr>
        <w:t>一线城市就业比例</w:t>
      </w:r>
      <w:r>
        <w:rPr>
          <w:rFonts w:eastAsia="等线" w:ascii="Arial" w:cs="Arial" w:hAnsi="Arial"/>
          <w:sz w:val="22"/>
        </w:rPr>
        <w:t>：苏州大学一线城市就业比例为 38%，兰州大学为 15.9%，但因苏州人才吸引力高，此对比不能作为兰州大学更好的依据。</w:t>
      </w:r>
    </w:p>
    <w:p>
      <w:pPr>
        <w:numPr>
          <w:numId w:val="9"/>
        </w:numPr>
        <w:spacing w:before="120" w:after="120" w:line="288" w:lineRule="auto"/>
        <w:ind w:left="0"/>
        <w:jc w:val="left"/>
      </w:pPr>
      <w:r>
        <w:rPr>
          <w:rFonts w:eastAsia="等线" w:ascii="Arial" w:cs="Arial" w:hAnsi="Arial"/>
          <w:b w:val="true"/>
          <w:sz w:val="22"/>
        </w:rPr>
        <w:t>读研与留学情况对比</w:t>
      </w:r>
    </w:p>
    <w:p>
      <w:pPr>
        <w:numPr>
          <w:numId w:val="10"/>
        </w:numPr>
        <w:spacing w:before="120" w:after="120" w:line="288" w:lineRule="auto"/>
        <w:ind w:left="453"/>
        <w:jc w:val="left"/>
      </w:pPr>
      <w:r>
        <w:rPr>
          <w:rFonts w:eastAsia="等线" w:ascii="Arial" w:cs="Arial" w:hAnsi="Arial"/>
          <w:b w:val="true"/>
          <w:sz w:val="22"/>
        </w:rPr>
        <w:t>读研学校与比例</w:t>
      </w:r>
    </w:p>
    <w:p>
      <w:pPr>
        <w:numPr>
          <w:numId w:val="11"/>
        </w:numPr>
        <w:spacing w:before="120" w:after="120" w:line="288" w:lineRule="auto"/>
        <w:ind w:left="907"/>
        <w:jc w:val="left"/>
      </w:pPr>
      <w:r>
        <w:rPr>
          <w:rFonts w:eastAsia="等线" w:ascii="Arial" w:cs="Arial" w:hAnsi="Arial"/>
          <w:sz w:val="22"/>
        </w:rPr>
        <w:t>读研学校：兰州大学读研去向如中科大、中国科学院大学、复旦大学等，更受顶级名校认可。</w:t>
      </w:r>
    </w:p>
    <w:p>
      <w:pPr>
        <w:numPr>
          <w:numId w:val="12"/>
        </w:numPr>
        <w:spacing w:before="120" w:after="120" w:line="288" w:lineRule="auto"/>
        <w:ind w:left="907"/>
        <w:jc w:val="left"/>
      </w:pPr>
      <w:r>
        <w:rPr>
          <w:rFonts w:eastAsia="等线" w:ascii="Arial" w:cs="Arial" w:hAnsi="Arial"/>
          <w:sz w:val="22"/>
        </w:rPr>
        <w:t>读研比例：兰州大学读研比例为 38.9%，高于苏州大学的 32.2%。</w:t>
      </w:r>
    </w:p>
    <w:p>
      <w:pPr>
        <w:numPr>
          <w:numId w:val="13"/>
        </w:numPr>
        <w:spacing w:before="120" w:after="120" w:line="288" w:lineRule="auto"/>
        <w:ind w:left="453"/>
        <w:jc w:val="left"/>
      </w:pPr>
      <w:r>
        <w:rPr>
          <w:rFonts w:eastAsia="等线" w:ascii="Arial" w:cs="Arial" w:hAnsi="Arial"/>
          <w:b w:val="true"/>
          <w:sz w:val="22"/>
        </w:rPr>
        <w:t>留学情况</w:t>
      </w:r>
      <w:r>
        <w:rPr>
          <w:rFonts w:eastAsia="等线" w:ascii="Arial" w:cs="Arial" w:hAnsi="Arial"/>
          <w:sz w:val="22"/>
        </w:rPr>
        <w:t>：两校留学情况相差不大。</w:t>
      </w:r>
    </w:p>
    <w:p>
      <w:pPr>
        <w:numPr>
          <w:numId w:val="14"/>
        </w:numPr>
        <w:spacing w:before="120" w:after="120" w:line="288" w:lineRule="auto"/>
        <w:ind w:left="0"/>
        <w:jc w:val="left"/>
      </w:pPr>
      <w:r>
        <w:rPr>
          <w:rFonts w:eastAsia="等线" w:ascii="Arial" w:cs="Arial" w:hAnsi="Arial"/>
          <w:b w:val="true"/>
          <w:sz w:val="22"/>
        </w:rPr>
        <w:t>志愿填报案例分析</w:t>
      </w:r>
    </w:p>
    <w:p>
      <w:pPr>
        <w:numPr>
          <w:numId w:val="15"/>
        </w:numPr>
        <w:spacing w:before="120" w:after="120" w:line="288" w:lineRule="auto"/>
        <w:ind w:left="453"/>
        <w:jc w:val="left"/>
      </w:pPr>
      <w:r>
        <w:rPr>
          <w:rFonts w:eastAsia="等线" w:ascii="Arial" w:cs="Arial" w:hAnsi="Arial"/>
          <w:b w:val="true"/>
          <w:sz w:val="22"/>
        </w:rPr>
        <w:t>填报决策依据</w:t>
      </w:r>
      <w:r>
        <w:rPr>
          <w:rFonts w:eastAsia="等线" w:ascii="Arial" w:cs="Arial" w:hAnsi="Arial"/>
          <w:sz w:val="22"/>
        </w:rPr>
        <w:t>：说话人1为一名北京女生填报兰州大学，原因是女生情感细腻但阅历不够，未来要搞创作，兰州与北京环境不同能对其人生发展起到补充作用，且女生家庭不缺钱和工作，就业不是首要考虑因素。</w:t>
      </w:r>
    </w:p>
    <w:p>
      <w:pPr>
        <w:numPr>
          <w:numId w:val="16"/>
        </w:numPr>
        <w:spacing w:before="120" w:after="120" w:line="288" w:lineRule="auto"/>
        <w:ind w:left="453"/>
        <w:jc w:val="left"/>
      </w:pPr>
      <w:r>
        <w:rPr>
          <w:rFonts w:eastAsia="等线" w:ascii="Arial" w:cs="Arial" w:hAnsi="Arial"/>
          <w:b w:val="true"/>
          <w:sz w:val="22"/>
        </w:rPr>
        <w:t>地域偏见影响</w:t>
      </w:r>
      <w:r>
        <w:rPr>
          <w:rFonts w:eastAsia="等线" w:ascii="Arial" w:cs="Arial" w:hAnsi="Arial"/>
          <w:sz w:val="22"/>
        </w:rPr>
        <w:t>：不同地区家长对志愿填报存在地域偏见，如广东家长不想孩子离开广东，湖北家长希望孩子离开湖北，北京家长不希望孩子离开北京，这导致对外地学校存在较大偏见。</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00:02</w:t>
        </w:r>
      </w:hyperlink>
      <w:r>
        <w:rPr>
          <w:rFonts w:eastAsia="等线" w:ascii="Arial" w:cs="Arial" w:hAnsi="Arial"/>
          <w:b w:val="true"/>
          <w:sz w:val="22"/>
        </w:rPr>
        <w:t xml:space="preserve">  兰州与苏州大学满意度对比及兰大投入弥补短板</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教育部官方调研的毕业生、在校生所填的综合、环境和生活三项满意度数据。总体及生活满意度上，兰州大学与他校差距小；环境满意度方面，兰州大学因地理环境不佳远不如苏州大学。不过兰州大学生活满意度与他校相近，显示其以高预算和多方面优势弥补了环境不足。</w:t>
            </w:r>
          </w:p>
        </w:tc>
      </w:tr>
    </w:tbl>
    <w:p>
      <w:pPr>
        <w:spacing w:before="120" w:after="120" w:line="288" w:lineRule="auto"/>
        <w:ind w:left="0"/>
        <w:jc w:val="left"/>
      </w:pPr>
      <w:hyperlink r:id="rId8">
        <w:r>
          <w:rPr>
            <w:rFonts w:eastAsia="等线" w:ascii="Arial" w:cs="Arial" w:hAnsi="Arial"/>
            <w:color w:val="3370ff"/>
            <w:sz w:val="22"/>
          </w:rPr>
          <w:t>01:59</w:t>
        </w:r>
      </w:hyperlink>
      <w:r>
        <w:rPr>
          <w:rFonts w:eastAsia="等线" w:ascii="Arial" w:cs="Arial" w:hAnsi="Arial"/>
          <w:b w:val="true"/>
          <w:sz w:val="22"/>
        </w:rPr>
        <w:t xml:space="preserve">  两校就业情况对比及地域因素影响分析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本章节主要对比了两个学校工作方面的情况。因学科门类结构不同，工作单位对比意义不大，提及兰州大学毕业生有去华为、比亚迪等知名企业。毕业薪资上兰州大学相对高 1000 多，且考虑地域购买力实际差距更大。一线城市就业比例方面，两校分别为 38%和 15.9%，但因苏州人才吸引力高，此比较不能作为评判依据。</w:t>
            </w:r>
          </w:p>
        </w:tc>
      </w:tr>
    </w:tbl>
    <w:p>
      <w:pPr>
        <w:spacing w:before="120" w:after="120" w:line="288" w:lineRule="auto"/>
        <w:ind w:left="0"/>
        <w:jc w:val="left"/>
      </w:pPr>
      <w:hyperlink r:id="rId9">
        <w:r>
          <w:rPr>
            <w:rFonts w:eastAsia="等线" w:ascii="Arial" w:cs="Arial" w:hAnsi="Arial"/>
            <w:color w:val="3370ff"/>
            <w:sz w:val="22"/>
          </w:rPr>
          <w:t>03:24</w:t>
        </w:r>
      </w:hyperlink>
      <w:r>
        <w:rPr>
          <w:rFonts w:eastAsia="等线" w:ascii="Arial" w:cs="Arial" w:hAnsi="Arial"/>
          <w:b w:val="true"/>
          <w:sz w:val="22"/>
        </w:rPr>
        <w:t xml:space="preserve">  兰州大学与多校读研、留学情况对比分析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读研相关情况。提到若一所学校被很多学校认可，其学生读研的学校也不错。对比兰州大学、中科大、中国科学院大学、复旦大学、南京大学和东南大学，认为兰州大学更受顶级名校认可。还比较了读研比例，兰州大学为38.9高于其他学校的32.2，留学方面各学校差距不大。</w:t>
            </w:r>
          </w:p>
        </w:tc>
      </w:tr>
    </w:tbl>
    <w:p>
      <w:pPr>
        <w:spacing w:before="120" w:after="120" w:line="288" w:lineRule="auto"/>
        <w:ind w:left="0"/>
        <w:jc w:val="left"/>
      </w:pPr>
      <w:hyperlink r:id="rId10">
        <w:r>
          <w:rPr>
            <w:rFonts w:eastAsia="等线" w:ascii="Arial" w:cs="Arial" w:hAnsi="Arial"/>
            <w:color w:val="3370ff"/>
            <w:sz w:val="22"/>
          </w:rPr>
          <w:t>04:11</w:t>
        </w:r>
      </w:hyperlink>
      <w:r>
        <w:rPr>
          <w:rFonts w:eastAsia="等线" w:ascii="Arial" w:cs="Arial" w:hAnsi="Arial"/>
          <w:b w:val="true"/>
          <w:sz w:val="22"/>
        </w:rPr>
        <w:t xml:space="preserve">  为北京女孩选兰大，从反对到获理解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为一位北京女孩填报志愿的事。就业方面企业和高校更认可南大学生，但兰大与南大录取分差仅几分，是捡漏机会，说话人坚定选兰大遭其妈妈不满。选兰大是因女孩情感细腻但阅历不足，兰州与北京环境不同，且她家不缺工作。女孩很满意，如今大三准备考人大研究生，其妈妈也不时给说话人朋友圈点赞。</w:t>
            </w:r>
          </w:p>
        </w:tc>
      </w:tr>
    </w:tbl>
    <w:p>
      <w:pPr>
        <w:spacing w:before="120" w:after="120" w:line="288" w:lineRule="auto"/>
        <w:ind w:left="0"/>
        <w:jc w:val="left"/>
      </w:pPr>
      <w:hyperlink r:id="rId11">
        <w:r>
          <w:rPr>
            <w:rFonts w:eastAsia="等线" w:ascii="Arial" w:cs="Arial" w:hAnsi="Arial"/>
            <w:color w:val="3370ff"/>
            <w:sz w:val="22"/>
          </w:rPr>
          <w:t>06:14</w:t>
        </w:r>
      </w:hyperlink>
      <w:r>
        <w:rPr>
          <w:rFonts w:eastAsia="等线" w:ascii="Arial" w:cs="Arial" w:hAnsi="Arial"/>
          <w:b w:val="true"/>
          <w:sz w:val="22"/>
        </w:rPr>
        <w:t xml:space="preserve">  院校对比中的地域偏见及家长地域观念差异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以兰州大学和苏州大学在广东、北京等地的分数差异为例，指出地域对学校认知影响大，存在地域偏见。说话人做志愿填报时发现各地情况不同，如广东家长不想孩子离粤，湖北家长想孩子离鄂，北京家长也不愿孩子离京，这种观念导致大家对外地学校偏见较大。</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17"/>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：为情感细腻、阅历不足且家庭富裕、未来想搞创作的北京女孩选择兰州大学。</w:t>
      </w:r>
    </w:p>
    <w:p>
      <w:pPr>
        <w:numPr>
          <w:numId w:val="18"/>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：为女孩进行志愿填报，选择兰州大学还是苏州大学。</w:t>
      </w:r>
    </w:p>
    <w:p>
      <w:pPr>
        <w:numPr>
          <w:numId w:val="19"/>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说话人1对比了两所大学综合满意度、环境满意度、生活满意度、就业单位、毕业薪资、一线城市就业比例、读研学校、读研比例、留学情况等方面。发现兰州大学环境满意度不如苏州大学，但用高预算和多方面优势弥补不足；毕业薪资相对更高；更受顶级名校认可，读研比例也更高。</w:t>
      </w:r>
    </w:p>
    <w:p>
      <w:pPr>
        <w:numPr>
          <w:numId w:val="20"/>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：女孩情感细腻、阅历不够，兰州与北京环境截然不同，能为其未来创作补充阅历，且家庭不缺钱和工作，就业不是首要考虑因素。</w:t>
      </w:r>
    </w:p>
    <w:p>
      <w:pPr>
        <w:pBdr>
          <w:bottom w:val="single" w:color="dee0e3"/>
          <w:between w:val="single" w:color="dee0e3"/>
        </w:pBdr>
        <w:spacing w:before="120" w:after="120" w:line="288" w:lineRule="auto"/>
        <w:ind w:left="0"/>
      </w:pPr>
    </w:p>
    <w:p>
      <w:pPr>
        <w:numPr>
          <w:numId w:val="21"/>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：无</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「兰州大学用自己的高预算和很多方面的优势弥补了环境满意度方面的不足。」</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突出了兰州大学在自身条件有短板的情况下，通过其他优势进行弥补的特点，是对兰州大学综合情况的一个关键洞察。</w:t>
      </w:r>
    </w:p>
    <w:p>
      <w:pPr>
        <w:spacing w:before="120" w:after="120" w:line="288" w:lineRule="auto"/>
        <w:ind w:left="0"/>
        <w:jc w:val="left"/>
      </w:pPr>
    </w:p>
    <w:p>
      <w:pPr>
        <w:spacing w:before="120" w:after="120" w:line="288" w:lineRule="auto"/>
        <w:ind w:left="0"/>
        <w:jc w:val="left"/>
      </w:pPr>
      <w:r>
        <w:rPr>
          <w:rFonts w:eastAsia="等线" w:ascii="Arial" w:cs="Arial" w:hAnsi="Arial"/>
          <w:sz w:val="22"/>
        </w:rPr>
        <w:t>「兰州大学在读研方面更加受顶级名校认可。」</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明确指出了兰州大学在学术认可度上的优势，是对两所大学对比中关于学术方面的重要结论。</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「从高考录取分数来看，兰州大学和苏州大学差不了几分，但兰州大学在就业等方面表现更好，这是一个捡漏的机会。」</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结合分数和学校实力，提出了具有实际指导意义的观点，能让读者在志愿填报方面有新的思考。</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2"/>
        </w:numPr>
        <w:spacing w:before="120" w:after="120" w:line="288" w:lineRule="auto"/>
        <w:ind w:left="0"/>
        <w:jc w:val="left"/>
      </w:pPr>
      <w:r>
        <w:rPr>
          <w:rFonts w:eastAsia="等线" w:ascii="Arial" w:cs="Arial" w:hAnsi="Arial"/>
          <w:sz w:val="22"/>
        </w:rPr>
        <w:t>妙记：</w:t>
      </w:r>
      <w:hyperlink r:id="rId12">
        <w:r>
          <w:rPr>
            <w:rFonts w:eastAsia="等线" w:ascii="Arial" w:cs="Arial" w:hAnsi="Arial"/>
            <w:color w:val="3370ff"/>
            <w:sz w:val="22"/>
          </w:rPr>
          <w:t>40、老牌985PK潜力211，怎么选</w:t>
        </w:r>
      </w:hyperlink>
    </w:p>
    <w:p>
      <w:pPr>
        <w:numPr>
          <w:numId w:val="23"/>
        </w:numPr>
        <w:spacing w:before="120" w:after="120" w:line="288" w:lineRule="auto"/>
        <w:ind w:left="0"/>
        <w:jc w:val="left"/>
      </w:pPr>
      <w:r>
        <w:rPr>
          <w:rFonts w:eastAsia="等线" w:ascii="Arial" w:cs="Arial" w:hAnsi="Arial"/>
          <w:sz w:val="22"/>
        </w:rPr>
        <w:t>文字记录</w:t>
      </w:r>
    </w:p>
    <w:p>
      <w:pPr>
        <w:numPr>
          <w:numId w:val="24"/>
        </w:numPr>
        <w:spacing w:before="120" w:after="120" w:line="288" w:lineRule="auto"/>
        <w:ind w:left="453"/>
        <w:jc w:val="left"/>
      </w:pPr>
      <w:hyperlink r:id="rId13">
        <w:r>
          <w:rPr>
            <w:rFonts w:eastAsia="等线" w:ascii="Arial" w:cs="Arial" w:hAnsi="Arial"/>
            <w:color w:val="3370ff"/>
            <w:sz w:val="22"/>
          </w:rPr>
          <w:t>40、老牌985PK潜力211，怎么选 2026年1月22日</w:t>
        </w:r>
      </w:hyperlink>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43924">
    <w:lvl>
      <w:numFmt w:val="bullet"/>
      <w:suff w:val="tab"/>
      <w:lvlText w:val="•"/>
      <w:rPr>
        <w:color w:val="3370ff"/>
      </w:rPr>
    </w:lvl>
  </w:abstractNum>
  <w:abstractNum w:abstractNumId="343925">
    <w:lvl>
      <w:numFmt w:val="bullet"/>
      <w:suff w:val="tab"/>
      <w:lvlText w:val="•"/>
      <w:rPr>
        <w:color w:val="3370ff"/>
      </w:rPr>
    </w:lvl>
  </w:abstractNum>
  <w:abstractNum w:abstractNumId="343926">
    <w:lvl>
      <w:numFmt w:val="bullet"/>
      <w:suff w:val="tab"/>
      <w:lvlText w:val="•"/>
      <w:rPr>
        <w:color w:val="3370ff"/>
      </w:rPr>
    </w:lvl>
  </w:abstractNum>
  <w:abstractNum w:abstractNumId="343927">
    <w:lvl>
      <w:numFmt w:val="bullet"/>
      <w:suff w:val="tab"/>
      <w:lvlText w:val="•"/>
      <w:rPr>
        <w:color w:val="3370ff"/>
      </w:rPr>
    </w:lvl>
  </w:abstractNum>
  <w:abstractNum w:abstractNumId="343928">
    <w:lvl>
      <w:numFmt w:val="bullet"/>
      <w:suff w:val="tab"/>
      <w:lvlText w:val="￮"/>
      <w:rPr>
        <w:color w:val="3370ff"/>
      </w:rPr>
    </w:lvl>
  </w:abstractNum>
  <w:abstractNum w:abstractNumId="343929">
    <w:lvl>
      <w:numFmt w:val="bullet"/>
      <w:suff w:val="tab"/>
      <w:lvlText w:val="▪"/>
      <w:rPr>
        <w:color w:val="3370ff"/>
        <w:sz w:val="11"/>
      </w:rPr>
    </w:lvl>
  </w:abstractNum>
  <w:abstractNum w:abstractNumId="343930">
    <w:lvl>
      <w:numFmt w:val="bullet"/>
      <w:suff w:val="tab"/>
      <w:lvlText w:val="▪"/>
      <w:rPr>
        <w:color w:val="3370ff"/>
        <w:sz w:val="11"/>
      </w:rPr>
    </w:lvl>
  </w:abstractNum>
  <w:abstractNum w:abstractNumId="343931">
    <w:lvl>
      <w:numFmt w:val="bullet"/>
      <w:suff w:val="tab"/>
      <w:lvlText w:val="￮"/>
      <w:rPr>
        <w:color w:val="3370ff"/>
      </w:rPr>
    </w:lvl>
  </w:abstractNum>
  <w:abstractNum w:abstractNumId="343932">
    <w:lvl>
      <w:numFmt w:val="bullet"/>
      <w:suff w:val="tab"/>
      <w:lvlText w:val="•"/>
      <w:rPr>
        <w:color w:val="3370ff"/>
      </w:rPr>
    </w:lvl>
  </w:abstractNum>
  <w:abstractNum w:abstractNumId="343933">
    <w:lvl>
      <w:numFmt w:val="bullet"/>
      <w:suff w:val="tab"/>
      <w:lvlText w:val="￮"/>
      <w:rPr>
        <w:color w:val="3370ff"/>
      </w:rPr>
    </w:lvl>
  </w:abstractNum>
  <w:abstractNum w:abstractNumId="343934">
    <w:lvl>
      <w:numFmt w:val="bullet"/>
      <w:suff w:val="tab"/>
      <w:lvlText w:val="▪"/>
      <w:rPr>
        <w:color w:val="3370ff"/>
        <w:sz w:val="11"/>
      </w:rPr>
    </w:lvl>
  </w:abstractNum>
  <w:abstractNum w:abstractNumId="343935">
    <w:lvl>
      <w:numFmt w:val="bullet"/>
      <w:suff w:val="tab"/>
      <w:lvlText w:val="▪"/>
      <w:rPr>
        <w:color w:val="3370ff"/>
        <w:sz w:val="11"/>
      </w:rPr>
    </w:lvl>
  </w:abstractNum>
  <w:abstractNum w:abstractNumId="343936">
    <w:lvl>
      <w:numFmt w:val="bullet"/>
      <w:suff w:val="tab"/>
      <w:lvlText w:val="￮"/>
      <w:rPr>
        <w:color w:val="3370ff"/>
      </w:rPr>
    </w:lvl>
  </w:abstractNum>
  <w:abstractNum w:abstractNumId="343937">
    <w:lvl>
      <w:numFmt w:val="bullet"/>
      <w:suff w:val="tab"/>
      <w:lvlText w:val="•"/>
      <w:rPr>
        <w:color w:val="3370ff"/>
      </w:rPr>
    </w:lvl>
  </w:abstractNum>
  <w:abstractNum w:abstractNumId="343938">
    <w:lvl>
      <w:numFmt w:val="bullet"/>
      <w:suff w:val="tab"/>
      <w:lvlText w:val="￮"/>
      <w:rPr>
        <w:color w:val="3370ff"/>
      </w:rPr>
    </w:lvl>
  </w:abstractNum>
  <w:abstractNum w:abstractNumId="343939">
    <w:lvl>
      <w:numFmt w:val="bullet"/>
      <w:suff w:val="tab"/>
      <w:lvlText w:val="￮"/>
      <w:rPr>
        <w:color w:val="3370ff"/>
      </w:rPr>
    </w:lvl>
  </w:abstractNum>
  <w:abstractNum w:abstractNumId="343940">
    <w:lvl>
      <w:numFmt w:val="bullet"/>
      <w:suff w:val="tab"/>
      <w:lvlText w:val="•"/>
      <w:rPr>
        <w:color w:val="3370ff"/>
      </w:rPr>
    </w:lvl>
  </w:abstractNum>
  <w:abstractNum w:abstractNumId="343941">
    <w:lvl>
      <w:numFmt w:val="bullet"/>
      <w:suff w:val="tab"/>
      <w:lvlText w:val="￮"/>
      <w:rPr>
        <w:color w:val="3370ff"/>
      </w:rPr>
    </w:lvl>
  </w:abstractNum>
  <w:abstractNum w:abstractNumId="343942">
    <w:lvl>
      <w:numFmt w:val="bullet"/>
      <w:suff w:val="tab"/>
      <w:lvlText w:val="￮"/>
      <w:rPr>
        <w:color w:val="3370ff"/>
      </w:rPr>
    </w:lvl>
  </w:abstractNum>
  <w:abstractNum w:abstractNumId="343943">
    <w:lvl>
      <w:numFmt w:val="bullet"/>
      <w:suff w:val="tab"/>
      <w:lvlText w:val="￮"/>
      <w:rPr>
        <w:color w:val="3370ff"/>
      </w:rPr>
    </w:lvl>
  </w:abstractNum>
  <w:abstractNum w:abstractNumId="343944">
    <w:lvl>
      <w:numFmt w:val="bullet"/>
      <w:suff w:val="tab"/>
      <w:lvlText w:val="•"/>
      <w:rPr>
        <w:color w:val="3370ff"/>
      </w:rPr>
    </w:lvl>
  </w:abstractNum>
  <w:abstractNum w:abstractNumId="343945">
    <w:lvl>
      <w:numFmt w:val="bullet"/>
      <w:suff w:val="tab"/>
      <w:lvlText w:val="•"/>
      <w:rPr>
        <w:color w:val="3370ff"/>
      </w:rPr>
    </w:lvl>
  </w:abstractNum>
  <w:abstractNum w:abstractNumId="343946">
    <w:lvl>
      <w:numFmt w:val="bullet"/>
      <w:suff w:val="tab"/>
      <w:lvlText w:val="•"/>
      <w:rPr>
        <w:color w:val="3370ff"/>
      </w:rPr>
    </w:lvl>
  </w:abstractNum>
  <w:abstractNum w:abstractNumId="343947">
    <w:lvl>
      <w:numFmt w:val="bullet"/>
      <w:suff w:val="tab"/>
      <w:lvlText w:val="￮"/>
      <w:rPr>
        <w:color w:val="3370ff"/>
      </w:rPr>
    </w:lvl>
  </w:abstractNum>
  <w:num w:numId="1">
    <w:abstractNumId w:val="343924"/>
  </w:num>
  <w:num w:numId="2">
    <w:abstractNumId w:val="343925"/>
  </w:num>
  <w:num w:numId="3">
    <w:abstractNumId w:val="343926"/>
  </w:num>
  <w:num w:numId="4">
    <w:abstractNumId w:val="343927"/>
  </w:num>
  <w:num w:numId="5">
    <w:abstractNumId w:val="343928"/>
  </w:num>
  <w:num w:numId="6">
    <w:abstractNumId w:val="343929"/>
  </w:num>
  <w:num w:numId="7">
    <w:abstractNumId w:val="343930"/>
  </w:num>
  <w:num w:numId="8">
    <w:abstractNumId w:val="343931"/>
  </w:num>
  <w:num w:numId="9">
    <w:abstractNumId w:val="343932"/>
  </w:num>
  <w:num w:numId="10">
    <w:abstractNumId w:val="343933"/>
  </w:num>
  <w:num w:numId="11">
    <w:abstractNumId w:val="343934"/>
  </w:num>
  <w:num w:numId="12">
    <w:abstractNumId w:val="343935"/>
  </w:num>
  <w:num w:numId="13">
    <w:abstractNumId w:val="343936"/>
  </w:num>
  <w:num w:numId="14">
    <w:abstractNumId w:val="343937"/>
  </w:num>
  <w:num w:numId="15">
    <w:abstractNumId w:val="343938"/>
  </w:num>
  <w:num w:numId="16">
    <w:abstractNumId w:val="343939"/>
  </w:num>
  <w:num w:numId="17">
    <w:abstractNumId w:val="343940"/>
  </w:num>
  <w:num w:numId="18">
    <w:abstractNumId w:val="343941"/>
  </w:num>
  <w:num w:numId="19">
    <w:abstractNumId w:val="343942"/>
  </w:num>
  <w:num w:numId="20">
    <w:abstractNumId w:val="343943"/>
  </w:num>
  <w:num w:numId="21">
    <w:abstractNumId w:val="343944"/>
  </w:num>
  <w:num w:numId="22">
    <w:abstractNumId w:val="343945"/>
  </w:num>
  <w:num w:numId="23">
    <w:abstractNumId w:val="343946"/>
  </w:num>
  <w:num w:numId="24">
    <w:abstractNumId w:val="34394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18nn8v54y761il5582?t=251000" TargetMode="External" Type="http://schemas.openxmlformats.org/officeDocument/2006/relationships/hyperlink"/><Relationship Id="rId11" Target="https://hcnytq72r1ge.feishu.cn/minutes/obcnfo18nn8v54y761il5582?t=374000" TargetMode="External" Type="http://schemas.openxmlformats.org/officeDocument/2006/relationships/hyperlink"/><Relationship Id="rId12" Target="https://hcnytq72r1ge.feishu.cn/minutes/obcnfo18nn8v54y761il5582?from=ai_minutes" TargetMode="External" Type="http://schemas.openxmlformats.org/officeDocument/2006/relationships/hyperlink"/><Relationship Id="rId13" Target="https://hcnytq72r1ge.feishu.cn/docx/TaM3dFcpwokB9jxFueVclqrinIe"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18nn8v54y761il5582?t=2000" TargetMode="External" Type="http://schemas.openxmlformats.org/officeDocument/2006/relationships/hyperlink"/><Relationship Id="rId8" Target="https://hcnytq72r1ge.feishu.cn/minutes/obcnfo18nn8v54y761il5582?t=119000" TargetMode="External" Type="http://schemas.openxmlformats.org/officeDocument/2006/relationships/hyperlink"/><Relationship Id="rId9" Target="https://hcnytq72r1ge.feishu.cn/minutes/obcnfo18nn8v54y761il5582?t=204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2026-01-26T08:56:47Z</dcterms:created>
  <dc:creator>Apache POI</dc:creator>
</cp:coreProperties>
</file>